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UNITED STATES</w:t>
      </w:r>
    </w:p>
    <w:p>
      <w:pPr>
        <w:spacing w:after="0" w:line="36" w:lineRule="exact"/>
        <w:rPr>
          <w:sz w:val="24"/>
          <w:szCs w:val="24"/>
          <w:color w:val="auto"/>
        </w:rPr>
      </w:pPr>
    </w:p>
    <w:p>
      <w:pPr>
        <w:ind w:left="2620"/>
        <w:spacing w:after="0"/>
        <w:rPr>
          <w:sz w:val="20"/>
          <w:szCs w:val="20"/>
          <w:color w:val="auto"/>
        </w:rPr>
      </w:pPr>
      <w:r>
        <w:rPr>
          <w:rFonts w:ascii="Arial" w:cs="Arial" w:eastAsia="Arial" w:hAnsi="Arial"/>
          <w:sz w:val="18"/>
          <w:szCs w:val="18"/>
          <w:color w:val="auto"/>
        </w:rPr>
        <w:t>SECURITIES AND EXCHANGE COMMISSION</w:t>
      </w:r>
    </w:p>
    <w:p>
      <w:pPr>
        <w:spacing w:after="0" w:line="32"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Washington, D.C. 20549</w:t>
      </w:r>
    </w:p>
    <w:p>
      <w:pPr>
        <w:spacing w:after="0" w:line="121"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SCHEDULE 14A</w:t>
      </w:r>
    </w:p>
    <w:p>
      <w:pPr>
        <w:spacing w:after="0" w:line="144" w:lineRule="exact"/>
        <w:rPr>
          <w:sz w:val="24"/>
          <w:szCs w:val="24"/>
          <w:color w:val="auto"/>
        </w:rPr>
      </w:pPr>
    </w:p>
    <w:p>
      <w:pPr>
        <w:ind w:left="2540"/>
        <w:spacing w:after="0"/>
        <w:rPr>
          <w:sz w:val="20"/>
          <w:szCs w:val="20"/>
          <w:color w:val="auto"/>
        </w:rPr>
      </w:pPr>
      <w:r>
        <w:rPr>
          <w:rFonts w:ascii="Arial" w:cs="Arial" w:eastAsia="Arial" w:hAnsi="Arial"/>
          <w:sz w:val="18"/>
          <w:szCs w:val="18"/>
          <w:color w:val="auto"/>
        </w:rPr>
        <w:t>Proxy Statement Pursuant to Section 14(a) of the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 (Amendment No. )</w:t>
      </w:r>
    </w:p>
    <w:p>
      <w:pPr>
        <w:spacing w:after="0" w:line="159" w:lineRule="exact"/>
        <w:rPr>
          <w:sz w:val="24"/>
          <w:szCs w:val="24"/>
          <w:color w:val="auto"/>
        </w:rPr>
      </w:pPr>
    </w:p>
    <w:p>
      <w:pPr>
        <w:ind w:left="40"/>
        <w:spacing w:after="0" w:line="242" w:lineRule="exact"/>
        <w:tabs>
          <w:tab w:leader="none" w:pos="440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20" w:hanging="342"/>
        <w:spacing w:after="0"/>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110" w:lineRule="exact"/>
        <w:rPr>
          <w:rFonts w:ascii="MS PGothic" w:cs="MS PGothic" w:eastAsia="MS PGothic" w:hAnsi="MS PGothic"/>
          <w:sz w:val="22"/>
          <w:szCs w:val="22"/>
          <w:color w:val="auto"/>
        </w:rPr>
      </w:pPr>
    </w:p>
    <w:p>
      <w:pPr>
        <w:ind w:left="420" w:hanging="342"/>
        <w:spacing w:after="0"/>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110" w:lineRule="exact"/>
        <w:rPr>
          <w:sz w:val="24"/>
          <w:szCs w:val="24"/>
          <w:color w:val="auto"/>
        </w:rPr>
      </w:pPr>
    </w:p>
    <w:p>
      <w:pPr>
        <w:ind w:left="420" w:hanging="342"/>
        <w:spacing w:after="0"/>
        <w:tabs>
          <w:tab w:leader="none" w:pos="42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110" w:lineRule="exact"/>
        <w:rPr>
          <w:sz w:val="24"/>
          <w:szCs w:val="24"/>
          <w:color w:val="auto"/>
        </w:rPr>
      </w:pPr>
    </w:p>
    <w:p>
      <w:pPr>
        <w:ind w:left="420" w:hanging="342"/>
        <w:spacing w:after="0"/>
        <w:tabs>
          <w:tab w:leader="none" w:pos="42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123" w:lineRule="exact"/>
        <w:rPr>
          <w:rFonts w:ascii="MS PGothic" w:cs="MS PGothic" w:eastAsia="MS PGothic" w:hAnsi="MS PGothic"/>
          <w:sz w:val="22"/>
          <w:szCs w:val="22"/>
          <w:color w:val="auto"/>
        </w:rPr>
      </w:pPr>
    </w:p>
    <w:p>
      <w:pPr>
        <w:ind w:left="420" w:hanging="342"/>
        <w:spacing w:after="0"/>
        <w:tabs>
          <w:tab w:leader="none" w:pos="42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Mondelēz International, Inc.</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of Registrant as Specified In Its Charter)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00" w:lineRule="exact"/>
        <w:rPr>
          <w:sz w:val="24"/>
          <w:szCs w:val="24"/>
          <w:color w:val="auto"/>
        </w:rPr>
      </w:pPr>
    </w:p>
    <w:p>
      <w:pPr>
        <w:spacing w:after="0" w:line="292"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ALL BOXES THAT APPLY):</w:t>
      </w:r>
    </w:p>
    <w:p>
      <w:pPr>
        <w:spacing w:after="0" w:line="77" w:lineRule="exact"/>
        <w:rPr>
          <w:sz w:val="24"/>
          <w:szCs w:val="24"/>
          <w:color w:val="auto"/>
        </w:rPr>
      </w:pPr>
    </w:p>
    <w:p>
      <w:pPr>
        <w:ind w:left="420" w:hanging="342"/>
        <w:spacing w:after="0"/>
        <w:tabs>
          <w:tab w:leader="none" w:pos="42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110" w:lineRule="exact"/>
        <w:rPr>
          <w:sz w:val="24"/>
          <w:szCs w:val="24"/>
          <w:color w:val="auto"/>
        </w:rPr>
      </w:pPr>
    </w:p>
    <w:p>
      <w:pPr>
        <w:ind w:left="420" w:hanging="342"/>
        <w:spacing w:after="0"/>
        <w:tabs>
          <w:tab w:leader="none" w:pos="42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123" w:lineRule="exact"/>
        <w:rPr>
          <w:rFonts w:ascii="MS PGothic" w:cs="MS PGothic" w:eastAsia="MS PGothic" w:hAnsi="MS PGothic"/>
          <w:sz w:val="22"/>
          <w:szCs w:val="22"/>
          <w:color w:val="auto"/>
        </w:rPr>
      </w:pPr>
    </w:p>
    <w:p>
      <w:pPr>
        <w:ind w:left="420" w:hanging="342"/>
        <w:spacing w:after="0"/>
        <w:tabs>
          <w:tab w:leader="none" w:pos="420" w:val="left"/>
        </w:tabs>
        <w:numPr>
          <w:ilvl w:val="0"/>
          <w:numId w:val="5"/>
        </w:numPr>
        <w:rPr>
          <w:rFonts w:ascii="MS PGothic" w:cs="MS PGothic" w:eastAsia="MS PGothic" w:hAnsi="MS PGothic"/>
          <w:sz w:val="21"/>
          <w:szCs w:val="21"/>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-544830</wp:posOffset>
            </wp:positionH>
            <wp:positionV relativeFrom="paragraph">
              <wp:posOffset>2727325</wp:posOffset>
            </wp:positionV>
            <wp:extent cx="6810375" cy="1482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0375" cy="14820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03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037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579"/>
        <w:spacing w:after="0" w:line="298" w:lineRule="auto"/>
        <w:rPr>
          <w:sz w:val="20"/>
          <w:szCs w:val="20"/>
          <w:color w:val="auto"/>
        </w:rPr>
      </w:pPr>
      <w:r>
        <w:rPr>
          <w:rFonts w:ascii="Arial" w:cs="Arial" w:eastAsia="Arial" w:hAnsi="Arial"/>
          <w:sz w:val="45"/>
          <w:szCs w:val="45"/>
          <w:b w:val="1"/>
          <w:bCs w:val="1"/>
          <w:color w:val="582C83"/>
        </w:rPr>
        <w:t>LETTER FROM OUR CHAIR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3220" w:val="left"/>
        </w:tabs>
        <w:rPr>
          <w:sz w:val="20"/>
          <w:szCs w:val="20"/>
          <w:color w:val="auto"/>
        </w:rPr>
      </w:pPr>
      <w:r>
        <w:rPr>
          <w:rFonts w:ascii="Arial" w:cs="Arial" w:eastAsia="Arial" w:hAnsi="Arial"/>
          <w:sz w:val="17"/>
          <w:szCs w:val="17"/>
          <w:b w:val="1"/>
          <w:bCs w:val="1"/>
          <w:color w:val="582C83"/>
        </w:rPr>
        <w:t>April 3, 2026</w:t>
      </w:r>
      <w:r>
        <w:rPr>
          <w:sz w:val="20"/>
          <w:szCs w:val="20"/>
          <w:color w:val="auto"/>
        </w:rPr>
        <w:tab/>
      </w:r>
      <w:r>
        <w:rPr>
          <w:rFonts w:ascii="Arial" w:cs="Arial" w:eastAsia="Arial" w:hAnsi="Arial"/>
          <w:sz w:val="17"/>
          <w:szCs w:val="17"/>
          <w:color w:val="auto"/>
        </w:rPr>
        <w:t>Dear Fellow Shareholders,</w:t>
      </w:r>
    </w:p>
    <w:p>
      <w:pPr>
        <w:sectPr>
          <w:pgSz w:w="11900" w:h="16838" w:orient="portrait"/>
          <w:cols w:equalWidth="0" w:num="1">
            <w:col w:w="9039"/>
          </w:cols>
          <w:pgMar w:left="142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Dirk Van de Put</w:t>
      </w:r>
    </w:p>
    <w:p>
      <w:pPr>
        <w:spacing w:after="0" w:line="37"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auto"/>
        </w:rPr>
        <w:t>Chair and Chief Executive Officer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79"/>
        <w:spacing w:after="0" w:line="279" w:lineRule="auto"/>
        <w:rPr>
          <w:sz w:val="20"/>
          <w:szCs w:val="20"/>
          <w:color w:val="auto"/>
        </w:rPr>
      </w:pPr>
      <w:r>
        <w:rPr>
          <w:rFonts w:ascii="Arial" w:cs="Arial" w:eastAsia="Arial" w:hAnsi="Arial"/>
          <w:sz w:val="17"/>
          <w:szCs w:val="17"/>
          <w:color w:val="auto"/>
        </w:rPr>
        <w:t>2025 was a year of strength and transition for Mondelēz International. Amid a challenging backdrop, with historic volatility in cocoa markets and uneven consumer confidence, we delivered solid net revenue growth, durable gross profit dollar generation and strong free cash flow. We also continued to return meaningful capital to our shareholders through dividends and share repurchases. These results reflect the resilience of our categories, the strength of our brands, and the discipline of our execution.</w:t>
      </w:r>
    </w:p>
    <w:p>
      <w:pPr>
        <w:spacing w:after="0" w:line="70" w:lineRule="exact"/>
        <w:rPr>
          <w:sz w:val="20"/>
          <w:szCs w:val="20"/>
          <w:color w:val="auto"/>
        </w:rPr>
      </w:pPr>
    </w:p>
    <w:p>
      <w:pPr>
        <w:ind w:right="239"/>
        <w:spacing w:after="0" w:line="291" w:lineRule="auto"/>
        <w:rPr>
          <w:sz w:val="20"/>
          <w:szCs w:val="20"/>
          <w:color w:val="auto"/>
        </w:rPr>
      </w:pPr>
      <w:r>
        <w:rPr>
          <w:rFonts w:ascii="Arial" w:cs="Arial" w:eastAsia="Arial" w:hAnsi="Arial"/>
          <w:sz w:val="17"/>
          <w:szCs w:val="17"/>
          <w:color w:val="auto"/>
        </w:rPr>
        <w:t>We exited 2025 as a structurally stronger company, positioning us well on our path to reaccelerate growth and consistently deliver our long-term growth algorithm.</w:t>
      </w:r>
    </w:p>
    <w:p>
      <w:pPr>
        <w:spacing w:after="0" w:line="58" w:lineRule="exact"/>
        <w:rPr>
          <w:sz w:val="20"/>
          <w:szCs w:val="20"/>
          <w:color w:val="auto"/>
        </w:rPr>
      </w:pPr>
    </w:p>
    <w:p>
      <w:pPr>
        <w:ind w:right="99"/>
        <w:spacing w:after="0" w:line="279" w:lineRule="auto"/>
        <w:rPr>
          <w:sz w:val="20"/>
          <w:szCs w:val="20"/>
          <w:color w:val="auto"/>
        </w:rPr>
      </w:pPr>
      <w:r>
        <w:rPr>
          <w:rFonts w:ascii="Arial" w:cs="Arial" w:eastAsia="Arial" w:hAnsi="Arial"/>
          <w:sz w:val="17"/>
          <w:szCs w:val="17"/>
          <w:color w:val="auto"/>
        </w:rPr>
        <w:t>Snacking remains deeply embedded in daily life. Consumers snack more than three times per day globally, and our core categories continue to grow faster than broader food. We hold the #1 global position in biscuits and with a strong #2 position in chocolate, with meaningful headroom across cakes and pastries and snack bars. Core snacks are expected to grow steadily over the next five years, supported by stable per capita consumption and continued value expansion.</w:t>
      </w:r>
    </w:p>
    <w:p>
      <w:pPr>
        <w:sectPr>
          <w:pgSz w:w="11900" w:h="16838" w:orient="portrait"/>
          <w:cols w:equalWidth="0" w:num="2">
            <w:col w:w="2600" w:space="640"/>
            <w:col w:w="5799"/>
          </w:cols>
          <w:pgMar w:left="1420" w:top="1440" w:right="1440" w:bottom="0" w:gutter="0" w:footer="0" w:header="0"/>
          <w:type w:val="continuous"/>
        </w:sectPr>
      </w:pPr>
    </w:p>
    <w:bookmarkStart w:id="3" w:name="page4"/>
    <w:bookmarkEnd w:id="3"/>
    <w:p>
      <w:pPr>
        <w:ind w:right="80"/>
        <w:spacing w:after="0" w:line="291" w:lineRule="auto"/>
        <w:rPr>
          <w:sz w:val="20"/>
          <w:szCs w:val="20"/>
          <w:color w:val="auto"/>
        </w:rPr>
      </w:pPr>
      <w:r>
        <w:rPr>
          <w:rFonts w:ascii="Arial" w:cs="Arial" w:eastAsia="Arial" w:hAnsi="Arial"/>
          <w:sz w:val="17"/>
          <w:szCs w:val="17"/>
          <w:color w:val="auto"/>
        </w:rPr>
        <w:t>Our revenue mix has increasingly shifted toward these core categories, and we expect them to comprise 90% of revenues by 2030. Combined with our global footprint and local-first operating model, this focus creates a scalable and resilient growth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-436880</wp:posOffset>
            </wp:positionV>
            <wp:extent cx="6810375" cy="4219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0375" cy="4219575"/>
                    </a:xfrm>
                    <a:prstGeom prst="rect">
                      <a:avLst/>
                    </a:prstGeom>
                    <a:noFill/>
                  </pic:spPr>
                </pic:pic>
              </a:graphicData>
            </a:graphic>
          </wp:anchor>
        </w:drawing>
      </w:r>
    </w:p>
    <w:p>
      <w:pPr>
        <w:spacing w:after="0" w:line="38"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Emerging markets are now a scaled engine of growth, not a future option. Approximately 40% of our revenue comes from these markets, where we have delivered double-digit organic net revenue growth over the past five years. China, India, Brazil, and Mexico represent nearly half of our emerging markets revenue and continue to offer substantial runway through distribution expansion, affordability-focused price pack architecture, and locally relevant innovation. We remain confident that emerging markets will continue to deliver sustainable, volume-led growth over the long term.</w:t>
      </w:r>
    </w:p>
    <w:p>
      <w:pPr>
        <w:spacing w:after="0" w:line="67"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In developed markets, our focus is equally clear: improve execution and restore consistent volume momentum. In North America, we have launched a multi-year supply chain modernization program designed to enhance flexibility, optimize costs, and improve service beginning in 2027. We are increasing working media investments, expanding distribution in under-indexed channels, and refining our price pack architecture to meet evolving consumer needs. While the environment remains competitive, penetration of our brands is stable, and we are confident in our ability to strengthen performance over time.</w:t>
      </w:r>
    </w:p>
    <w:p>
      <w:pPr>
        <w:spacing w:after="0" w:line="66"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color w:val="auto"/>
        </w:rPr>
        <w:t>In Europe, our chocolate business navigated an unprecedented cocoa cycle. Despite significant pricing actions, category fundamentals remain attractive, supported by strong brand loyalty and historically moderate elasticity. As cocoa markets stabilize, we are refining price points, expanding premium offerings, accelerating innovation, and strengthening supply chain resilience. We believe these actions position Europe for recovery and renewed growth.</w:t>
      </w:r>
    </w:p>
    <w:p>
      <w:pPr>
        <w:spacing w:after="0" w:line="61"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Cocoa volatility was the defining challenge of 2025. We addressed it through disciplined pricing, structural supply chain actions, and focused reinvestment. We are expanding sourcing beyond West Africa, supporting improved agronomy practices and large-scale farming, and investing in alternative technologies, including cell-cultured and fermented cocoa. As cocoa fundamentals normalize, we expect improved margin dynamics and stronger earnings growth beginning in 2027, while continuing to invest appropriately behind our brands.</w:t>
      </w:r>
    </w:p>
    <w:p>
      <w:pPr>
        <w:spacing w:after="0" w:line="200" w:lineRule="exact"/>
        <w:rPr>
          <w:sz w:val="20"/>
          <w:szCs w:val="20"/>
          <w:color w:val="auto"/>
        </w:rPr>
      </w:pPr>
    </w:p>
    <w:p>
      <w:pPr>
        <w:spacing w:after="0" w:line="312" w:lineRule="exact"/>
        <w:rPr>
          <w:sz w:val="20"/>
          <w:szCs w:val="20"/>
          <w:color w:val="auto"/>
        </w:rPr>
      </w:pPr>
    </w:p>
    <w:p>
      <w:pPr>
        <w:ind w:left="6940"/>
        <w:spacing w:after="0"/>
        <w:rPr>
          <w:sz w:val="20"/>
          <w:szCs w:val="20"/>
          <w:color w:val="auto"/>
        </w:rPr>
      </w:pPr>
      <w:r>
        <w:rPr>
          <w:rFonts w:ascii="Arial" w:cs="Arial" w:eastAsia="Arial" w:hAnsi="Arial"/>
          <w:sz w:val="14"/>
          <w:szCs w:val="14"/>
          <w:b w:val="1"/>
          <w:bCs w:val="1"/>
          <w:color w:val="582C83"/>
        </w:rPr>
        <w:t>2026 PROXY STATEMENT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6214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0375" cy="6214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LETTER FROM OUR CHAIR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To further elevate execution in this dynamic environment, we appointed Luca Zaramella as Chief Operating Officer, overseeing our commercial operations across all four geographic regions, as well as our corporate sales, marketing, and supply chain functions. In the near term, Luca also remains in his role as Chief Financial Officer, while we search for a new leader to fulfill that role. Luca is a strong operational and financial leader with deep knowledge of our business and a consistent record of driving results. His expanded role is designed to sharpen accountability, accelerate decision-making, and raise the bar on operational excellence across the enterprise. I am confident that this structure will further strengthen our execution and accelerate our performance as we realize the promise of our growth agenda.</w:t>
      </w:r>
    </w:p>
    <w:p>
      <w:pPr>
        <w:spacing w:after="0" w:line="70"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Across the Company, our competitive advantages continue to compound. Our iconic brands demonstrate strong and growing consumer equity. Our localized supply chains and route to market capabilities enable speed and agility. Our category-focused research and development fuels innovation. And our engaged culture, grounded in a growth mindset and local accountability, supports consistent performance.</w:t>
      </w:r>
    </w:p>
    <w:p>
      <w:pPr>
        <w:spacing w:after="0" w:line="6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These advantages underpin our long-term growth algorithm aspiration of 3% to 5% organic net revenue growth, high single-digit adjusted EPS growth, and more than $3 billion in free cash flow. We remain committed to disciplined capital allocation, balancing reinvestment in the business, targeted bolt-on acquisitions, and meaningful returns of capital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to shareholders.</w:t>
      </w:r>
    </w:p>
    <w:p>
      <w:pPr>
        <w:spacing w:after="0" w:line="129"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While volatility may persist in the near term, our fundamentals are strong. We operate in attractive and resilient categories, supported by leading brands, a diversified geographic footprint, and strengthened operational leadership. We are confident in our strategy, confident in our team, and confident in our ability to deliver sustainable, long-term value.</w:t>
      </w:r>
    </w:p>
    <w:p>
      <w:pPr>
        <w:spacing w:after="0" w:line="80" w:lineRule="exact"/>
        <w:rPr>
          <w:sz w:val="20"/>
          <w:szCs w:val="20"/>
          <w:color w:val="auto"/>
        </w:rPr>
      </w:pPr>
    </w:p>
    <w:p>
      <w:pPr>
        <w:ind w:right="100"/>
        <w:spacing w:after="0" w:line="301" w:lineRule="auto"/>
        <w:rPr>
          <w:sz w:val="20"/>
          <w:szCs w:val="20"/>
          <w:color w:val="auto"/>
        </w:rPr>
      </w:pPr>
      <w:r>
        <w:rPr>
          <w:rFonts w:ascii="Arial" w:cs="Arial" w:eastAsia="Arial" w:hAnsi="Arial"/>
          <w:sz w:val="17"/>
          <w:szCs w:val="17"/>
          <w:color w:val="auto"/>
        </w:rPr>
        <w:t>On behalf of our approximately 91,000 colleagues around the world, thank you for your continued trust and investment in Mondelēz International.</w:t>
      </w:r>
    </w:p>
    <w:p>
      <w:pPr>
        <w:spacing w:after="0" w:line="63" w:lineRule="exact"/>
        <w:rPr>
          <w:sz w:val="20"/>
          <w:szCs w:val="20"/>
          <w:color w:val="auto"/>
        </w:rPr>
      </w:pPr>
    </w:p>
    <w:p>
      <w:pPr>
        <w:ind w:left="8300"/>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Dirk Van de Put</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Chair and Chief Executive Officer</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Mondelēz International, Inc.</w:t>
      </w:r>
    </w:p>
    <w:p>
      <w:pPr>
        <w:sectPr>
          <w:pgSz w:w="11900" w:h="16838" w:orient="portrait"/>
          <w:cols w:equalWidth="0" w:num="1">
            <w:col w:w="9040"/>
          </w:cols>
          <w:pgMar w:left="1420" w:top="118" w:right="1439" w:bottom="1097"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642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0375" cy="264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2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779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0375" cy="7791450"/>
                    </a:xfrm>
                    <a:prstGeom prst="rect">
                      <a:avLst/>
                    </a:prstGeom>
                    <a:noFill/>
                  </pic:spPr>
                </pic:pic>
              </a:graphicData>
            </a:graphic>
          </wp:anchor>
        </w:drawing>
      </w:r>
    </w:p>
    <w:p>
      <w:pPr>
        <w:sectPr>
          <w:pgSz w:w="11900" w:h="16891" w:orient="portrait"/>
          <w:cols w:equalWidth="0" w:num="1">
            <w:col w:w="9040"/>
          </w:cols>
          <w:pgMar w:left="1420" w:top="1440" w:right="1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340"/>
        <w:spacing w:after="0" w:line="310" w:lineRule="auto"/>
        <w:rPr>
          <w:sz w:val="20"/>
          <w:szCs w:val="20"/>
          <w:color w:val="auto"/>
        </w:rPr>
      </w:pPr>
      <w:r>
        <w:rPr>
          <w:rFonts w:ascii="Arial" w:cs="Arial" w:eastAsia="Arial" w:hAnsi="Arial"/>
          <w:sz w:val="44"/>
          <w:szCs w:val="44"/>
          <w:b w:val="1"/>
          <w:bCs w:val="1"/>
          <w:color w:val="582C83"/>
        </w:rPr>
        <w:t>LETTER FROM OUR LEAD INDEPENDENT DIRECTOR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3220" w:val="left"/>
        </w:tabs>
        <w:rPr>
          <w:sz w:val="20"/>
          <w:szCs w:val="20"/>
          <w:color w:val="auto"/>
        </w:rPr>
      </w:pPr>
      <w:r>
        <w:rPr>
          <w:rFonts w:ascii="Arial" w:cs="Arial" w:eastAsia="Arial" w:hAnsi="Arial"/>
          <w:sz w:val="17"/>
          <w:szCs w:val="17"/>
          <w:b w:val="1"/>
          <w:bCs w:val="1"/>
          <w:color w:val="592C82"/>
        </w:rPr>
        <w:t>April 3, 2026</w:t>
      </w:r>
      <w:r>
        <w:rPr>
          <w:sz w:val="20"/>
          <w:szCs w:val="20"/>
          <w:color w:val="auto"/>
        </w:rPr>
        <w:tab/>
      </w:r>
      <w:r>
        <w:rPr>
          <w:rFonts w:ascii="Arial" w:cs="Arial" w:eastAsia="Arial" w:hAnsi="Arial"/>
          <w:sz w:val="17"/>
          <w:szCs w:val="17"/>
          <w:color w:val="auto"/>
        </w:rPr>
        <w:t>Dear Fellow Shareholders,</w:t>
      </w:r>
    </w:p>
    <w:p>
      <w:pPr>
        <w:sectPr>
          <w:pgSz w:w="11900" w:h="16891" w:orient="portrait"/>
          <w:cols w:equalWidth="0" w:num="1">
            <w:col w:w="9040"/>
          </w:cols>
          <w:pgMar w:left="1420" w:top="1440" w:right="1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Patrick T. Siewert</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auto"/>
        </w:rPr>
        <w:t>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spacing w:after="0" w:line="275" w:lineRule="auto"/>
        <w:rPr>
          <w:sz w:val="20"/>
          <w:szCs w:val="20"/>
          <w:color w:val="auto"/>
        </w:rPr>
      </w:pPr>
      <w:r>
        <w:rPr>
          <w:rFonts w:ascii="Arial" w:cs="Arial" w:eastAsia="Arial" w:hAnsi="Arial"/>
          <w:sz w:val="18"/>
          <w:szCs w:val="18"/>
          <w:b w:val="1"/>
          <w:bCs w:val="1"/>
          <w:color w:val="582C83"/>
        </w:rPr>
        <w:t>“We recognize that when you invest in Mondelēz International, you place your trust in the Board, the management team, and the Company. We deeply value that trust and remain committed to providing independent oversight, sound governance, and long-term value creation for our shareholders.”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color w:val="auto"/>
        </w:rPr>
        <w:t>As we reflect on 2025 and look ahead, I am pleased to share the Board’s continued focus on advancing Mondelēz International’s long-term growth strategy and upholding strong governance practices. The progress the Company has achieved amid a dynamic and, at times, volatile operating environment reinforces our confidence in the path we have charted.</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During 2025, the Company navigated historic volatility in cocoa markets and evolving consumer demand patterns across several regions. Throughout this period, the Board remained closely engaged with Chair and Chief Executive Officer Dirk Van de Put and the broader executive leadership team as they executed the Company’s strategy. We reviewed business plans, margin dynamics, capital allocation priorities, and supply chain resilience initiatives, while maintaining our focus on restoring consistent volume momentum in developed markets and sustaining strong growth across emerging markets.</w:t>
      </w:r>
    </w:p>
    <w:p>
      <w:pPr>
        <w:spacing w:after="0" w:line="73"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Board continues to support management’s disciplined execution on our path to consistently deliver our long-term growth algorithm aspiration and Vision 2030 priorities. We remain committed to providing independent, strategic oversight of the Company’s operations and helping ensure</w:t>
      </w:r>
    </w:p>
    <w:p>
      <w:pPr>
        <w:spacing w:after="0" w:line="2" w:lineRule="exact"/>
        <w:rPr>
          <w:sz w:val="20"/>
          <w:szCs w:val="20"/>
          <w:color w:val="auto"/>
        </w:rPr>
      </w:pPr>
    </w:p>
    <w:p>
      <w:pPr>
        <w:ind w:right="740"/>
        <w:spacing w:after="0" w:line="259" w:lineRule="auto"/>
        <w:rPr>
          <w:sz w:val="20"/>
          <w:szCs w:val="20"/>
          <w:color w:val="auto"/>
        </w:rPr>
      </w:pPr>
      <w:r>
        <w:rPr>
          <w:rFonts w:ascii="Arial" w:cs="Arial" w:eastAsia="Arial" w:hAnsi="Arial"/>
          <w:sz w:val="17"/>
          <w:szCs w:val="17"/>
          <w:color w:val="auto"/>
        </w:rPr>
        <w:t>that robust governance practices remain at the foundation of our decision-making. Independent directors meet regularly in executive sessions, and we maintain active oversight across strategy, risk management, succession planning, and executive compensation.</w:t>
      </w:r>
    </w:p>
    <w:p>
      <w:pPr>
        <w:spacing w:after="0" w:line="72"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Board composition and refreshment remain priorities. Our directors collectively bring deep global consumer, financial, operational, and governance expertise. We believe this breadth of experience positions us well to guide the Company as it navigates an evolving global landscape. At our 2026 Annual Meeting, we will ask shareholders to elect a highly qualified slate of director nominees whose skills and experience align with the Company’s strategy and global footprint.</w:t>
      </w:r>
    </w:p>
    <w:p>
      <w:pPr>
        <w:spacing w:after="0" w:line="74"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Leadership development is also a key area of the Board’s focus. During the year, we appointed Luca Zaramella to serve as Chief Operating Officer. This decision reflects the Board’s confidence in Luca’s operational and financial leadership and our commitment to supporting strong execution as the Company advances its growth agenda.</w:t>
      </w:r>
    </w:p>
    <w:p>
      <w:pPr>
        <w:spacing w:after="0" w:line="179" w:lineRule="exact"/>
        <w:rPr>
          <w:sz w:val="20"/>
          <w:szCs w:val="20"/>
          <w:color w:val="auto"/>
        </w:rPr>
      </w:pPr>
    </w:p>
    <w:p>
      <w:pPr>
        <w:sectPr>
          <w:pgSz w:w="11900" w:h="16891" w:orient="portrait"/>
          <w:cols w:equalWidth="0" w:num="2">
            <w:col w:w="2520" w:space="720"/>
            <w:col w:w="5800"/>
          </w:cols>
          <w:pgMar w:left="1420" w:top="1440" w:right="1439" w:bottom="0" w:gutter="0" w:footer="0" w:header="0"/>
          <w:type w:val="continuous"/>
        </w:sectPr>
      </w:pPr>
    </w:p>
    <w:p>
      <w:pPr>
        <w:ind w:right="320"/>
        <w:spacing w:after="0" w:line="266" w:lineRule="auto"/>
        <w:rPr>
          <w:sz w:val="20"/>
          <w:szCs w:val="20"/>
          <w:color w:val="auto"/>
        </w:rPr>
      </w:pPr>
      <w:r>
        <w:rPr>
          <w:rFonts w:ascii="Arial" w:cs="Arial" w:eastAsia="Arial" w:hAnsi="Arial"/>
          <w:sz w:val="17"/>
          <w:szCs w:val="17"/>
          <w:color w:val="auto"/>
        </w:rPr>
        <w:t>Sustainability initiatives continue to be a driver of long-term value creation. The Board oversees progress against the Sustainability pillar of Vision 2030, including responsible sourcing initiatives and efforts to enhance supply chain resilience and promote human rights across the value chain. We believe these actions are integral to maintaining the strength of our brands, supporting the communities in which we operate, and creating long-term value.</w:t>
      </w:r>
    </w:p>
    <w:p>
      <w:pPr>
        <w:spacing w:after="0" w:line="6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We recognize that when you invest in Mondelēz International, you place your trust in the Board, the management team, and the Company. We deeply value that trust and remain committed to providing independent oversight, sound governance, and long-term value creation for our shareholders. As we have in years past, we regularly engaged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with shareholders in 2025 to seek their input on emerging issues, address their questions, and understand</w:t>
      </w:r>
    </w:p>
    <w:p>
      <w:pPr>
        <w:sectPr>
          <w:pgSz w:w="11900" w:h="16891" w:orient="portrait"/>
          <w:cols w:equalWidth="0" w:num="1">
            <w:col w:w="9040"/>
          </w:cols>
          <w:pgMar w:left="1420" w:top="1440" w:right="1439" w:bottom="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color w:val="auto"/>
        </w:rPr>
        <w:t>their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-100330</wp:posOffset>
            </wp:positionV>
            <wp:extent cx="6810375" cy="1064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0375" cy="1064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940"/>
        <w:spacing w:after="0"/>
        <w:rPr>
          <w:sz w:val="20"/>
          <w:szCs w:val="20"/>
          <w:color w:val="auto"/>
        </w:rPr>
      </w:pPr>
      <w:r>
        <w:rPr>
          <w:rFonts w:ascii="Arial" w:cs="Arial" w:eastAsia="Arial" w:hAnsi="Arial"/>
          <w:sz w:val="14"/>
          <w:szCs w:val="14"/>
          <w:b w:val="1"/>
          <w:bCs w:val="1"/>
          <w:color w:val="582C83"/>
        </w:rPr>
        <w:t>2026 PROXY STATEMENT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867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LETTER FROM OUR LEAD INDEPENDENT DIRECTOR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On behalf of the Board of Directors, thank you for your continued investment in Mondelēz International. We encourage you to review this proxy statement and vote your shares in alignment with the Board’s recommendations.</w:t>
      </w:r>
    </w:p>
    <w:p>
      <w:pPr>
        <w:spacing w:after="0" w:line="50" w:lineRule="exact"/>
        <w:rPr>
          <w:sz w:val="20"/>
          <w:szCs w:val="20"/>
          <w:color w:val="auto"/>
        </w:rPr>
      </w:pPr>
    </w:p>
    <w:p>
      <w:pPr>
        <w:ind w:left="8300"/>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Patrick T. Siewert</w:t>
      </w:r>
    </w:p>
    <w:p>
      <w:pPr>
        <w:spacing w:after="0" w:line="29"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Lead Independent Director</w:t>
      </w:r>
    </w:p>
    <w:p>
      <w:pPr>
        <w:spacing w:after="0" w:line="25" w:lineRule="exact"/>
        <w:rPr>
          <w:sz w:val="20"/>
          <w:szCs w:val="20"/>
          <w:color w:val="auto"/>
        </w:rPr>
      </w:pPr>
    </w:p>
    <w:p>
      <w:pPr>
        <w:ind w:left="6940"/>
        <w:spacing w:after="0"/>
        <w:rPr>
          <w:sz w:val="20"/>
          <w:szCs w:val="20"/>
          <w:color w:val="auto"/>
        </w:rPr>
      </w:pPr>
      <w:r>
        <w:rPr>
          <w:rFonts w:ascii="Arial" w:cs="Arial" w:eastAsia="Arial" w:hAnsi="Arial"/>
          <w:sz w:val="17"/>
          <w:szCs w:val="17"/>
          <w:color w:val="auto"/>
        </w:rPr>
        <w:t>Mondelēz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4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419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0375" cy="419100"/>
                    </a:xfrm>
                    <a:prstGeom prst="rect">
                      <a:avLst/>
                    </a:prstGeom>
                    <a:noFill/>
                  </pic:spPr>
                </pic:pic>
              </a:graphicData>
            </a:graphic>
          </wp:anchor>
        </w:drawing>
      </w:r>
    </w:p>
    <w:p>
      <w:pPr>
        <w:sectPr>
          <w:pgSz w:w="11900" w:h="16838" w:orient="portrait"/>
          <w:cols w:equalWidth="0" w:num="1">
            <w:col w:w="9040"/>
          </w:cols>
          <w:pgMar w:left="1420" w:top="104" w:right="1439" w:bottom="781" w:gutter="0" w:footer="0" w:header="0"/>
        </w:sectPr>
      </w:pPr>
    </w:p>
    <w:bookmarkStart w:id="6" w:name="page7"/>
    <w:bookmarkEnd w:id="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437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0375" cy="8437245"/>
                    </a:xfrm>
                    <a:prstGeom prst="rect">
                      <a:avLst/>
                    </a:prstGeom>
                    <a:noFill/>
                  </pic:spPr>
                </pic:pic>
              </a:graphicData>
            </a:graphic>
          </wp:anchor>
        </w:drawing>
      </w:r>
    </w:p>
    <w:p>
      <w:pPr>
        <w:ind w:right="1259"/>
        <w:spacing w:after="0" w:line="298" w:lineRule="auto"/>
        <w:rPr>
          <w:sz w:val="20"/>
          <w:szCs w:val="20"/>
          <w:color w:val="auto"/>
        </w:rPr>
      </w:pPr>
      <w:r>
        <w:rPr>
          <w:rFonts w:ascii="Arial" w:cs="Arial" w:eastAsia="Arial" w:hAnsi="Arial"/>
          <w:sz w:val="45"/>
          <w:szCs w:val="45"/>
          <w:b w:val="1"/>
          <w:bCs w:val="1"/>
          <w:color w:val="582C83"/>
        </w:rPr>
        <w:t>NOTICE OF 2026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582C83"/>
        </w:rPr>
        <w:t>TIME AND DATE</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9:00 a.m. CDT on May 20, 2026</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4140" w:type="dxa"/>
            <w:vAlign w:val="bottom"/>
          </w:tcPr>
          <w:p>
            <w:pPr>
              <w:spacing w:after="0"/>
              <w:rPr>
                <w:sz w:val="20"/>
                <w:szCs w:val="20"/>
                <w:color w:val="auto"/>
              </w:rPr>
            </w:pPr>
            <w:r>
              <w:rPr>
                <w:rFonts w:ascii="Arial" w:cs="Arial" w:eastAsia="Arial" w:hAnsi="Arial"/>
                <w:sz w:val="18"/>
                <w:szCs w:val="18"/>
                <w:b w:val="1"/>
                <w:bCs w:val="1"/>
                <w:color w:val="auto"/>
              </w:rPr>
              <w:t>Venue</w:t>
            </w:r>
          </w:p>
        </w:tc>
        <w:tc>
          <w:tcPr>
            <w:tcW w:w="4580" w:type="dxa"/>
            <w:vAlign w:val="bottom"/>
          </w:tcPr>
          <w:p>
            <w:pPr>
              <w:jc w:val="center"/>
              <w:ind w:left="2188"/>
              <w:spacing w:after="0"/>
              <w:rPr>
                <w:sz w:val="20"/>
                <w:szCs w:val="20"/>
                <w:color w:val="auto"/>
              </w:rPr>
            </w:pPr>
            <w:r>
              <w:rPr>
                <w:rFonts w:ascii="Arial" w:cs="Arial" w:eastAsia="Arial" w:hAnsi="Arial"/>
                <w:sz w:val="14"/>
                <w:szCs w:val="14"/>
                <w:b w:val="1"/>
                <w:bCs w:val="1"/>
                <w:color w:val="auto"/>
              </w:rPr>
              <w:t>905 West Fulton Market, Suite 200</w:t>
            </w:r>
          </w:p>
        </w:tc>
        <w:tc>
          <w:tcPr>
            <w:tcW w:w="0" w:type="dxa"/>
            <w:vAlign w:val="bottom"/>
          </w:tcPr>
          <w:p>
            <w:pPr>
              <w:spacing w:after="0"/>
              <w:rPr>
                <w:sz w:val="1"/>
                <w:szCs w:val="1"/>
                <w:color w:val="auto"/>
              </w:rPr>
            </w:pPr>
          </w:p>
        </w:tc>
      </w:tr>
      <w:tr>
        <w:trPr>
          <w:trHeight w:val="189"/>
        </w:trPr>
        <w:tc>
          <w:tcPr>
            <w:tcW w:w="4140" w:type="dxa"/>
            <w:vAlign w:val="bottom"/>
            <w:vMerge w:val="restart"/>
          </w:tcPr>
          <w:p>
            <w:pPr>
              <w:spacing w:after="0"/>
              <w:rPr>
                <w:sz w:val="20"/>
                <w:szCs w:val="20"/>
                <w:color w:val="auto"/>
              </w:rPr>
            </w:pPr>
            <w:r>
              <w:rPr>
                <w:rFonts w:ascii="Arial" w:cs="Arial" w:eastAsia="Arial" w:hAnsi="Arial"/>
                <w:sz w:val="14"/>
                <w:szCs w:val="14"/>
                <w:color w:val="auto"/>
              </w:rPr>
              <w:t>Virtual Annual Meeting</w:t>
            </w:r>
          </w:p>
        </w:tc>
        <w:tc>
          <w:tcPr>
            <w:tcW w:w="4580" w:type="dxa"/>
            <w:vAlign w:val="bottom"/>
          </w:tcPr>
          <w:p>
            <w:pPr>
              <w:jc w:val="center"/>
              <w:ind w:left="2168"/>
              <w:spacing w:after="0"/>
              <w:rPr>
                <w:sz w:val="20"/>
                <w:szCs w:val="20"/>
                <w:color w:val="auto"/>
              </w:rPr>
            </w:pPr>
            <w:r>
              <w:rPr>
                <w:rFonts w:ascii="Arial" w:cs="Arial" w:eastAsia="Arial" w:hAnsi="Arial"/>
                <w:sz w:val="14"/>
                <w:szCs w:val="14"/>
                <w:b w:val="1"/>
                <w:bCs w:val="1"/>
                <w:color w:val="auto"/>
              </w:rPr>
              <w:t>Chicago, IL 60607</w:t>
            </w:r>
          </w:p>
        </w:tc>
        <w:tc>
          <w:tcPr>
            <w:tcW w:w="0" w:type="dxa"/>
            <w:vAlign w:val="bottom"/>
          </w:tcPr>
          <w:p>
            <w:pPr>
              <w:spacing w:after="0"/>
              <w:rPr>
                <w:sz w:val="1"/>
                <w:szCs w:val="1"/>
                <w:color w:val="auto"/>
              </w:rPr>
            </w:pPr>
          </w:p>
        </w:tc>
      </w:tr>
      <w:tr>
        <w:trPr>
          <w:trHeight w:val="33"/>
        </w:trPr>
        <w:tc>
          <w:tcPr>
            <w:tcW w:w="4140" w:type="dxa"/>
            <w:vAlign w:val="bottom"/>
            <w:vMerge w:val="continue"/>
          </w:tcPr>
          <w:p>
            <w:pPr>
              <w:spacing w:after="0"/>
              <w:rPr>
                <w:sz w:val="2"/>
                <w:szCs w:val="2"/>
                <w:color w:val="auto"/>
              </w:rPr>
            </w:pPr>
          </w:p>
        </w:tc>
        <w:tc>
          <w:tcPr>
            <w:tcW w:w="4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4140" w:type="dxa"/>
            <w:vAlign w:val="bottom"/>
          </w:tcPr>
          <w:p>
            <w:pPr>
              <w:spacing w:after="0"/>
              <w:rPr>
                <w:sz w:val="20"/>
                <w:szCs w:val="20"/>
                <w:color w:val="auto"/>
              </w:rPr>
            </w:pPr>
            <w:r>
              <w:rPr>
                <w:rFonts w:ascii="Arial" w:cs="Arial" w:eastAsia="Arial" w:hAnsi="Arial"/>
                <w:sz w:val="14"/>
                <w:szCs w:val="14"/>
                <w:b w:val="1"/>
                <w:bCs w:val="1"/>
                <w:i w:val="1"/>
                <w:iCs w:val="1"/>
                <w:color w:val="582C83"/>
              </w:rPr>
              <w:t>www.proxydocs.com/MDLZ</w:t>
            </w: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414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20"/>
                <w:szCs w:val="20"/>
                <w:color w:val="auto"/>
              </w:rPr>
            </w:pPr>
            <w:r>
              <w:rPr>
                <w:rFonts w:ascii="Arial" w:cs="Arial" w:eastAsia="Arial" w:hAnsi="Arial"/>
                <w:sz w:val="14"/>
                <w:szCs w:val="14"/>
                <w:b w:val="1"/>
                <w:bCs w:val="1"/>
                <w:color w:val="auto"/>
              </w:rPr>
              <w:t>March 11, 2026</w:t>
            </w:r>
          </w:p>
        </w:tc>
        <w:tc>
          <w:tcPr>
            <w:tcW w:w="4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80"/>
        <w:spacing w:after="0" w:line="181" w:lineRule="auto"/>
        <w:rPr>
          <w:sz w:val="20"/>
          <w:szCs w:val="20"/>
          <w:color w:val="auto"/>
        </w:rPr>
      </w:pPr>
      <w:r>
        <w:rPr>
          <w:rFonts w:ascii="Arial" w:cs="Arial" w:eastAsia="Arial" w:hAnsi="Arial"/>
          <w:sz w:val="127"/>
          <w:szCs w:val="127"/>
          <w:color w:val="auto"/>
        </w:rPr>
        <w:t>5</w:t>
      </w:r>
      <w:r>
        <w:rPr>
          <w:rFonts w:ascii="Arial" w:cs="Arial" w:eastAsia="Arial" w:hAnsi="Arial"/>
          <w:sz w:val="20"/>
          <w:szCs w:val="20"/>
          <w:b w:val="1"/>
          <w:bCs w:val="1"/>
          <w:color w:val="582C83"/>
        </w:rPr>
        <w:t>ITEMSOFBUSINESS:</w:t>
      </w:r>
    </w:p>
    <w:p>
      <w:pPr>
        <w:ind w:left="780"/>
        <w:spacing w:after="0" w:line="207" w:lineRule="auto"/>
        <w:tabs>
          <w:tab w:leader="none" w:pos="1100" w:val="left"/>
        </w:tabs>
        <w:rPr>
          <w:sz w:val="20"/>
          <w:szCs w:val="20"/>
          <w:color w:val="auto"/>
        </w:rPr>
      </w:pPr>
      <w:r>
        <w:rPr>
          <w:rFonts w:ascii="Arial" w:cs="Arial" w:eastAsia="Arial" w:hAnsi="Arial"/>
          <w:sz w:val="16"/>
          <w:szCs w:val="16"/>
          <w:b w:val="1"/>
          <w:bCs w:val="1"/>
          <w:color w:val="582C83"/>
        </w:rPr>
        <w:t>1.</w:t>
      </w:r>
      <w:r>
        <w:rPr>
          <w:sz w:val="20"/>
          <w:szCs w:val="20"/>
          <w:color w:val="auto"/>
        </w:rPr>
        <w:tab/>
      </w:r>
      <w:r>
        <w:rPr>
          <w:rFonts w:ascii="Arial" w:cs="Arial" w:eastAsia="Arial" w:hAnsi="Arial"/>
          <w:sz w:val="17"/>
          <w:szCs w:val="17"/>
          <w:color w:val="auto"/>
        </w:rPr>
        <w:t>To elect as directors the 10 director nominees named in the Proxy Statement (“Proxy Statement”);</w:t>
      </w:r>
    </w:p>
    <w:p>
      <w:pPr>
        <w:ind w:left="2000"/>
        <w:spacing w:after="0" w:line="186" w:lineRule="auto"/>
        <w:rPr>
          <w:sz w:val="20"/>
          <w:szCs w:val="20"/>
          <w:color w:val="auto"/>
        </w:rPr>
      </w:pPr>
      <w:r>
        <w:rPr>
          <w:rFonts w:ascii="Arial" w:cs="Arial" w:eastAsia="Arial" w:hAnsi="Arial"/>
          <w:sz w:val="10"/>
          <w:szCs w:val="10"/>
          <w:b w:val="1"/>
          <w:bCs w:val="1"/>
          <w:color w:val="auto"/>
        </w:rPr>
        <w:t>WHO MAY VOTE:</w:t>
      </w:r>
    </w:p>
    <w:p>
      <w:pPr>
        <w:ind w:left="780"/>
        <w:spacing w:after="0"/>
        <w:tabs>
          <w:tab w:leader="none" w:pos="1100" w:val="left"/>
        </w:tabs>
        <w:rPr>
          <w:sz w:val="20"/>
          <w:szCs w:val="20"/>
          <w:color w:val="auto"/>
        </w:rPr>
      </w:pPr>
      <w:r>
        <w:rPr>
          <w:rFonts w:ascii="Arial" w:cs="Arial" w:eastAsia="Arial" w:hAnsi="Arial"/>
          <w:sz w:val="16"/>
          <w:szCs w:val="16"/>
          <w:b w:val="1"/>
          <w:bCs w:val="1"/>
          <w:color w:val="582C83"/>
        </w:rPr>
        <w:t>2.</w:t>
      </w:r>
      <w:r>
        <w:rPr>
          <w:sz w:val="20"/>
          <w:szCs w:val="20"/>
          <w:color w:val="auto"/>
        </w:rPr>
        <w:tab/>
      </w:r>
      <w:r>
        <w:rPr>
          <w:rFonts w:ascii="Arial" w:cs="Arial" w:eastAsia="Arial" w:hAnsi="Arial"/>
          <w:sz w:val="17"/>
          <w:szCs w:val="17"/>
          <w:color w:val="auto"/>
        </w:rPr>
        <w:t>To approve, on an advisory basis, the Company’s executive compensation;</w:t>
      </w:r>
    </w:p>
    <w:p>
      <w:pPr>
        <w:spacing w:after="0" w:line="45" w:lineRule="exact"/>
        <w:rPr>
          <w:sz w:val="20"/>
          <w:szCs w:val="20"/>
          <w:color w:val="auto"/>
        </w:rPr>
      </w:pPr>
    </w:p>
    <w:p>
      <w:pPr>
        <w:ind w:left="1120" w:right="999" w:hanging="339"/>
        <w:spacing w:after="0" w:line="290" w:lineRule="auto"/>
        <w:tabs>
          <w:tab w:leader="none" w:pos="1100" w:val="left"/>
        </w:tabs>
        <w:rPr>
          <w:sz w:val="20"/>
          <w:szCs w:val="20"/>
          <w:color w:val="auto"/>
        </w:rPr>
      </w:pPr>
      <w:r>
        <w:rPr>
          <w:rFonts w:ascii="Arial" w:cs="Arial" w:eastAsia="Arial" w:hAnsi="Arial"/>
          <w:sz w:val="16"/>
          <w:szCs w:val="16"/>
          <w:b w:val="1"/>
          <w:bCs w:val="1"/>
          <w:color w:val="582C83"/>
        </w:rPr>
        <w:t>3.</w:t>
      </w:r>
      <w:r>
        <w:rPr>
          <w:sz w:val="20"/>
          <w:szCs w:val="20"/>
          <w:color w:val="auto"/>
        </w:rPr>
        <w:tab/>
      </w:r>
      <w:r>
        <w:rPr>
          <w:rFonts w:ascii="Arial" w:cs="Arial" w:eastAsia="Arial" w:hAnsi="Arial"/>
          <w:sz w:val="17"/>
          <w:szCs w:val="17"/>
          <w:color w:val="auto"/>
        </w:rPr>
        <w:t>To ratify the selection of PricewaterhouseCoopers LLP as the independent registered public accountants for the fiscal year ending December 31, 2026;</w:t>
      </w:r>
    </w:p>
    <w:p>
      <w:pPr>
        <w:ind w:left="780"/>
        <w:spacing w:after="0"/>
        <w:tabs>
          <w:tab w:leader="none" w:pos="1100" w:val="left"/>
        </w:tabs>
        <w:rPr>
          <w:sz w:val="20"/>
          <w:szCs w:val="20"/>
          <w:color w:val="auto"/>
        </w:rPr>
      </w:pPr>
      <w:r>
        <w:rPr>
          <w:rFonts w:ascii="Arial" w:cs="Arial" w:eastAsia="Arial" w:hAnsi="Arial"/>
          <w:sz w:val="16"/>
          <w:szCs w:val="16"/>
          <w:b w:val="1"/>
          <w:bCs w:val="1"/>
          <w:color w:val="582C83"/>
        </w:rPr>
        <w:t>4.</w:t>
      </w:r>
      <w:r>
        <w:rPr>
          <w:sz w:val="20"/>
          <w:szCs w:val="20"/>
          <w:color w:val="auto"/>
        </w:rPr>
        <w:tab/>
      </w:r>
      <w:r>
        <w:rPr>
          <w:rFonts w:ascii="Arial" w:cs="Arial" w:eastAsia="Arial" w:hAnsi="Arial"/>
          <w:sz w:val="17"/>
          <w:szCs w:val="17"/>
          <w:color w:val="auto"/>
        </w:rPr>
        <w:t>To vote on two shareholder proposals if properly presented at the meeting; and</w:t>
      </w:r>
    </w:p>
    <w:p>
      <w:pPr>
        <w:spacing w:after="0" w:line="61" w:lineRule="exact"/>
        <w:rPr>
          <w:sz w:val="20"/>
          <w:szCs w:val="20"/>
          <w:color w:val="auto"/>
        </w:rPr>
      </w:pPr>
    </w:p>
    <w:p>
      <w:pPr>
        <w:ind w:left="1120" w:hanging="348"/>
        <w:spacing w:after="0"/>
        <w:tabs>
          <w:tab w:leader="none" w:pos="1120" w:val="left"/>
        </w:tabs>
        <w:numPr>
          <w:ilvl w:val="0"/>
          <w:numId w:val="6"/>
        </w:numPr>
        <w:rPr>
          <w:rFonts w:ascii="Arial" w:cs="Arial" w:eastAsia="Arial" w:hAnsi="Arial"/>
          <w:sz w:val="16"/>
          <w:szCs w:val="16"/>
          <w:b w:val="1"/>
          <w:bCs w:val="1"/>
          <w:color w:val="582C83"/>
        </w:rPr>
      </w:pPr>
      <w:r>
        <w:rPr>
          <w:rFonts w:ascii="Arial" w:cs="Arial" w:eastAsia="Arial" w:hAnsi="Arial"/>
          <w:sz w:val="17"/>
          <w:szCs w:val="17"/>
          <w:color w:val="auto"/>
        </w:rPr>
        <w:t>To transact any other business properly presented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35" w:lineRule="exact"/>
        <w:rPr>
          <w:sz w:val="20"/>
          <w:szCs w:val="20"/>
          <w:color w:val="auto"/>
        </w:rPr>
      </w:pPr>
    </w:p>
    <w:p>
      <w:pPr>
        <w:ind w:right="159"/>
        <w:spacing w:after="0" w:line="281" w:lineRule="auto"/>
        <w:rPr>
          <w:sz w:val="20"/>
          <w:szCs w:val="20"/>
          <w:color w:val="auto"/>
        </w:rPr>
      </w:pPr>
      <w:r>
        <w:rPr>
          <w:rFonts w:ascii="Arial" w:cs="Arial" w:eastAsia="Arial" w:hAnsi="Arial"/>
          <w:sz w:val="17"/>
          <w:szCs w:val="17"/>
          <w:color w:val="auto"/>
        </w:rPr>
        <w:t>Shareholders of record of Mondelēz International Class A Common Stock at the close of business on March 11, 2026, are entitled to vote at the 2026 Annual Meeting of Shareholders (the “Annual Meeting”).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DISTRIBUTION:</w:t>
      </w:r>
    </w:p>
    <w:p>
      <w:pPr>
        <w:spacing w:after="0" w:line="35" w:lineRule="exact"/>
        <w:rPr>
          <w:sz w:val="20"/>
          <w:szCs w:val="20"/>
          <w:color w:val="auto"/>
        </w:rPr>
      </w:pPr>
    </w:p>
    <w:p>
      <w:pPr>
        <w:ind w:right="339"/>
        <w:spacing w:after="0" w:line="287" w:lineRule="auto"/>
        <w:rPr>
          <w:sz w:val="20"/>
          <w:szCs w:val="20"/>
          <w:color w:val="auto"/>
        </w:rPr>
      </w:pPr>
      <w:r>
        <w:rPr>
          <w:rFonts w:ascii="Arial" w:cs="Arial" w:eastAsia="Arial" w:hAnsi="Arial"/>
          <w:sz w:val="17"/>
          <w:szCs w:val="17"/>
          <w:color w:val="auto"/>
        </w:rPr>
        <w:t xml:space="preserve">On or about April 3, 2026, we distributed the Notice of Internet Availability of Proxy Materials and made available electronically the Proxy Statement, Proxy Card, and Annual Report on Form 10-K for the year ended December 31, 2025 (the “2025 Form 10-K”) online at </w:t>
      </w:r>
      <w:r>
        <w:rPr>
          <w:rFonts w:ascii="Arial" w:cs="Arial" w:eastAsia="Arial" w:hAnsi="Arial"/>
          <w:sz w:val="17"/>
          <w:szCs w:val="17"/>
          <w:b w:val="1"/>
          <w:bCs w:val="1"/>
          <w:i w:val="1"/>
          <w:iCs w:val="1"/>
          <w:color w:val="582C83"/>
        </w:rPr>
        <w:t>www.proxydocs.com/MDLZ</w:t>
      </w:r>
      <w:r>
        <w:rPr>
          <w:rFonts w:ascii="Arial" w:cs="Arial" w:eastAsia="Arial" w:hAnsi="Arial"/>
          <w:sz w:val="17"/>
          <w:szCs w:val="17"/>
          <w:b w:val="1"/>
          <w:bCs w:val="1"/>
          <w:i w:val="1"/>
          <w:iCs w:val="1"/>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 OF THE ANNUAL MEETING OF SHAREHOLDERS:</w:t>
      </w:r>
    </w:p>
    <w:p>
      <w:pPr>
        <w:spacing w:after="0" w:line="35" w:lineRule="exact"/>
        <w:rPr>
          <w:sz w:val="20"/>
          <w:szCs w:val="20"/>
          <w:color w:val="auto"/>
        </w:rPr>
      </w:pPr>
    </w:p>
    <w:p>
      <w:pPr>
        <w:ind w:right="139"/>
        <w:spacing w:after="0" w:line="281" w:lineRule="auto"/>
        <w:rPr>
          <w:sz w:val="20"/>
          <w:szCs w:val="20"/>
          <w:color w:val="auto"/>
        </w:rPr>
      </w:pPr>
      <w:r>
        <w:rPr>
          <w:rFonts w:ascii="Arial" w:cs="Arial" w:eastAsia="Arial" w:hAnsi="Arial"/>
          <w:sz w:val="17"/>
          <w:szCs w:val="17"/>
          <w:color w:val="auto"/>
        </w:rPr>
        <w:t>The Board of Directors (the “Board”) has determined that we will hold a virtual Annual Meeting via webcast. We have designed the format of the Annual Meeting so that shareholders have the same rights and opportunities as they would have at a physical meeting for meaningful engagement with the Company.</w:t>
      </w:r>
    </w:p>
    <w:p>
      <w:pPr>
        <w:spacing w:after="0" w:line="67" w:lineRule="exact"/>
        <w:rPr>
          <w:sz w:val="20"/>
          <w:szCs w:val="20"/>
          <w:color w:val="auto"/>
        </w:rPr>
      </w:pPr>
    </w:p>
    <w:p>
      <w:pPr>
        <w:ind w:right="199"/>
        <w:spacing w:after="0" w:line="291" w:lineRule="auto"/>
        <w:rPr>
          <w:sz w:val="20"/>
          <w:szCs w:val="20"/>
          <w:color w:val="auto"/>
        </w:rPr>
      </w:pPr>
      <w:r>
        <w:rPr>
          <w:rFonts w:ascii="Arial" w:cs="Arial" w:eastAsia="Arial" w:hAnsi="Arial"/>
          <w:sz w:val="17"/>
          <w:szCs w:val="17"/>
          <w:b w:val="1"/>
          <w:bCs w:val="1"/>
          <w:color w:val="582C83"/>
        </w:rPr>
        <w:t xml:space="preserve">Access to the Webcast of the Annual Meeting: </w:t>
      </w:r>
      <w:r>
        <w:rPr>
          <w:rFonts w:ascii="Arial" w:cs="Arial" w:eastAsia="Arial" w:hAnsi="Arial"/>
          <w:sz w:val="17"/>
          <w:szCs w:val="17"/>
          <w:color w:val="000000"/>
        </w:rPr>
        <w:t>Only shareholders of record and beneficial owners of shares of our</w:t>
      </w:r>
      <w:r>
        <w:rPr>
          <w:rFonts w:ascii="Arial" w:cs="Arial" w:eastAsia="Arial" w:hAnsi="Arial"/>
          <w:sz w:val="17"/>
          <w:szCs w:val="17"/>
          <w:b w:val="1"/>
          <w:bCs w:val="1"/>
          <w:color w:val="582C83"/>
        </w:rPr>
        <w:t xml:space="preserve"> </w:t>
      </w:r>
      <w:r>
        <w:rPr>
          <w:rFonts w:ascii="Arial" w:cs="Arial" w:eastAsia="Arial" w:hAnsi="Arial"/>
          <w:sz w:val="17"/>
          <w:szCs w:val="17"/>
          <w:color w:val="000000"/>
        </w:rPr>
        <w:t>Common Stock as of the close of business on March 11, 2026, the record date, may attend and participate in the Annual Meeting, including voting and asking questions during the virtual Annual Meeting.</w:t>
      </w:r>
    </w:p>
    <w:p>
      <w:pPr>
        <w:spacing w:after="0" w:line="72" w:lineRule="exact"/>
        <w:rPr>
          <w:sz w:val="20"/>
          <w:szCs w:val="20"/>
          <w:color w:val="auto"/>
        </w:rPr>
      </w:pPr>
    </w:p>
    <w:p>
      <w:pPr>
        <w:jc w:val="both"/>
        <w:ind w:right="239"/>
        <w:spacing w:after="0" w:line="291" w:lineRule="auto"/>
        <w:rPr>
          <w:sz w:val="20"/>
          <w:szCs w:val="20"/>
          <w:color w:val="auto"/>
        </w:rPr>
      </w:pPr>
      <w:r>
        <w:rPr>
          <w:rFonts w:ascii="Arial" w:cs="Arial" w:eastAsia="Arial" w:hAnsi="Arial"/>
          <w:sz w:val="17"/>
          <w:szCs w:val="17"/>
          <w:color w:val="auto"/>
        </w:rPr>
        <w:t xml:space="preserve">To attend the Annual Meeting, you must register at </w:t>
      </w:r>
      <w:r>
        <w:rPr>
          <w:rFonts w:ascii="Arial" w:cs="Arial" w:eastAsia="Arial" w:hAnsi="Arial"/>
          <w:sz w:val="17"/>
          <w:szCs w:val="17"/>
          <w:b w:val="1"/>
          <w:bCs w:val="1"/>
          <w:i w:val="1"/>
          <w:iCs w:val="1"/>
          <w:color w:val="582C83"/>
        </w:rPr>
        <w:t>www.proxydocs.com/MDLZ</w:t>
      </w:r>
      <w:r>
        <w:rPr>
          <w:rFonts w:ascii="Arial" w:cs="Arial" w:eastAsia="Arial" w:hAnsi="Arial"/>
          <w:sz w:val="17"/>
          <w:szCs w:val="17"/>
          <w:color w:val="auto"/>
        </w:rPr>
        <w:t>. Upon completing your registration, you will receive further instructions via email, including a unique link that will allow you access to the Annual Meeting and to vote and submit questions during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59"/>
        <w:spacing w:after="0"/>
        <w:rPr>
          <w:sz w:val="20"/>
          <w:szCs w:val="20"/>
          <w:color w:val="auto"/>
        </w:rPr>
      </w:pPr>
      <w:r>
        <w:rPr>
          <w:rFonts w:ascii="Arial" w:cs="Arial" w:eastAsia="Arial" w:hAnsi="Arial"/>
          <w:sz w:val="14"/>
          <w:szCs w:val="14"/>
          <w:b w:val="1"/>
          <w:bCs w:val="1"/>
          <w:color w:val="582C83"/>
        </w:rPr>
        <w:t>2026 PROXY STATEMENT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1996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10375" cy="199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NOTICE OF 2026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59"/>
        <w:spacing w:after="0" w:line="282" w:lineRule="auto"/>
        <w:rPr>
          <w:sz w:val="20"/>
          <w:szCs w:val="20"/>
          <w:color w:val="auto"/>
        </w:rPr>
      </w:pPr>
      <w:r>
        <w:rPr>
          <w:rFonts w:ascii="Arial" w:cs="Arial" w:eastAsia="Arial" w:hAnsi="Arial"/>
          <w:sz w:val="17"/>
          <w:szCs w:val="17"/>
          <w:color w:val="auto"/>
        </w:rPr>
        <w:t>As part of the registration process, you must enter the control number located on your proxy card, voting instruction form, or Notice of Internet Availability. If you are a beneficial owner of shares registered in the name of a broker, bank, or other nominee, you will also need to provide the registered name on your account and the name of your broker, bank, or other nominee as part of the registration process.</w:t>
      </w:r>
    </w:p>
    <w:p>
      <w:pPr>
        <w:spacing w:after="0" w:line="134" w:lineRule="exact"/>
        <w:rPr>
          <w:sz w:val="20"/>
          <w:szCs w:val="20"/>
          <w:color w:val="auto"/>
        </w:rPr>
      </w:pPr>
    </w:p>
    <w:p>
      <w:pPr>
        <w:ind w:right="599"/>
        <w:spacing w:after="0" w:line="301" w:lineRule="auto"/>
        <w:rPr>
          <w:sz w:val="20"/>
          <w:szCs w:val="20"/>
          <w:color w:val="auto"/>
        </w:rPr>
      </w:pPr>
      <w:r>
        <w:rPr>
          <w:rFonts w:ascii="Arial" w:cs="Arial" w:eastAsia="Arial" w:hAnsi="Arial"/>
          <w:sz w:val="17"/>
          <w:szCs w:val="17"/>
          <w:color w:val="auto"/>
        </w:rPr>
        <w:t>On the day of the Annual Meeting, May 20, 2026, shareholders may begin to log in to the virtual Annual Meeting 15 minutes prior to the Annual Meeting. The Annual Meeting will begin promptly at 9:00 a.m. CDT.</w:t>
      </w:r>
    </w:p>
    <w:p>
      <w:pPr>
        <w:sectPr>
          <w:pgSz w:w="11900" w:h="16900" w:orient="portrait"/>
          <w:cols w:equalWidth="0" w:num="1">
            <w:col w:w="9039"/>
          </w:cols>
          <w:pgMar w:left="1420" w:top="213" w:right="1440" w:bottom="0" w:gutter="0" w:footer="0" w:header="0"/>
        </w:sectPr>
      </w:pPr>
    </w:p>
    <w:bookmarkStart w:id="7" w:name="page8"/>
    <w:bookmarkEnd w:id="7"/>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859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10375" cy="6859905"/>
                    </a:xfrm>
                    <a:prstGeom prst="rect">
                      <a:avLst/>
                    </a:prstGeom>
                    <a:noFill/>
                  </pic:spPr>
                </pic:pic>
              </a:graphicData>
            </a:graphic>
          </wp:anchor>
        </w:drawing>
      </w:r>
    </w:p>
    <w:p>
      <w:pPr>
        <w:jc w:val="both"/>
        <w:ind w:right="159"/>
        <w:spacing w:after="0" w:line="291" w:lineRule="auto"/>
        <w:rPr>
          <w:sz w:val="20"/>
          <w:szCs w:val="20"/>
          <w:color w:val="auto"/>
        </w:rPr>
      </w:pPr>
      <w:r>
        <w:rPr>
          <w:rFonts w:ascii="Arial" w:cs="Arial" w:eastAsia="Arial" w:hAnsi="Arial"/>
          <w:sz w:val="17"/>
          <w:szCs w:val="17"/>
          <w:color w:val="auto"/>
        </w:rPr>
        <w:t>Should you encounter any difficulties accessing the virtual Annual Meeting platform, including any difficulties voting or submitting questions, we will have technicians ready to assist you. You may call the technical support number that will be posted in your instructional email.</w:t>
      </w:r>
    </w:p>
    <w:p>
      <w:pPr>
        <w:spacing w:after="0" w:line="58" w:lineRule="exact"/>
        <w:rPr>
          <w:sz w:val="20"/>
          <w:szCs w:val="20"/>
          <w:color w:val="auto"/>
        </w:rPr>
      </w:pPr>
    </w:p>
    <w:p>
      <w:pPr>
        <w:ind w:right="39"/>
        <w:spacing w:after="0" w:line="329" w:lineRule="auto"/>
        <w:rPr>
          <w:sz w:val="20"/>
          <w:szCs w:val="20"/>
          <w:color w:val="auto"/>
        </w:rPr>
      </w:pPr>
      <w:r>
        <w:rPr>
          <w:rFonts w:ascii="Arial" w:cs="Arial" w:eastAsia="Arial" w:hAnsi="Arial"/>
          <w:sz w:val="17"/>
          <w:szCs w:val="17"/>
          <w:color w:val="auto"/>
        </w:rPr>
        <w:t xml:space="preserve">A recording of the Annual Meeting will be available following the meeting in the investor relations section of our website at </w:t>
      </w:r>
      <w:r>
        <w:rPr>
          <w:rFonts w:ascii="Arial" w:cs="Arial" w:eastAsia="Arial" w:hAnsi="Arial"/>
          <w:sz w:val="17"/>
          <w:szCs w:val="17"/>
          <w:b w:val="1"/>
          <w:bCs w:val="1"/>
          <w:i w:val="1"/>
          <w:iCs w:val="1"/>
          <w:color w:val="582C83"/>
        </w:rPr>
        <w:t>www.mondelezinternational.com</w:t>
      </w:r>
      <w:r>
        <w:rPr>
          <w:rFonts w:ascii="Arial" w:cs="Arial" w:eastAsia="Arial" w:hAnsi="Arial"/>
          <w:sz w:val="17"/>
          <w:szCs w:val="17"/>
          <w:color w:val="auto"/>
        </w:rPr>
        <w: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On behalf of our Board of Directors, management, and employees, thank you for your continued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Laura Stein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Corporate &amp; Legal Affairs,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General Counsel, and Corporate Secretary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April 3, 2026</w:t>
      </w:r>
    </w:p>
    <w:p>
      <w:pPr>
        <w:spacing w:after="0" w:line="133" w:lineRule="exact"/>
        <w:rPr>
          <w:sz w:val="20"/>
          <w:szCs w:val="20"/>
          <w:color w:val="auto"/>
        </w:rPr>
      </w:pPr>
    </w:p>
    <w:p>
      <w:pPr>
        <w:ind w:right="299"/>
        <w:spacing w:after="0" w:line="313" w:lineRule="auto"/>
        <w:rPr>
          <w:sz w:val="20"/>
          <w:szCs w:val="20"/>
          <w:color w:val="auto"/>
        </w:rPr>
      </w:pPr>
      <w:r>
        <w:rPr>
          <w:rFonts w:ascii="Arial" w:cs="Arial" w:eastAsia="Arial" w:hAnsi="Arial"/>
          <w:sz w:val="17"/>
          <w:szCs w:val="17"/>
          <w:b w:val="1"/>
          <w:bCs w:val="1"/>
          <w:color w:val="582C83"/>
        </w:rPr>
        <w:t>IMPORTANT NOTICE REGARDING THE AVAILABILITY OF PROXY MATERIALS FOR THE ANNUAL MEETING OF SHAREHOLDERS TO BE HELD ON MAY 20, 2026</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Mondelēz International, Inc.’s Proxy Statement and 2025 Form 10-K are available at </w:t>
      </w:r>
      <w:r>
        <w:rPr>
          <w:rFonts w:ascii="Arial" w:cs="Arial" w:eastAsia="Arial" w:hAnsi="Arial"/>
          <w:sz w:val="17"/>
          <w:szCs w:val="17"/>
          <w:b w:val="1"/>
          <w:bCs w:val="1"/>
          <w:i w:val="1"/>
          <w:iCs w:val="1"/>
          <w:color w:val="582C83"/>
        </w:rPr>
        <w:t>www.proxydocs.com/MDLZ</w:t>
      </w:r>
      <w:r>
        <w:rPr>
          <w:rFonts w:ascii="Arial" w:cs="Arial" w:eastAsia="Arial" w:hAnsi="Arial"/>
          <w:sz w:val="17"/>
          <w:szCs w:val="17"/>
          <w:color w:val="auto"/>
        </w:rPr>
        <w:t>.</w:t>
      </w: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582C83"/>
        </w:rPr>
        <w:t>HOW TO VOTE</w:t>
      </w:r>
    </w:p>
    <w:p>
      <w:pPr>
        <w:spacing w:after="0" w:line="40" w:lineRule="exact"/>
        <w:rPr>
          <w:sz w:val="20"/>
          <w:szCs w:val="20"/>
          <w:color w:val="auto"/>
        </w:rPr>
      </w:pPr>
    </w:p>
    <w:tbl>
      <w:tblPr>
        <w:tblLayout w:type="fixed"/>
        <w:tblInd w:w="220" w:type="dxa"/>
        <w:tblCellMar>
          <w:top w:w="0" w:type="dxa"/>
          <w:left w:w="0" w:type="dxa"/>
          <w:bottom w:w="0" w:type="dxa"/>
          <w:right w:w="0" w:type="dxa"/>
        </w:tblCellMar>
      </w:tblPr>
      <w:tr>
        <w:trPr>
          <w:trHeight w:val="181"/>
        </w:trPr>
        <w:tc>
          <w:tcPr>
            <w:tcW w:w="2600" w:type="dxa"/>
            <w:vAlign w:val="bottom"/>
          </w:tcPr>
          <w:p>
            <w:pPr>
              <w:spacing w:after="0"/>
              <w:rPr>
                <w:sz w:val="20"/>
                <w:szCs w:val="20"/>
                <w:color w:val="auto"/>
              </w:rPr>
            </w:pPr>
            <w:r>
              <w:rPr>
                <w:rFonts w:ascii="Arial" w:cs="Arial" w:eastAsia="Arial" w:hAnsi="Arial"/>
                <w:sz w:val="14"/>
                <w:szCs w:val="14"/>
                <w:b w:val="1"/>
                <w:bCs w:val="1"/>
                <w:color w:val="auto"/>
              </w:rPr>
              <w:t>Your vote is important. We</w:t>
            </w:r>
          </w:p>
        </w:tc>
        <w:tc>
          <w:tcPr>
            <w:tcW w:w="1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b w:val="1"/>
                <w:bCs w:val="1"/>
                <w:color w:val="auto"/>
              </w:rPr>
              <w:t>encourage you to review the proxy</w:t>
            </w:r>
          </w:p>
        </w:tc>
        <w:tc>
          <w:tcPr>
            <w:tcW w:w="15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b w:val="1"/>
                <w:bCs w:val="1"/>
                <w:color w:val="auto"/>
              </w:rPr>
              <w:t>materials and vote your shares as</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VIA THE</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WITH YOUR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BY TELEPHONE</w:t>
            </w:r>
          </w:p>
        </w:tc>
        <w:tc>
          <w:tcPr>
            <w:tcW w:w="148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rPr>
              <w:t>BY MAIL</w:t>
            </w:r>
          </w:p>
        </w:tc>
        <w:tc>
          <w:tcPr>
            <w:tcW w:w="0" w:type="dxa"/>
            <w:vAlign w:val="bottom"/>
          </w:tcPr>
          <w:p>
            <w:pPr>
              <w:spacing w:after="0"/>
              <w:rPr>
                <w:sz w:val="1"/>
                <w:szCs w:val="1"/>
                <w:color w:val="auto"/>
              </w:rPr>
            </w:pPr>
          </w:p>
        </w:tc>
      </w:tr>
      <w:tr>
        <w:trPr>
          <w:trHeight w:val="68"/>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soon as possible, even if you plan to</w:t>
            </w:r>
          </w:p>
        </w:tc>
        <w:tc>
          <w:tcPr>
            <w:tcW w:w="152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600" w:type="dxa"/>
            <w:vAlign w:val="bottom"/>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INTERNET</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MOBILE DEVICE</w:t>
            </w:r>
          </w:p>
        </w:tc>
        <w:tc>
          <w:tcPr>
            <w:tcW w:w="1420" w:type="dxa"/>
            <w:vAlign w:val="bottom"/>
            <w:vMerge w:val="restart"/>
          </w:tcPr>
          <w:p>
            <w:pPr>
              <w:jc w:val="center"/>
              <w:spacing w:after="0"/>
              <w:rPr>
                <w:sz w:val="20"/>
                <w:szCs w:val="20"/>
                <w:color w:val="auto"/>
              </w:rPr>
            </w:pPr>
            <w:r>
              <w:rPr>
                <w:rFonts w:ascii="Arial" w:cs="Arial" w:eastAsia="Arial" w:hAnsi="Arial"/>
                <w:sz w:val="14"/>
                <w:szCs w:val="14"/>
                <w:color w:val="auto"/>
              </w:rPr>
              <w:t>Call the telephone</w:t>
            </w:r>
          </w:p>
        </w:tc>
        <w:tc>
          <w:tcPr>
            <w:tcW w:w="1480" w:type="dxa"/>
            <w:vAlign w:val="bottom"/>
            <w:vMerge w:val="restart"/>
          </w:tcPr>
          <w:p>
            <w:pPr>
              <w:jc w:val="center"/>
              <w:ind w:left="48"/>
              <w:spacing w:after="0"/>
              <w:rPr>
                <w:sz w:val="20"/>
                <w:szCs w:val="20"/>
                <w:color w:val="auto"/>
              </w:rPr>
            </w:pPr>
            <w:r>
              <w:rPr>
                <w:rFonts w:ascii="Arial" w:cs="Arial" w:eastAsia="Arial" w:hAnsi="Arial"/>
                <w:sz w:val="14"/>
                <w:szCs w:val="14"/>
                <w:color w:val="auto"/>
              </w:rPr>
              <w:t>If you received paper</w:t>
            </w:r>
          </w:p>
        </w:tc>
        <w:tc>
          <w:tcPr>
            <w:tcW w:w="0" w:type="dxa"/>
            <w:vAlign w:val="bottom"/>
          </w:tcPr>
          <w:p>
            <w:pPr>
              <w:spacing w:after="0"/>
              <w:rPr>
                <w:sz w:val="1"/>
                <w:szCs w:val="1"/>
                <w:color w:val="auto"/>
              </w:rPr>
            </w:pPr>
          </w:p>
        </w:tc>
      </w:tr>
      <w:tr>
        <w:trPr>
          <w:trHeight w:val="54"/>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attend the Annual Meeting online. If</w:t>
            </w:r>
          </w:p>
        </w:tc>
        <w:tc>
          <w:tcPr>
            <w:tcW w:w="152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600" w:type="dxa"/>
            <w:vAlign w:val="bottom"/>
            <w:vMerge w:val="continue"/>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rPr>
              <w:t>Visit the website listed</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rPr>
              <w:t>Scan the QR barcode</w:t>
            </w:r>
          </w:p>
        </w:tc>
        <w:tc>
          <w:tcPr>
            <w:tcW w:w="1420" w:type="dxa"/>
            <w:vAlign w:val="bottom"/>
            <w:vMerge w:val="restart"/>
          </w:tcPr>
          <w:p>
            <w:pPr>
              <w:jc w:val="center"/>
              <w:spacing w:after="0"/>
              <w:rPr>
                <w:sz w:val="20"/>
                <w:szCs w:val="20"/>
                <w:color w:val="auto"/>
              </w:rPr>
            </w:pPr>
            <w:r>
              <w:rPr>
                <w:rFonts w:ascii="Arial" w:cs="Arial" w:eastAsia="Arial" w:hAnsi="Arial"/>
                <w:sz w:val="14"/>
                <w:szCs w:val="14"/>
                <w:color w:val="auto"/>
              </w:rPr>
              <w:t>number on your</w:t>
            </w:r>
          </w:p>
        </w:tc>
        <w:tc>
          <w:tcPr>
            <w:tcW w:w="1480" w:type="dxa"/>
            <w:vAlign w:val="bottom"/>
            <w:vMerge w:val="restart"/>
          </w:tcPr>
          <w:p>
            <w:pPr>
              <w:jc w:val="center"/>
              <w:ind w:left="48"/>
              <w:spacing w:after="0"/>
              <w:rPr>
                <w:sz w:val="20"/>
                <w:szCs w:val="20"/>
                <w:color w:val="auto"/>
              </w:rPr>
            </w:pPr>
            <w:r>
              <w:rPr>
                <w:rFonts w:ascii="Arial" w:cs="Arial" w:eastAsia="Arial" w:hAnsi="Arial"/>
                <w:sz w:val="14"/>
                <w:szCs w:val="14"/>
                <w:color w:val="auto"/>
              </w:rPr>
              <w:t>copies of your Proxy</w:t>
            </w:r>
          </w:p>
        </w:tc>
        <w:tc>
          <w:tcPr>
            <w:tcW w:w="0" w:type="dxa"/>
            <w:vAlign w:val="bottom"/>
          </w:tcPr>
          <w:p>
            <w:pPr>
              <w:spacing w:after="0"/>
              <w:rPr>
                <w:sz w:val="1"/>
                <w:szCs w:val="1"/>
                <w:color w:val="auto"/>
              </w:rPr>
            </w:pPr>
          </w:p>
        </w:tc>
      </w:tr>
      <w:tr>
        <w:trPr>
          <w:trHeight w:val="40"/>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you are voting via the Internet, with</w:t>
            </w:r>
          </w:p>
        </w:tc>
        <w:tc>
          <w:tcPr>
            <w:tcW w:w="1520" w:type="dxa"/>
            <w:vAlign w:val="bottom"/>
            <w:vMerge w:val="continue"/>
          </w:tcPr>
          <w:p>
            <w:pPr>
              <w:spacing w:after="0"/>
              <w:rPr>
                <w:sz w:val="3"/>
                <w:szCs w:val="3"/>
                <w:color w:val="auto"/>
              </w:rPr>
            </w:pPr>
          </w:p>
        </w:tc>
        <w:tc>
          <w:tcPr>
            <w:tcW w:w="15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600" w:type="dxa"/>
            <w:vAlign w:val="bottom"/>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on your Notice of</w:t>
            </w:r>
          </w:p>
        </w:tc>
        <w:tc>
          <w:tcPr>
            <w:tcW w:w="1560" w:type="dxa"/>
            <w:vAlign w:val="bottom"/>
          </w:tcPr>
          <w:p>
            <w:pPr>
              <w:jc w:val="center"/>
              <w:spacing w:after="0"/>
              <w:rPr>
                <w:sz w:val="20"/>
                <w:szCs w:val="20"/>
                <w:color w:val="auto"/>
              </w:rPr>
            </w:pPr>
            <w:r>
              <w:rPr>
                <w:rFonts w:ascii="Arial" w:cs="Arial" w:eastAsia="Arial" w:hAnsi="Arial"/>
                <w:sz w:val="14"/>
                <w:szCs w:val="14"/>
                <w:color w:val="auto"/>
              </w:rPr>
              <w:t>on your Notice of</w:t>
            </w:r>
          </w:p>
        </w:tc>
        <w:tc>
          <w:tcPr>
            <w:tcW w:w="1420" w:type="dxa"/>
            <w:vAlign w:val="bottom"/>
          </w:tcPr>
          <w:p>
            <w:pPr>
              <w:jc w:val="center"/>
              <w:spacing w:after="0"/>
              <w:rPr>
                <w:sz w:val="20"/>
                <w:szCs w:val="20"/>
                <w:color w:val="auto"/>
              </w:rPr>
            </w:pPr>
            <w:r>
              <w:rPr>
                <w:rFonts w:ascii="Arial" w:cs="Arial" w:eastAsia="Arial" w:hAnsi="Arial"/>
                <w:sz w:val="14"/>
                <w:szCs w:val="14"/>
                <w:color w:val="auto"/>
              </w:rPr>
              <w:t>Proxy Card or VIF.</w:t>
            </w:r>
          </w:p>
        </w:tc>
        <w:tc>
          <w:tcPr>
            <w:tcW w:w="1480" w:type="dxa"/>
            <w:vAlign w:val="bottom"/>
          </w:tcPr>
          <w:p>
            <w:pPr>
              <w:jc w:val="center"/>
              <w:ind w:left="48"/>
              <w:spacing w:after="0"/>
              <w:rPr>
                <w:sz w:val="20"/>
                <w:szCs w:val="20"/>
                <w:color w:val="auto"/>
              </w:rPr>
            </w:pPr>
            <w:r>
              <w:rPr>
                <w:rFonts w:ascii="Arial" w:cs="Arial" w:eastAsia="Arial" w:hAnsi="Arial"/>
                <w:sz w:val="14"/>
                <w:szCs w:val="14"/>
                <w:color w:val="auto"/>
              </w:rPr>
              <w:t>Materials, mark, sign,</w:t>
            </w:r>
          </w:p>
        </w:tc>
        <w:tc>
          <w:tcPr>
            <w:tcW w:w="0" w:type="dxa"/>
            <w:vAlign w:val="bottom"/>
          </w:tcPr>
          <w:p>
            <w:pPr>
              <w:spacing w:after="0"/>
              <w:rPr>
                <w:sz w:val="1"/>
                <w:szCs w:val="1"/>
                <w:color w:val="auto"/>
              </w:rPr>
            </w:pPr>
          </w:p>
        </w:tc>
      </w:tr>
      <w:tr>
        <w:trPr>
          <w:trHeight w:val="139"/>
        </w:trPr>
        <w:tc>
          <w:tcPr>
            <w:tcW w:w="2600" w:type="dxa"/>
            <w:vAlign w:val="bottom"/>
          </w:tcPr>
          <w:p>
            <w:pPr>
              <w:spacing w:after="0" w:line="139" w:lineRule="exact"/>
              <w:rPr>
                <w:sz w:val="20"/>
                <w:szCs w:val="20"/>
                <w:color w:val="auto"/>
              </w:rPr>
            </w:pPr>
            <w:r>
              <w:rPr>
                <w:rFonts w:ascii="Arial" w:cs="Arial" w:eastAsia="Arial" w:hAnsi="Arial"/>
                <w:sz w:val="14"/>
                <w:szCs w:val="14"/>
                <w:b w:val="1"/>
                <w:bCs w:val="1"/>
                <w:color w:val="auto"/>
              </w:rPr>
              <w:t>your mobile device or by telephone,</w:t>
            </w:r>
          </w:p>
        </w:tc>
        <w:tc>
          <w:tcPr>
            <w:tcW w:w="1520" w:type="dxa"/>
            <w:vAlign w:val="bottom"/>
          </w:tcPr>
          <w:p>
            <w:pPr>
              <w:jc w:val="center"/>
              <w:spacing w:after="0" w:line="139" w:lineRule="exact"/>
              <w:rPr>
                <w:sz w:val="20"/>
                <w:szCs w:val="20"/>
                <w:color w:val="auto"/>
              </w:rPr>
            </w:pPr>
            <w:r>
              <w:rPr>
                <w:rFonts w:ascii="Arial" w:cs="Arial" w:eastAsia="Arial" w:hAnsi="Arial"/>
                <w:sz w:val="14"/>
                <w:szCs w:val="14"/>
                <w:color w:val="auto"/>
              </w:rPr>
              <w:t>Internet Availability of</w:t>
            </w:r>
          </w:p>
        </w:tc>
        <w:tc>
          <w:tcPr>
            <w:tcW w:w="1560" w:type="dxa"/>
            <w:vAlign w:val="bottom"/>
          </w:tcPr>
          <w:p>
            <w:pPr>
              <w:jc w:val="center"/>
              <w:spacing w:after="0" w:line="139" w:lineRule="exact"/>
              <w:rPr>
                <w:sz w:val="20"/>
                <w:szCs w:val="20"/>
                <w:color w:val="auto"/>
              </w:rPr>
            </w:pPr>
            <w:r>
              <w:rPr>
                <w:rFonts w:ascii="Arial" w:cs="Arial" w:eastAsia="Arial" w:hAnsi="Arial"/>
                <w:sz w:val="14"/>
                <w:szCs w:val="14"/>
                <w:color w:val="auto"/>
              </w:rPr>
              <w:t>Internet Availability of</w:t>
            </w:r>
          </w:p>
        </w:tc>
        <w:tc>
          <w:tcPr>
            <w:tcW w:w="1420" w:type="dxa"/>
            <w:vAlign w:val="bottom"/>
          </w:tcPr>
          <w:p>
            <w:pPr>
              <w:spacing w:after="0"/>
              <w:rPr>
                <w:sz w:val="12"/>
                <w:szCs w:val="12"/>
                <w:color w:val="auto"/>
              </w:rPr>
            </w:pPr>
          </w:p>
        </w:tc>
        <w:tc>
          <w:tcPr>
            <w:tcW w:w="1480" w:type="dxa"/>
            <w:vAlign w:val="bottom"/>
            <w:vMerge w:val="restart"/>
          </w:tcPr>
          <w:p>
            <w:pPr>
              <w:jc w:val="center"/>
              <w:ind w:left="48"/>
              <w:spacing w:after="0"/>
              <w:rPr>
                <w:sz w:val="20"/>
                <w:szCs w:val="20"/>
                <w:color w:val="auto"/>
              </w:rPr>
            </w:pPr>
            <w:r>
              <w:rPr>
                <w:rFonts w:ascii="Arial" w:cs="Arial" w:eastAsia="Arial" w:hAnsi="Arial"/>
                <w:sz w:val="14"/>
                <w:szCs w:val="14"/>
                <w:color w:val="auto"/>
              </w:rPr>
              <w:t>date, and return the</w:t>
            </w:r>
          </w:p>
        </w:tc>
        <w:tc>
          <w:tcPr>
            <w:tcW w:w="0" w:type="dxa"/>
            <w:vAlign w:val="bottom"/>
          </w:tcPr>
          <w:p>
            <w:pPr>
              <w:spacing w:after="0"/>
              <w:rPr>
                <w:sz w:val="1"/>
                <w:szCs w:val="1"/>
                <w:color w:val="auto"/>
              </w:rPr>
            </w:pPr>
          </w:p>
        </w:tc>
      </w:tr>
      <w:tr>
        <w:trPr>
          <w:trHeight w:val="95"/>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be sure to have your Proxy Card or</w:t>
            </w: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rPr>
              <w:t>Proxy Materials,</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rPr>
              <w:t>Proxy Materials,</w:t>
            </w:r>
          </w:p>
        </w:tc>
        <w:tc>
          <w:tcPr>
            <w:tcW w:w="142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60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1480" w:type="dxa"/>
            <w:vAlign w:val="bottom"/>
            <w:vMerge w:val="restart"/>
          </w:tcPr>
          <w:p>
            <w:pPr>
              <w:jc w:val="center"/>
              <w:ind w:left="48"/>
              <w:spacing w:after="0"/>
              <w:rPr>
                <w:sz w:val="20"/>
                <w:szCs w:val="20"/>
                <w:color w:val="auto"/>
              </w:rPr>
            </w:pPr>
            <w:r>
              <w:rPr>
                <w:rFonts w:ascii="Arial" w:cs="Arial" w:eastAsia="Arial" w:hAnsi="Arial"/>
                <w:sz w:val="14"/>
                <w:szCs w:val="14"/>
                <w:color w:val="auto"/>
              </w:rPr>
              <w:t>Proxy Card in the</w:t>
            </w:r>
          </w:p>
        </w:tc>
        <w:tc>
          <w:tcPr>
            <w:tcW w:w="0" w:type="dxa"/>
            <w:vAlign w:val="bottom"/>
          </w:tcPr>
          <w:p>
            <w:pPr>
              <w:spacing w:after="0"/>
              <w:rPr>
                <w:sz w:val="1"/>
                <w:szCs w:val="1"/>
                <w:color w:val="auto"/>
              </w:rPr>
            </w:pPr>
          </w:p>
        </w:tc>
      </w:tr>
      <w:tr>
        <w:trPr>
          <w:trHeight w:val="94"/>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Voting Instruction Form (“VIF”) in</w:t>
            </w: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rPr>
              <w:t>Proxy Card, or VIF.</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rPr>
              <w:t>Proxy Card, or VIF.</w:t>
            </w:r>
          </w:p>
        </w:tc>
        <w:tc>
          <w:tcPr>
            <w:tcW w:w="142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60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1480" w:type="dxa"/>
            <w:vAlign w:val="bottom"/>
            <w:vMerge w:val="restart"/>
          </w:tcPr>
          <w:p>
            <w:pPr>
              <w:jc w:val="center"/>
              <w:ind w:left="48"/>
              <w:spacing w:after="0"/>
              <w:rPr>
                <w:sz w:val="20"/>
                <w:szCs w:val="20"/>
                <w:color w:val="auto"/>
              </w:rPr>
            </w:pPr>
            <w:r>
              <w:rPr>
                <w:rFonts w:ascii="Arial" w:cs="Arial" w:eastAsia="Arial" w:hAnsi="Arial"/>
                <w:sz w:val="14"/>
                <w:szCs w:val="14"/>
                <w:color w:val="auto"/>
              </w:rPr>
              <w:t>envelope provided.</w:t>
            </w:r>
          </w:p>
        </w:tc>
        <w:tc>
          <w:tcPr>
            <w:tcW w:w="0" w:type="dxa"/>
            <w:vAlign w:val="bottom"/>
          </w:tcPr>
          <w:p>
            <w:pPr>
              <w:spacing w:after="0"/>
              <w:rPr>
                <w:sz w:val="1"/>
                <w:szCs w:val="1"/>
                <w:color w:val="auto"/>
              </w:rPr>
            </w:pPr>
          </w:p>
        </w:tc>
      </w:tr>
      <w:tr>
        <w:trPr>
          <w:trHeight w:val="96"/>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hand and follow the instructions. You</w:t>
            </w:r>
          </w:p>
        </w:tc>
        <w:tc>
          <w:tcPr>
            <w:tcW w:w="15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60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600" w:type="dxa"/>
            <w:vAlign w:val="bottom"/>
          </w:tcPr>
          <w:p>
            <w:pPr>
              <w:spacing w:after="0"/>
              <w:rPr>
                <w:sz w:val="20"/>
                <w:szCs w:val="20"/>
                <w:color w:val="auto"/>
              </w:rPr>
            </w:pPr>
            <w:r>
              <w:rPr>
                <w:rFonts w:ascii="Arial" w:cs="Arial" w:eastAsia="Arial" w:hAnsi="Arial"/>
                <w:sz w:val="14"/>
                <w:szCs w:val="14"/>
                <w:b w:val="1"/>
                <w:bCs w:val="1"/>
                <w:color w:val="auto"/>
              </w:rPr>
              <w:t>can vote any of four ways:</w:t>
            </w:r>
          </w:p>
        </w:tc>
        <w:tc>
          <w:tcPr>
            <w:tcW w:w="15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6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3573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10375" cy="3573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040"/>
        <w:spacing w:after="0"/>
        <w:rPr>
          <w:sz w:val="20"/>
          <w:szCs w:val="20"/>
          <w:color w:val="auto"/>
        </w:rPr>
      </w:pPr>
      <w:r>
        <w:rPr>
          <w:rFonts w:ascii="Arial" w:cs="Arial" w:eastAsia="Arial" w:hAnsi="Arial"/>
          <w:sz w:val="21"/>
          <w:szCs w:val="21"/>
          <w:b w:val="1"/>
          <w:bCs w:val="1"/>
          <w:color w:val="auto"/>
        </w:rPr>
        <w:t>NOTICE OF 2026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91" w:lineRule="exact"/>
        <w:rPr>
          <w:sz w:val="20"/>
          <w:szCs w:val="20"/>
          <w:color w:val="auto"/>
        </w:rPr>
      </w:pPr>
    </w:p>
    <w:p>
      <w:pPr>
        <w:ind w:right="19"/>
        <w:spacing w:after="0" w:line="276" w:lineRule="auto"/>
        <w:rPr>
          <w:sz w:val="20"/>
          <w:szCs w:val="20"/>
          <w:color w:val="auto"/>
        </w:rPr>
      </w:pPr>
      <w:r>
        <w:rPr>
          <w:rFonts w:ascii="Arial" w:cs="Arial" w:eastAsia="Arial" w:hAnsi="Arial"/>
          <w:sz w:val="17"/>
          <w:szCs w:val="17"/>
          <w:color w:val="auto"/>
        </w:rPr>
        <w:t>This proxy statement contains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including any projections of earnings, revenue, or other financial items; any statements of the plans, strategies, and objectives of management; any statements regarding our sustainability strategies, goals, and initiatives; any statements regarding future economic conditions or performance; any statements of belief or expectation; and any statements of assumptions underlying any of the foregoing or other future events. Forward-looking statements may include, among others, the words, and variations of words, “will,” “may,” “expect,” “would,” “could,” “might,” “intend,” “plan,” “believe,” “likely,” “estimate,” “anticipate,” “objective,” “predict,” “project,” “drive,” “seek,” “aim,” “target,” “potential,” “commitment,” “outlook,” “continue,” or any other similar words.</w:t>
      </w:r>
    </w:p>
    <w:p>
      <w:pPr>
        <w:spacing w:after="0" w:line="88" w:lineRule="exact"/>
        <w:rPr>
          <w:sz w:val="20"/>
          <w:szCs w:val="20"/>
          <w:color w:val="auto"/>
        </w:rPr>
      </w:pPr>
    </w:p>
    <w:p>
      <w:pPr>
        <w:ind w:right="199"/>
        <w:spacing w:after="0" w:line="279" w:lineRule="auto"/>
        <w:rPr>
          <w:sz w:val="20"/>
          <w:szCs w:val="20"/>
          <w:color w:val="auto"/>
        </w:rPr>
      </w:pPr>
      <w:r>
        <w:rPr>
          <w:rFonts w:ascii="Arial" w:cs="Arial" w:eastAsia="Arial" w:hAnsi="Arial"/>
          <w:sz w:val="17"/>
          <w:szCs w:val="17"/>
          <w:color w:val="auto"/>
        </w:rPr>
        <w:t>Although we believe that the expectations reflected in any of our forward-looking statements are reasonable, actual results or outcomes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and are amplified by ongoing macroeconomic volatility and uncertainty, including current and potential trade and tariff actions affecting countries where we operate. Please see our risk factors, as they may be amended from time to time, set forth in our filings with</w:t>
      </w:r>
    </w:p>
    <w:p>
      <w:pPr>
        <w:sectPr>
          <w:pgSz w:w="11900" w:h="16909" w:orient="portrait"/>
          <w:cols w:equalWidth="0" w:num="1">
            <w:col w:w="9039"/>
          </w:cols>
          <w:pgMar w:left="1420" w:top="185" w:right="1440" w:bottom="0" w:gutter="0" w:footer="0" w:header="0"/>
        </w:sectPr>
      </w:pPr>
    </w:p>
    <w:bookmarkStart w:id="8" w:name="page9"/>
    <w:bookmarkEnd w:id="8"/>
    <w:p>
      <w:pPr>
        <w:spacing w:after="0" w:line="31"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the U.S. Securities and Exchange Commission (“SEC”), including our most recently filed Annual Report on Form 10-K and subsequent Quarterly Reports on Form 10-Q. 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report except as required by applicable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-695325</wp:posOffset>
            </wp:positionV>
            <wp:extent cx="6810375" cy="5282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10375" cy="5282565"/>
                    </a:xfrm>
                    <a:prstGeom prst="rect">
                      <a:avLst/>
                    </a:prstGeom>
                    <a:noFill/>
                  </pic:spPr>
                </pic:pic>
              </a:graphicData>
            </a:graphic>
          </wp:anchor>
        </w:drawing>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sustainability information included in, and any sustainability issues identified as material for purposes of, this document may not be considered material for SEC reporting purposes. In the context of this disclosure, the term “material” for sustainability matters is distinct from, and should not be confused with, such term as defined for SEC reporting purposes. Website references throughout this proxy statement are provided for convenience only, and the content on the referenced websites is not incorporated by reference into this proxy statement.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940"/>
        <w:spacing w:after="0"/>
        <w:rPr>
          <w:sz w:val="20"/>
          <w:szCs w:val="20"/>
          <w:color w:val="auto"/>
        </w:rPr>
      </w:pPr>
      <w:r>
        <w:rPr>
          <w:rFonts w:ascii="Arial" w:cs="Arial" w:eastAsia="Arial" w:hAnsi="Arial"/>
          <w:sz w:val="14"/>
          <w:szCs w:val="14"/>
          <w:b w:val="1"/>
          <w:bCs w:val="1"/>
          <w:color w:val="582C83"/>
        </w:rPr>
        <w:t>2026 PROXY STATEMENT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5151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10375" cy="515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45"/>
          <w:szCs w:val="45"/>
          <w:b w:val="1"/>
          <w:bCs w:val="1"/>
          <w:color w:val="582C83"/>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40" w:type="dxa"/>
            <w:vAlign w:val="bottom"/>
            <w:gridSpan w:val="2"/>
          </w:tcPr>
          <w:p>
            <w:pPr>
              <w:ind w:left="260"/>
              <w:spacing w:after="0"/>
              <w:rPr>
                <w:sz w:val="20"/>
                <w:szCs w:val="20"/>
                <w:color w:val="auto"/>
              </w:rPr>
            </w:pPr>
            <w:r>
              <w:rPr>
                <w:rFonts w:ascii="Arial" w:cs="Arial" w:eastAsia="Arial" w:hAnsi="Arial"/>
                <w:sz w:val="14"/>
                <w:szCs w:val="14"/>
                <w:color w:val="auto"/>
              </w:rPr>
              <w:t>Our Goals</w:t>
            </w:r>
          </w:p>
        </w:tc>
        <w:tc>
          <w:tcPr>
            <w:tcW w:w="34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5"/>
        </w:trPr>
        <w:tc>
          <w:tcPr>
            <w:tcW w:w="3800" w:type="dxa"/>
            <w:vAlign w:val="bottom"/>
          </w:tcPr>
          <w:p>
            <w:pPr>
              <w:spacing w:after="0"/>
              <w:rPr>
                <w:sz w:val="20"/>
                <w:szCs w:val="20"/>
                <w:color w:val="auto"/>
              </w:rPr>
            </w:pPr>
            <w:r>
              <w:rPr>
                <w:rFonts w:ascii="Arial" w:cs="Arial" w:eastAsia="Arial" w:hAnsi="Arial"/>
                <w:sz w:val="15"/>
                <w:szCs w:val="15"/>
                <w:b w:val="1"/>
                <w:bCs w:val="1"/>
                <w:color w:val="582C83"/>
              </w:rPr>
              <w:t>LETTER FROM OUR LEAD</w:t>
            </w:r>
          </w:p>
        </w:tc>
        <w:tc>
          <w:tcPr>
            <w:tcW w:w="660" w:type="dxa"/>
            <w:vAlign w:val="bottom"/>
          </w:tcPr>
          <w:p>
            <w:pPr>
              <w:spacing w:after="0"/>
              <w:rPr>
                <w:sz w:val="17"/>
                <w:szCs w:val="17"/>
                <w:color w:val="auto"/>
              </w:rPr>
            </w:pPr>
          </w:p>
        </w:tc>
        <w:tc>
          <w:tcPr>
            <w:tcW w:w="4140" w:type="dxa"/>
            <w:vAlign w:val="bottom"/>
            <w:gridSpan w:val="2"/>
          </w:tcPr>
          <w:p>
            <w:pPr>
              <w:ind w:left="260"/>
              <w:spacing w:after="0"/>
              <w:rPr>
                <w:sz w:val="20"/>
                <w:szCs w:val="20"/>
                <w:color w:val="auto"/>
              </w:rPr>
            </w:pPr>
            <w:r>
              <w:rPr>
                <w:rFonts w:ascii="Arial" w:cs="Arial" w:eastAsia="Arial" w:hAnsi="Arial"/>
                <w:sz w:val="14"/>
                <w:szCs w:val="14"/>
                <w:color w:val="auto"/>
              </w:rPr>
              <w:t>Sustainability Reporting</w:t>
            </w:r>
          </w:p>
        </w:tc>
        <w:tc>
          <w:tcPr>
            <w:tcW w:w="34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5"/>
                <w:szCs w:val="15"/>
                <w:b w:val="1"/>
                <w:bCs w:val="1"/>
                <w:color w:val="582C83"/>
              </w:rPr>
              <w:t>INDEPENDENT DIRECTOR</w:t>
            </w:r>
          </w:p>
        </w:tc>
        <w:tc>
          <w:tcPr>
            <w:tcW w:w="660" w:type="dxa"/>
            <w:vAlign w:val="bottom"/>
          </w:tcPr>
          <w:p>
            <w:pPr>
              <w:jc w:val="right"/>
              <w:ind w:right="167"/>
              <w:spacing w:after="0"/>
              <w:rPr>
                <w:sz w:val="20"/>
                <w:szCs w:val="20"/>
                <w:color w:val="auto"/>
              </w:rPr>
            </w:pPr>
            <w:r>
              <w:rPr>
                <w:rFonts w:ascii="Arial" w:cs="Arial" w:eastAsia="Arial" w:hAnsi="Arial"/>
                <w:sz w:val="15"/>
                <w:szCs w:val="15"/>
                <w:b w:val="1"/>
                <w:bCs w:val="1"/>
                <w:color w:val="582C83"/>
              </w:rPr>
              <w:t>3</w:t>
            </w:r>
          </w:p>
        </w:tc>
        <w:tc>
          <w:tcPr>
            <w:tcW w:w="4140" w:type="dxa"/>
            <w:vAlign w:val="bottom"/>
            <w:gridSpan w:val="2"/>
          </w:tcPr>
          <w:p>
            <w:pPr>
              <w:ind w:left="260"/>
              <w:spacing w:after="0"/>
              <w:rPr>
                <w:sz w:val="20"/>
                <w:szCs w:val="20"/>
                <w:color w:val="auto"/>
              </w:rPr>
            </w:pPr>
            <w:r>
              <w:rPr>
                <w:rFonts w:ascii="Arial" w:cs="Arial" w:eastAsia="Arial" w:hAnsi="Arial"/>
                <w:sz w:val="15"/>
                <w:szCs w:val="15"/>
                <w:b w:val="1"/>
                <w:bCs w:val="1"/>
                <w:color w:val="582C83"/>
              </w:rPr>
              <w:t>COMPENSATION OF NON-EMPLOYEE DIRECTORS</w:t>
            </w:r>
          </w:p>
        </w:tc>
        <w:tc>
          <w:tcPr>
            <w:tcW w:w="340" w:type="dxa"/>
            <w:vAlign w:val="bottom"/>
          </w:tcPr>
          <w:p>
            <w:pPr>
              <w:jc w:val="right"/>
              <w:spacing w:after="0"/>
              <w:rPr>
                <w:sz w:val="20"/>
                <w:szCs w:val="20"/>
                <w:color w:val="auto"/>
              </w:rPr>
            </w:pPr>
            <w:r>
              <w:rPr>
                <w:rFonts w:ascii="Arial" w:cs="Arial" w:eastAsia="Arial" w:hAnsi="Arial"/>
                <w:sz w:val="15"/>
                <w:szCs w:val="15"/>
                <w:b w:val="1"/>
                <w:bCs w:val="1"/>
                <w:color w:val="582C83"/>
              </w:rPr>
              <w:t>60</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5"/>
                <w:szCs w:val="15"/>
                <w:b w:val="1"/>
                <w:bCs w:val="1"/>
                <w:color w:val="582C83"/>
              </w:rPr>
              <w:t>NOTICE OF 2026 ANNUAL MEETING</w:t>
            </w:r>
          </w:p>
        </w:tc>
        <w:tc>
          <w:tcPr>
            <w:tcW w:w="660" w:type="dxa"/>
            <w:vAlign w:val="bottom"/>
          </w:tcPr>
          <w:p>
            <w:pPr>
              <w:spacing w:after="0"/>
              <w:rPr>
                <w:sz w:val="17"/>
                <w:szCs w:val="17"/>
                <w:color w:val="auto"/>
              </w:rPr>
            </w:pPr>
          </w:p>
        </w:tc>
        <w:tc>
          <w:tcPr>
            <w:tcW w:w="4140" w:type="dxa"/>
            <w:vAlign w:val="bottom"/>
            <w:gridSpan w:val="2"/>
          </w:tcPr>
          <w:p>
            <w:pPr>
              <w:ind w:left="260"/>
              <w:spacing w:after="0"/>
              <w:rPr>
                <w:sz w:val="20"/>
                <w:szCs w:val="20"/>
                <w:color w:val="auto"/>
              </w:rPr>
            </w:pPr>
            <w:r>
              <w:rPr>
                <w:rFonts w:ascii="Arial" w:cs="Arial" w:eastAsia="Arial" w:hAnsi="Arial"/>
                <w:sz w:val="14"/>
                <w:szCs w:val="14"/>
                <w:color w:val="auto"/>
              </w:rPr>
              <w:t>Review of Non-Employee Director Compensation</w:t>
            </w:r>
          </w:p>
        </w:tc>
        <w:tc>
          <w:tcPr>
            <w:tcW w:w="34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5"/>
                <w:szCs w:val="15"/>
                <w:b w:val="1"/>
                <w:bCs w:val="1"/>
                <w:color w:val="582C83"/>
              </w:rPr>
              <w:t>OF SHAREHOLDERS</w:t>
            </w:r>
          </w:p>
        </w:tc>
        <w:tc>
          <w:tcPr>
            <w:tcW w:w="660" w:type="dxa"/>
            <w:vAlign w:val="bottom"/>
          </w:tcPr>
          <w:p>
            <w:pPr>
              <w:jc w:val="right"/>
              <w:ind w:right="167"/>
              <w:spacing w:after="0"/>
              <w:rPr>
                <w:sz w:val="20"/>
                <w:szCs w:val="20"/>
                <w:color w:val="auto"/>
              </w:rPr>
            </w:pPr>
            <w:r>
              <w:rPr>
                <w:rFonts w:ascii="Arial" w:cs="Arial" w:eastAsia="Arial" w:hAnsi="Arial"/>
                <w:sz w:val="15"/>
                <w:szCs w:val="15"/>
                <w:b w:val="1"/>
                <w:bCs w:val="1"/>
                <w:color w:val="582C83"/>
              </w:rPr>
              <w:t>5</w:t>
            </w:r>
          </w:p>
        </w:tc>
        <w:tc>
          <w:tcPr>
            <w:tcW w:w="4140" w:type="dxa"/>
            <w:vAlign w:val="bottom"/>
            <w:gridSpan w:val="2"/>
          </w:tcPr>
          <w:p>
            <w:pPr>
              <w:ind w:left="260"/>
              <w:spacing w:after="0"/>
              <w:rPr>
                <w:sz w:val="20"/>
                <w:szCs w:val="20"/>
                <w:color w:val="auto"/>
              </w:rPr>
            </w:pPr>
            <w:r>
              <w:rPr>
                <w:rFonts w:ascii="Arial" w:cs="Arial" w:eastAsia="Arial" w:hAnsi="Arial"/>
                <w:sz w:val="14"/>
                <w:szCs w:val="14"/>
                <w:color w:val="auto"/>
              </w:rPr>
              <w:t>Summary of 2025 Compensation Elements</w:t>
            </w:r>
          </w:p>
        </w:tc>
        <w:tc>
          <w:tcPr>
            <w:tcW w:w="34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26"/>
        </w:trPr>
        <w:tc>
          <w:tcPr>
            <w:tcW w:w="3800" w:type="dxa"/>
            <w:vAlign w:val="bottom"/>
          </w:tcPr>
          <w:p>
            <w:pPr>
              <w:spacing w:after="0"/>
              <w:rPr>
                <w:sz w:val="20"/>
                <w:szCs w:val="20"/>
                <w:color w:val="auto"/>
              </w:rPr>
            </w:pPr>
            <w:r>
              <w:rPr>
                <w:rFonts w:ascii="Arial" w:cs="Arial" w:eastAsia="Arial" w:hAnsi="Arial"/>
                <w:sz w:val="15"/>
                <w:szCs w:val="15"/>
                <w:b w:val="1"/>
                <w:bCs w:val="1"/>
                <w:color w:val="582C83"/>
              </w:rPr>
              <w:t>PROXY STATEMENT SUMMARY</w:t>
            </w:r>
          </w:p>
        </w:tc>
        <w:tc>
          <w:tcPr>
            <w:tcW w:w="660" w:type="dxa"/>
            <w:vAlign w:val="bottom"/>
          </w:tcPr>
          <w:p>
            <w:pPr>
              <w:jc w:val="right"/>
              <w:ind w:right="167"/>
              <w:spacing w:after="0"/>
              <w:rPr>
                <w:sz w:val="20"/>
                <w:szCs w:val="20"/>
                <w:color w:val="auto"/>
              </w:rPr>
            </w:pPr>
            <w:r>
              <w:rPr>
                <w:rFonts w:ascii="Arial" w:cs="Arial" w:eastAsia="Arial" w:hAnsi="Arial"/>
                <w:sz w:val="15"/>
                <w:szCs w:val="15"/>
                <w:b w:val="1"/>
                <w:bCs w:val="1"/>
                <w:color w:val="582C83"/>
              </w:rPr>
              <w:t>10</w:t>
            </w:r>
          </w:p>
        </w:tc>
        <w:tc>
          <w:tcPr>
            <w:tcW w:w="4140" w:type="dxa"/>
            <w:vAlign w:val="bottom"/>
            <w:gridSpan w:val="2"/>
          </w:tcPr>
          <w:p>
            <w:pPr>
              <w:ind w:left="260"/>
              <w:spacing w:after="0"/>
              <w:rPr>
                <w:sz w:val="20"/>
                <w:szCs w:val="20"/>
                <w:color w:val="auto"/>
              </w:rPr>
            </w:pPr>
            <w:r>
              <w:rPr>
                <w:rFonts w:ascii="Arial" w:cs="Arial" w:eastAsia="Arial" w:hAnsi="Arial"/>
                <w:sz w:val="14"/>
                <w:szCs w:val="14"/>
                <w:color w:val="auto"/>
              </w:rPr>
              <w:t>Plan Limits on Non-Employee Director Grants</w:t>
            </w:r>
          </w:p>
        </w:tc>
        <w:tc>
          <w:tcPr>
            <w:tcW w:w="34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0"/>
        </w:trPr>
        <w:tc>
          <w:tcPr>
            <w:tcW w:w="3800" w:type="dxa"/>
            <w:vAlign w:val="bottom"/>
          </w:tcPr>
          <w:p>
            <w:pPr>
              <w:spacing w:after="0"/>
              <w:rPr>
                <w:sz w:val="20"/>
                <w:szCs w:val="20"/>
                <w:color w:val="auto"/>
              </w:rPr>
            </w:pPr>
            <w:r>
              <w:rPr>
                <w:rFonts w:ascii="Arial" w:cs="Arial" w:eastAsia="Arial" w:hAnsi="Arial"/>
                <w:sz w:val="14"/>
                <w:szCs w:val="14"/>
                <w:color w:val="auto"/>
              </w:rPr>
              <w:t>2026 Annual Meeting of Shareholders</w:t>
            </w:r>
          </w:p>
        </w:tc>
        <w:tc>
          <w:tcPr>
            <w:tcW w:w="660" w:type="dxa"/>
            <w:vAlign w:val="bottom"/>
          </w:tcPr>
          <w:p>
            <w:pPr>
              <w:jc w:val="right"/>
              <w:ind w:right="167"/>
              <w:spacing w:after="0"/>
              <w:rPr>
                <w:sz w:val="20"/>
                <w:szCs w:val="20"/>
                <w:color w:val="auto"/>
              </w:rPr>
            </w:pPr>
            <w:r>
              <w:rPr>
                <w:rFonts w:ascii="Arial" w:cs="Arial" w:eastAsia="Arial" w:hAnsi="Arial"/>
                <w:sz w:val="14"/>
                <w:szCs w:val="14"/>
                <w:color w:val="auto"/>
              </w:rPr>
              <w:t>10</w:t>
            </w:r>
          </w:p>
        </w:tc>
        <w:tc>
          <w:tcPr>
            <w:tcW w:w="4140" w:type="dxa"/>
            <w:vAlign w:val="bottom"/>
            <w:gridSpan w:val="2"/>
            <w:vMerge w:val="restart"/>
          </w:tcPr>
          <w:p>
            <w:pPr>
              <w:ind w:left="260"/>
              <w:spacing w:after="0"/>
              <w:rPr>
                <w:sz w:val="20"/>
                <w:szCs w:val="20"/>
                <w:color w:val="auto"/>
              </w:rPr>
            </w:pPr>
            <w:r>
              <w:rPr>
                <w:rFonts w:ascii="Arial" w:cs="Arial" w:eastAsia="Arial" w:hAnsi="Arial"/>
                <w:sz w:val="14"/>
                <w:szCs w:val="14"/>
                <w:color w:val="auto"/>
              </w:rPr>
              <w:t>Cash Compensation – Board, Lead Independent Director,</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800" w:type="dxa"/>
            <w:vAlign w:val="bottom"/>
            <w:vMerge w:val="restart"/>
          </w:tcPr>
          <w:p>
            <w:pPr>
              <w:spacing w:after="0"/>
              <w:rPr>
                <w:sz w:val="20"/>
                <w:szCs w:val="20"/>
                <w:color w:val="auto"/>
              </w:rPr>
            </w:pPr>
            <w:r>
              <w:rPr>
                <w:rFonts w:ascii="Arial" w:cs="Arial" w:eastAsia="Arial" w:hAnsi="Arial"/>
                <w:sz w:val="14"/>
                <w:szCs w:val="14"/>
                <w:color w:val="auto"/>
              </w:rPr>
              <w:t>How to Vote in Advance of the Meeting</w:t>
            </w:r>
          </w:p>
        </w:tc>
        <w:tc>
          <w:tcPr>
            <w:tcW w:w="660" w:type="dxa"/>
            <w:vAlign w:val="bottom"/>
            <w:vMerge w:val="restart"/>
          </w:tcPr>
          <w:p>
            <w:pPr>
              <w:jc w:val="right"/>
              <w:ind w:right="167"/>
              <w:spacing w:after="0"/>
              <w:rPr>
                <w:sz w:val="20"/>
                <w:szCs w:val="20"/>
                <w:color w:val="auto"/>
              </w:rPr>
            </w:pPr>
            <w:r>
              <w:rPr>
                <w:rFonts w:ascii="Arial" w:cs="Arial" w:eastAsia="Arial" w:hAnsi="Arial"/>
                <w:sz w:val="14"/>
                <w:szCs w:val="14"/>
                <w:color w:val="auto"/>
              </w:rPr>
              <w:t>10</w:t>
            </w:r>
          </w:p>
        </w:tc>
        <w:tc>
          <w:tcPr>
            <w:tcW w:w="414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8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4140" w:type="dxa"/>
            <w:vAlign w:val="bottom"/>
            <w:gridSpan w:val="2"/>
          </w:tcPr>
          <w:p>
            <w:pPr>
              <w:ind w:left="260"/>
              <w:spacing w:after="0"/>
              <w:rPr>
                <w:sz w:val="20"/>
                <w:szCs w:val="20"/>
                <w:color w:val="auto"/>
              </w:rPr>
            </w:pPr>
            <w:r>
              <w:rPr>
                <w:rFonts w:ascii="Arial" w:cs="Arial" w:eastAsia="Arial" w:hAnsi="Arial"/>
                <w:sz w:val="14"/>
                <w:szCs w:val="14"/>
                <w:color w:val="auto"/>
              </w:rPr>
              <w:t>and Committee Chair Retainers</w:t>
            </w:r>
          </w:p>
        </w:tc>
        <w:tc>
          <w:tcPr>
            <w:tcW w:w="34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4"/>
                <w:szCs w:val="14"/>
                <w:color w:val="auto"/>
              </w:rPr>
              <w:t>Items of Business</w:t>
            </w:r>
          </w:p>
        </w:tc>
        <w:tc>
          <w:tcPr>
            <w:tcW w:w="660" w:type="dxa"/>
            <w:vAlign w:val="bottom"/>
          </w:tcPr>
          <w:p>
            <w:pPr>
              <w:jc w:val="right"/>
              <w:ind w:right="167"/>
              <w:spacing w:after="0"/>
              <w:rPr>
                <w:sz w:val="20"/>
                <w:szCs w:val="20"/>
                <w:color w:val="auto"/>
              </w:rPr>
            </w:pPr>
            <w:r>
              <w:rPr>
                <w:rFonts w:ascii="Arial" w:cs="Arial" w:eastAsia="Arial" w:hAnsi="Arial"/>
                <w:sz w:val="14"/>
                <w:szCs w:val="14"/>
                <w:color w:val="auto"/>
              </w:rPr>
              <w:t>11</w:t>
            </w:r>
          </w:p>
        </w:tc>
        <w:tc>
          <w:tcPr>
            <w:tcW w:w="4140" w:type="dxa"/>
            <w:vAlign w:val="bottom"/>
            <w:gridSpan w:val="2"/>
          </w:tcPr>
          <w:p>
            <w:pPr>
              <w:ind w:left="260"/>
              <w:spacing w:after="0"/>
              <w:rPr>
                <w:sz w:val="20"/>
                <w:szCs w:val="20"/>
                <w:color w:val="auto"/>
              </w:rPr>
            </w:pPr>
            <w:r>
              <w:rPr>
                <w:rFonts w:ascii="Arial" w:cs="Arial" w:eastAsia="Arial" w:hAnsi="Arial"/>
                <w:sz w:val="14"/>
                <w:szCs w:val="14"/>
                <w:color w:val="auto"/>
              </w:rPr>
              <w:t>Equity Compensation – Annual Equity Grant</w:t>
            </w:r>
          </w:p>
        </w:tc>
        <w:tc>
          <w:tcPr>
            <w:tcW w:w="34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4"/>
                <w:szCs w:val="14"/>
                <w:color w:val="auto"/>
              </w:rPr>
              <w:t>About Mondelēz International</w:t>
            </w:r>
          </w:p>
        </w:tc>
        <w:tc>
          <w:tcPr>
            <w:tcW w:w="660" w:type="dxa"/>
            <w:vAlign w:val="bottom"/>
          </w:tcPr>
          <w:p>
            <w:pPr>
              <w:jc w:val="right"/>
              <w:ind w:right="167"/>
              <w:spacing w:after="0"/>
              <w:rPr>
                <w:sz w:val="20"/>
                <w:szCs w:val="20"/>
                <w:color w:val="auto"/>
              </w:rPr>
            </w:pPr>
            <w:r>
              <w:rPr>
                <w:rFonts w:ascii="Arial" w:cs="Arial" w:eastAsia="Arial" w:hAnsi="Arial"/>
                <w:sz w:val="14"/>
                <w:szCs w:val="14"/>
                <w:color w:val="auto"/>
              </w:rPr>
              <w:t>12</w:t>
            </w:r>
          </w:p>
        </w:tc>
        <w:tc>
          <w:tcPr>
            <w:tcW w:w="4140" w:type="dxa"/>
            <w:vAlign w:val="bottom"/>
            <w:gridSpan w:val="2"/>
          </w:tcPr>
          <w:p>
            <w:pPr>
              <w:ind w:left="260"/>
              <w:spacing w:after="0"/>
              <w:rPr>
                <w:sz w:val="20"/>
                <w:szCs w:val="20"/>
                <w:color w:val="auto"/>
              </w:rPr>
            </w:pPr>
            <w:r>
              <w:rPr>
                <w:rFonts w:ascii="Arial" w:cs="Arial" w:eastAsia="Arial" w:hAnsi="Arial"/>
                <w:sz w:val="14"/>
                <w:szCs w:val="14"/>
                <w:color w:val="auto"/>
              </w:rPr>
              <w:t>Director Stock Ownership Guidelines</w:t>
            </w:r>
          </w:p>
        </w:tc>
        <w:tc>
          <w:tcPr>
            <w:tcW w:w="34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4"/>
                <w:szCs w:val="14"/>
                <w:color w:val="auto"/>
              </w:rPr>
              <w:t>Director Nominees</w:t>
            </w:r>
          </w:p>
        </w:tc>
        <w:tc>
          <w:tcPr>
            <w:tcW w:w="660" w:type="dxa"/>
            <w:vAlign w:val="bottom"/>
          </w:tcPr>
          <w:p>
            <w:pPr>
              <w:jc w:val="right"/>
              <w:ind w:right="167"/>
              <w:spacing w:after="0"/>
              <w:rPr>
                <w:sz w:val="20"/>
                <w:szCs w:val="20"/>
                <w:color w:val="auto"/>
              </w:rPr>
            </w:pPr>
            <w:r>
              <w:rPr>
                <w:rFonts w:ascii="Arial" w:cs="Arial" w:eastAsia="Arial" w:hAnsi="Arial"/>
                <w:sz w:val="14"/>
                <w:szCs w:val="14"/>
                <w:color w:val="auto"/>
              </w:rPr>
              <w:t>12</w:t>
            </w:r>
          </w:p>
        </w:tc>
        <w:tc>
          <w:tcPr>
            <w:tcW w:w="4140" w:type="dxa"/>
            <w:vAlign w:val="bottom"/>
            <w:gridSpan w:val="2"/>
          </w:tcPr>
          <w:p>
            <w:pPr>
              <w:ind w:left="260"/>
              <w:spacing w:after="0"/>
              <w:rPr>
                <w:sz w:val="20"/>
                <w:szCs w:val="20"/>
                <w:color w:val="auto"/>
              </w:rPr>
            </w:pPr>
            <w:r>
              <w:rPr>
                <w:rFonts w:ascii="Arial" w:cs="Arial" w:eastAsia="Arial" w:hAnsi="Arial"/>
                <w:sz w:val="14"/>
                <w:szCs w:val="14"/>
                <w:color w:val="auto"/>
              </w:rPr>
              <w:t>Company Match for Director Charitable Contributions</w:t>
            </w:r>
          </w:p>
        </w:tc>
        <w:tc>
          <w:tcPr>
            <w:tcW w:w="34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4"/>
                <w:szCs w:val="14"/>
                <w:color w:val="auto"/>
              </w:rPr>
              <w:t>Our Governance Framework</w:t>
            </w:r>
          </w:p>
        </w:tc>
        <w:tc>
          <w:tcPr>
            <w:tcW w:w="660" w:type="dxa"/>
            <w:vAlign w:val="bottom"/>
          </w:tcPr>
          <w:p>
            <w:pPr>
              <w:jc w:val="right"/>
              <w:ind w:right="167"/>
              <w:spacing w:after="0"/>
              <w:rPr>
                <w:sz w:val="20"/>
                <w:szCs w:val="20"/>
                <w:color w:val="auto"/>
              </w:rPr>
            </w:pPr>
            <w:r>
              <w:rPr>
                <w:rFonts w:ascii="Arial" w:cs="Arial" w:eastAsia="Arial" w:hAnsi="Arial"/>
                <w:sz w:val="14"/>
                <w:szCs w:val="14"/>
                <w:color w:val="auto"/>
              </w:rPr>
              <w:t>14</w:t>
            </w:r>
          </w:p>
        </w:tc>
        <w:tc>
          <w:tcPr>
            <w:tcW w:w="600" w:type="dxa"/>
            <w:vAlign w:val="bottom"/>
          </w:tcPr>
          <w:p>
            <w:pPr>
              <w:ind w:left="260"/>
              <w:spacing w:after="0"/>
              <w:rPr>
                <w:sz w:val="20"/>
                <w:szCs w:val="20"/>
                <w:color w:val="auto"/>
              </w:rPr>
            </w:pPr>
            <w:r>
              <w:rPr>
                <w:rFonts w:ascii="Arial" w:cs="Arial" w:eastAsia="Arial" w:hAnsi="Arial"/>
                <w:sz w:val="14"/>
                <w:szCs w:val="14"/>
                <w:color w:val="auto"/>
              </w:rPr>
              <w:t>2025</w:t>
            </w:r>
          </w:p>
        </w:tc>
        <w:tc>
          <w:tcPr>
            <w:tcW w:w="3540" w:type="dxa"/>
            <w:vAlign w:val="bottom"/>
          </w:tcPr>
          <w:p>
            <w:pPr>
              <w:ind w:left="20"/>
              <w:spacing w:after="0"/>
              <w:rPr>
                <w:sz w:val="20"/>
                <w:szCs w:val="20"/>
                <w:color w:val="auto"/>
              </w:rPr>
            </w:pPr>
            <w:r>
              <w:rPr>
                <w:rFonts w:ascii="Arial" w:cs="Arial" w:eastAsia="Arial" w:hAnsi="Arial"/>
                <w:sz w:val="14"/>
                <w:szCs w:val="14"/>
                <w:color w:val="auto"/>
              </w:rPr>
              <w:t>Non-Employee Director Compensation</w:t>
            </w:r>
          </w:p>
        </w:tc>
        <w:tc>
          <w:tcPr>
            <w:tcW w:w="34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17"/>
        </w:trPr>
        <w:tc>
          <w:tcPr>
            <w:tcW w:w="3800" w:type="dxa"/>
            <w:vAlign w:val="bottom"/>
          </w:tcPr>
          <w:p>
            <w:pPr>
              <w:spacing w:after="0"/>
              <w:rPr>
                <w:sz w:val="20"/>
                <w:szCs w:val="20"/>
                <w:color w:val="auto"/>
              </w:rPr>
            </w:pPr>
            <w:r>
              <w:rPr>
                <w:rFonts w:ascii="Arial" w:cs="Arial" w:eastAsia="Arial" w:hAnsi="Arial"/>
                <w:sz w:val="14"/>
                <w:szCs w:val="14"/>
                <w:color w:val="auto"/>
              </w:rPr>
              <w:t>Executive Compensation</w:t>
            </w:r>
          </w:p>
        </w:tc>
        <w:tc>
          <w:tcPr>
            <w:tcW w:w="660" w:type="dxa"/>
            <w:vAlign w:val="bottom"/>
          </w:tcPr>
          <w:p>
            <w:pPr>
              <w:jc w:val="right"/>
              <w:ind w:right="167"/>
              <w:spacing w:after="0"/>
              <w:rPr>
                <w:sz w:val="20"/>
                <w:szCs w:val="20"/>
                <w:color w:val="auto"/>
              </w:rPr>
            </w:pPr>
            <w:r>
              <w:rPr>
                <w:rFonts w:ascii="Arial" w:cs="Arial" w:eastAsia="Arial" w:hAnsi="Arial"/>
                <w:sz w:val="14"/>
                <w:szCs w:val="14"/>
                <w:color w:val="auto"/>
              </w:rPr>
              <w:t>16</w:t>
            </w:r>
          </w:p>
        </w:tc>
        <w:tc>
          <w:tcPr>
            <w:tcW w:w="600" w:type="dxa"/>
            <w:vAlign w:val="bottom"/>
          </w:tcPr>
          <w:p>
            <w:pPr>
              <w:ind w:left="260"/>
              <w:spacing w:after="0"/>
              <w:rPr>
                <w:sz w:val="20"/>
                <w:szCs w:val="20"/>
                <w:color w:val="auto"/>
              </w:rPr>
            </w:pPr>
            <w:r>
              <w:rPr>
                <w:rFonts w:ascii="Arial" w:cs="Arial" w:eastAsia="Arial" w:hAnsi="Arial"/>
                <w:sz w:val="14"/>
                <w:szCs w:val="14"/>
                <w:color w:val="auto"/>
              </w:rPr>
              <w:t>2025</w:t>
            </w:r>
          </w:p>
        </w:tc>
        <w:tc>
          <w:tcPr>
            <w:tcW w:w="3540" w:type="dxa"/>
            <w:vAlign w:val="bottom"/>
          </w:tcPr>
          <w:p>
            <w:pPr>
              <w:ind w:left="20"/>
              <w:spacing w:after="0"/>
              <w:rPr>
                <w:sz w:val="20"/>
                <w:szCs w:val="20"/>
                <w:color w:val="auto"/>
              </w:rPr>
            </w:pPr>
            <w:r>
              <w:rPr>
                <w:rFonts w:ascii="Arial" w:cs="Arial" w:eastAsia="Arial" w:hAnsi="Arial"/>
                <w:sz w:val="14"/>
                <w:szCs w:val="14"/>
                <w:color w:val="auto"/>
              </w:rPr>
              <w:t>Non-Employee Director Equity Awards</w:t>
            </w:r>
          </w:p>
        </w:tc>
        <w:tc>
          <w:tcPr>
            <w:tcW w:w="34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18"/>
        </w:trPr>
        <w:tc>
          <w:tcPr>
            <w:tcW w:w="3800" w:type="dxa"/>
            <w:vAlign w:val="bottom"/>
          </w:tcPr>
          <w:p>
            <w:pPr>
              <w:spacing w:after="0"/>
              <w:rPr>
                <w:sz w:val="20"/>
                <w:szCs w:val="20"/>
                <w:color w:val="auto"/>
              </w:rPr>
            </w:pPr>
            <w:r>
              <w:rPr>
                <w:rFonts w:ascii="Arial" w:cs="Arial" w:eastAsia="Arial" w:hAnsi="Arial"/>
                <w:sz w:val="15"/>
                <w:szCs w:val="15"/>
                <w:b w:val="1"/>
                <w:bCs w:val="1"/>
                <w:color w:val="582C83"/>
              </w:rPr>
              <w:t>ITEM 1. ELECTION OF DIRECTORS</w:t>
            </w:r>
          </w:p>
        </w:tc>
        <w:tc>
          <w:tcPr>
            <w:tcW w:w="660" w:type="dxa"/>
            <w:vAlign w:val="bottom"/>
          </w:tcPr>
          <w:p>
            <w:pPr>
              <w:jc w:val="right"/>
              <w:ind w:right="167"/>
              <w:spacing w:after="0"/>
              <w:rPr>
                <w:sz w:val="20"/>
                <w:szCs w:val="20"/>
                <w:color w:val="auto"/>
              </w:rPr>
            </w:pPr>
            <w:r>
              <w:rPr>
                <w:rFonts w:ascii="Arial" w:cs="Arial" w:eastAsia="Arial" w:hAnsi="Arial"/>
                <w:sz w:val="15"/>
                <w:szCs w:val="15"/>
                <w:b w:val="1"/>
                <w:bCs w:val="1"/>
                <w:color w:val="582C83"/>
              </w:rPr>
              <w:t>18</w:t>
            </w:r>
          </w:p>
        </w:tc>
        <w:tc>
          <w:tcPr>
            <w:tcW w:w="4140" w:type="dxa"/>
            <w:vAlign w:val="bottom"/>
            <w:gridSpan w:val="2"/>
          </w:tcPr>
          <w:p>
            <w:pPr>
              <w:ind w:left="260"/>
              <w:spacing w:after="0"/>
              <w:rPr>
                <w:sz w:val="20"/>
                <w:szCs w:val="20"/>
                <w:color w:val="auto"/>
              </w:rPr>
            </w:pPr>
            <w:r>
              <w:rPr>
                <w:rFonts w:ascii="Arial" w:cs="Arial" w:eastAsia="Arial" w:hAnsi="Arial"/>
                <w:sz w:val="15"/>
                <w:szCs w:val="15"/>
                <w:b w:val="1"/>
                <w:bCs w:val="1"/>
                <w:color w:val="582C83"/>
              </w:rPr>
              <w:t>COMPENSATION DISCUSSION AND</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4"/>
                <w:szCs w:val="14"/>
                <w:color w:val="auto"/>
              </w:rPr>
              <w:t>How We Build an Experienced and Qualified Board</w:t>
            </w:r>
          </w:p>
        </w:tc>
        <w:tc>
          <w:tcPr>
            <w:tcW w:w="660" w:type="dxa"/>
            <w:vAlign w:val="bottom"/>
          </w:tcPr>
          <w:p>
            <w:pPr>
              <w:jc w:val="right"/>
              <w:ind w:right="167"/>
              <w:spacing w:after="0"/>
              <w:rPr>
                <w:sz w:val="20"/>
                <w:szCs w:val="20"/>
                <w:color w:val="auto"/>
              </w:rPr>
            </w:pPr>
            <w:r>
              <w:rPr>
                <w:rFonts w:ascii="Arial" w:cs="Arial" w:eastAsia="Arial" w:hAnsi="Arial"/>
                <w:sz w:val="14"/>
                <w:szCs w:val="14"/>
                <w:color w:val="auto"/>
              </w:rPr>
              <w:t>18</w:t>
            </w:r>
          </w:p>
        </w:tc>
        <w:tc>
          <w:tcPr>
            <w:tcW w:w="4140" w:type="dxa"/>
            <w:vAlign w:val="bottom"/>
            <w:gridSpan w:val="2"/>
          </w:tcPr>
          <w:p>
            <w:pPr>
              <w:ind w:left="260"/>
              <w:spacing w:after="0"/>
              <w:rPr>
                <w:sz w:val="20"/>
                <w:szCs w:val="20"/>
                <w:color w:val="auto"/>
              </w:rPr>
            </w:pPr>
            <w:r>
              <w:rPr>
                <w:rFonts w:ascii="Arial" w:cs="Arial" w:eastAsia="Arial" w:hAnsi="Arial"/>
                <w:sz w:val="15"/>
                <w:szCs w:val="15"/>
                <w:b w:val="1"/>
                <w:bCs w:val="1"/>
                <w:color w:val="582C83"/>
              </w:rPr>
              <w:t>ANALYSIS (CD&amp;A)</w:t>
            </w:r>
          </w:p>
        </w:tc>
        <w:tc>
          <w:tcPr>
            <w:tcW w:w="340" w:type="dxa"/>
            <w:vAlign w:val="bottom"/>
          </w:tcPr>
          <w:p>
            <w:pPr>
              <w:jc w:val="right"/>
              <w:spacing w:after="0"/>
              <w:rPr>
                <w:sz w:val="20"/>
                <w:szCs w:val="20"/>
                <w:color w:val="auto"/>
              </w:rPr>
            </w:pPr>
            <w:r>
              <w:rPr>
                <w:rFonts w:ascii="Arial" w:cs="Arial" w:eastAsia="Arial" w:hAnsi="Arial"/>
                <w:sz w:val="15"/>
                <w:szCs w:val="15"/>
                <w:b w:val="1"/>
                <w:bCs w:val="1"/>
                <w:color w:val="582C83"/>
              </w:rPr>
              <w:t>63</w:t>
            </w:r>
          </w:p>
        </w:tc>
        <w:tc>
          <w:tcPr>
            <w:tcW w:w="0" w:type="dxa"/>
            <w:vAlign w:val="bottom"/>
          </w:tcPr>
          <w:p>
            <w:pPr>
              <w:spacing w:after="0"/>
              <w:rPr>
                <w:sz w:val="1"/>
                <w:szCs w:val="1"/>
                <w:color w:val="auto"/>
              </w:rPr>
            </w:pPr>
          </w:p>
        </w:tc>
      </w:tr>
      <w:tr>
        <w:trPr>
          <w:trHeight w:val="206"/>
        </w:trPr>
        <w:tc>
          <w:tcPr>
            <w:tcW w:w="3800" w:type="dxa"/>
            <w:vAlign w:val="bottom"/>
          </w:tcPr>
          <w:p>
            <w:pPr>
              <w:spacing w:after="0"/>
              <w:rPr>
                <w:sz w:val="20"/>
                <w:szCs w:val="20"/>
                <w:color w:val="auto"/>
              </w:rPr>
            </w:pPr>
            <w:r>
              <w:rPr>
                <w:rFonts w:ascii="Arial" w:cs="Arial" w:eastAsia="Arial" w:hAnsi="Arial"/>
                <w:sz w:val="14"/>
                <w:szCs w:val="14"/>
                <w:color w:val="auto"/>
              </w:rPr>
              <w:t>Director Skills</w:t>
            </w:r>
          </w:p>
        </w:tc>
        <w:tc>
          <w:tcPr>
            <w:tcW w:w="660" w:type="dxa"/>
            <w:vAlign w:val="bottom"/>
          </w:tcPr>
          <w:p>
            <w:pPr>
              <w:jc w:val="right"/>
              <w:ind w:right="167"/>
              <w:spacing w:after="0"/>
              <w:rPr>
                <w:sz w:val="20"/>
                <w:szCs w:val="20"/>
                <w:color w:val="auto"/>
              </w:rPr>
            </w:pPr>
            <w:r>
              <w:rPr>
                <w:rFonts w:ascii="Arial" w:cs="Arial" w:eastAsia="Arial" w:hAnsi="Arial"/>
                <w:sz w:val="14"/>
                <w:szCs w:val="14"/>
                <w:color w:val="auto"/>
              </w:rPr>
              <w:t>20</w:t>
            </w:r>
          </w:p>
        </w:tc>
        <w:tc>
          <w:tcPr>
            <w:tcW w:w="4140" w:type="dxa"/>
            <w:vAlign w:val="bottom"/>
            <w:gridSpan w:val="2"/>
          </w:tcPr>
          <w:p>
            <w:pPr>
              <w:ind w:left="260"/>
              <w:spacing w:after="0"/>
              <w:rPr>
                <w:sz w:val="20"/>
                <w:szCs w:val="20"/>
                <w:color w:val="auto"/>
              </w:rPr>
            </w:pPr>
            <w:r>
              <w:rPr>
                <w:rFonts w:ascii="Arial" w:cs="Arial" w:eastAsia="Arial" w:hAnsi="Arial"/>
                <w:sz w:val="14"/>
                <w:szCs w:val="14"/>
                <w:color w:val="auto"/>
              </w:rPr>
              <w:t>Executive Summary</w:t>
            </w:r>
          </w:p>
        </w:tc>
        <w:tc>
          <w:tcPr>
            <w:tcW w:w="34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4"/>
                <w:szCs w:val="14"/>
                <w:color w:val="auto"/>
              </w:rPr>
              <w:t>Shareholder Recommendations for Director Candidates</w:t>
            </w:r>
          </w:p>
        </w:tc>
        <w:tc>
          <w:tcPr>
            <w:tcW w:w="660" w:type="dxa"/>
            <w:vAlign w:val="bottom"/>
          </w:tcPr>
          <w:p>
            <w:pPr>
              <w:jc w:val="right"/>
              <w:ind w:right="167"/>
              <w:spacing w:after="0"/>
              <w:rPr>
                <w:sz w:val="20"/>
                <w:szCs w:val="20"/>
                <w:color w:val="auto"/>
              </w:rPr>
            </w:pPr>
            <w:r>
              <w:rPr>
                <w:rFonts w:ascii="Arial" w:cs="Arial" w:eastAsia="Arial" w:hAnsi="Arial"/>
                <w:sz w:val="14"/>
                <w:szCs w:val="14"/>
                <w:color w:val="auto"/>
              </w:rPr>
              <w:t>21</w:t>
            </w:r>
          </w:p>
        </w:tc>
        <w:tc>
          <w:tcPr>
            <w:tcW w:w="4140" w:type="dxa"/>
            <w:vAlign w:val="bottom"/>
            <w:gridSpan w:val="2"/>
          </w:tcPr>
          <w:p>
            <w:pPr>
              <w:ind w:left="260"/>
              <w:spacing w:after="0"/>
              <w:rPr>
                <w:sz w:val="20"/>
                <w:szCs w:val="20"/>
                <w:color w:val="auto"/>
              </w:rPr>
            </w:pPr>
            <w:r>
              <w:rPr>
                <w:rFonts w:ascii="Arial" w:cs="Arial" w:eastAsia="Arial" w:hAnsi="Arial"/>
                <w:sz w:val="14"/>
                <w:szCs w:val="14"/>
                <w:color w:val="auto"/>
              </w:rPr>
              <w:t>Compensation Program</w:t>
            </w:r>
          </w:p>
        </w:tc>
        <w:tc>
          <w:tcPr>
            <w:tcW w:w="34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4"/>
                <w:szCs w:val="14"/>
                <w:color w:val="auto"/>
              </w:rPr>
              <w:t>Shareholders Elect Directors Annually</w:t>
            </w:r>
          </w:p>
        </w:tc>
        <w:tc>
          <w:tcPr>
            <w:tcW w:w="660" w:type="dxa"/>
            <w:vAlign w:val="bottom"/>
          </w:tcPr>
          <w:p>
            <w:pPr>
              <w:jc w:val="right"/>
              <w:ind w:right="167"/>
              <w:spacing w:after="0"/>
              <w:rPr>
                <w:sz w:val="20"/>
                <w:szCs w:val="20"/>
                <w:color w:val="auto"/>
              </w:rPr>
            </w:pPr>
            <w:r>
              <w:rPr>
                <w:rFonts w:ascii="Arial" w:cs="Arial" w:eastAsia="Arial" w:hAnsi="Arial"/>
                <w:sz w:val="14"/>
                <w:szCs w:val="14"/>
                <w:color w:val="auto"/>
              </w:rPr>
              <w:t>22</w:t>
            </w:r>
          </w:p>
        </w:tc>
        <w:tc>
          <w:tcPr>
            <w:tcW w:w="4140" w:type="dxa"/>
            <w:vAlign w:val="bottom"/>
            <w:gridSpan w:val="2"/>
          </w:tcPr>
          <w:p>
            <w:pPr>
              <w:ind w:left="260"/>
              <w:spacing w:after="0"/>
              <w:rPr>
                <w:sz w:val="20"/>
                <w:szCs w:val="20"/>
                <w:color w:val="auto"/>
              </w:rPr>
            </w:pPr>
            <w:r>
              <w:rPr>
                <w:rFonts w:ascii="Arial" w:cs="Arial" w:eastAsia="Arial" w:hAnsi="Arial"/>
                <w:sz w:val="14"/>
                <w:szCs w:val="14"/>
                <w:color w:val="auto"/>
              </w:rPr>
              <w:t>Compensation Determination Process</w:t>
            </w:r>
          </w:p>
        </w:tc>
        <w:tc>
          <w:tcPr>
            <w:tcW w:w="34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4"/>
                <w:szCs w:val="14"/>
                <w:color w:val="auto"/>
              </w:rPr>
              <w:t>Director Nominees for Election at the Annual Meeting</w:t>
            </w:r>
          </w:p>
        </w:tc>
        <w:tc>
          <w:tcPr>
            <w:tcW w:w="660" w:type="dxa"/>
            <w:vAlign w:val="bottom"/>
          </w:tcPr>
          <w:p>
            <w:pPr>
              <w:jc w:val="right"/>
              <w:ind w:right="167"/>
              <w:spacing w:after="0"/>
              <w:rPr>
                <w:sz w:val="20"/>
                <w:szCs w:val="20"/>
                <w:color w:val="auto"/>
              </w:rPr>
            </w:pPr>
            <w:r>
              <w:rPr>
                <w:rFonts w:ascii="Arial" w:cs="Arial" w:eastAsia="Arial" w:hAnsi="Arial"/>
                <w:sz w:val="14"/>
                <w:szCs w:val="14"/>
                <w:color w:val="auto"/>
              </w:rPr>
              <w:t>23</w:t>
            </w:r>
          </w:p>
        </w:tc>
        <w:tc>
          <w:tcPr>
            <w:tcW w:w="4140" w:type="dxa"/>
            <w:vAlign w:val="bottom"/>
            <w:gridSpan w:val="2"/>
          </w:tcPr>
          <w:p>
            <w:pPr>
              <w:ind w:left="260"/>
              <w:spacing w:after="0"/>
              <w:rPr>
                <w:sz w:val="20"/>
                <w:szCs w:val="20"/>
                <w:color w:val="auto"/>
              </w:rPr>
            </w:pPr>
            <w:r>
              <w:rPr>
                <w:rFonts w:ascii="Arial" w:cs="Arial" w:eastAsia="Arial" w:hAnsi="Arial"/>
                <w:sz w:val="14"/>
                <w:szCs w:val="14"/>
                <w:color w:val="auto"/>
              </w:rPr>
              <w:t>Compensation Governance</w:t>
            </w:r>
          </w:p>
        </w:tc>
        <w:tc>
          <w:tcPr>
            <w:tcW w:w="34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39"/>
        </w:trPr>
        <w:tc>
          <w:tcPr>
            <w:tcW w:w="3800" w:type="dxa"/>
            <w:vAlign w:val="bottom"/>
          </w:tcPr>
          <w:p>
            <w:pPr>
              <w:spacing w:after="0"/>
              <w:rPr>
                <w:sz w:val="20"/>
                <w:szCs w:val="20"/>
                <w:color w:val="auto"/>
              </w:rPr>
            </w:pPr>
            <w:r>
              <w:rPr>
                <w:rFonts w:ascii="Arial" w:cs="Arial" w:eastAsia="Arial" w:hAnsi="Arial"/>
                <w:sz w:val="15"/>
                <w:szCs w:val="15"/>
                <w:b w:val="1"/>
                <w:bCs w:val="1"/>
                <w:color w:val="582C83"/>
              </w:rPr>
              <w:t>CORPORATE GOVERNANCE</w:t>
            </w:r>
          </w:p>
        </w:tc>
        <w:tc>
          <w:tcPr>
            <w:tcW w:w="660" w:type="dxa"/>
            <w:vAlign w:val="bottom"/>
          </w:tcPr>
          <w:p>
            <w:pPr>
              <w:jc w:val="right"/>
              <w:ind w:right="167"/>
              <w:spacing w:after="0"/>
              <w:rPr>
                <w:sz w:val="20"/>
                <w:szCs w:val="20"/>
                <w:color w:val="auto"/>
              </w:rPr>
            </w:pPr>
            <w:r>
              <w:rPr>
                <w:rFonts w:ascii="Arial" w:cs="Arial" w:eastAsia="Arial" w:hAnsi="Arial"/>
                <w:sz w:val="15"/>
                <w:szCs w:val="15"/>
                <w:b w:val="1"/>
                <w:bCs w:val="1"/>
                <w:color w:val="582C83"/>
              </w:rPr>
              <w:t>33</w:t>
            </w:r>
          </w:p>
        </w:tc>
        <w:tc>
          <w:tcPr>
            <w:tcW w:w="4140" w:type="dxa"/>
            <w:vAlign w:val="bottom"/>
            <w:gridSpan w:val="2"/>
          </w:tcPr>
          <w:p>
            <w:pPr>
              <w:ind w:left="260"/>
              <w:spacing w:after="0"/>
              <w:rPr>
                <w:sz w:val="20"/>
                <w:szCs w:val="20"/>
                <w:color w:val="auto"/>
              </w:rPr>
            </w:pPr>
            <w:r>
              <w:rPr>
                <w:rFonts w:ascii="Arial" w:cs="Arial" w:eastAsia="Arial" w:hAnsi="Arial"/>
                <w:sz w:val="15"/>
                <w:szCs w:val="15"/>
                <w:b w:val="1"/>
                <w:bCs w:val="1"/>
                <w:color w:val="582C83"/>
              </w:rPr>
              <w:t>EXECUTIVE COMPENSATION TABLES</w:t>
            </w:r>
          </w:p>
        </w:tc>
        <w:tc>
          <w:tcPr>
            <w:tcW w:w="340" w:type="dxa"/>
            <w:vAlign w:val="bottom"/>
          </w:tcPr>
          <w:p>
            <w:pPr>
              <w:jc w:val="right"/>
              <w:spacing w:after="0"/>
              <w:rPr>
                <w:sz w:val="20"/>
                <w:szCs w:val="20"/>
                <w:color w:val="auto"/>
              </w:rPr>
            </w:pPr>
            <w:r>
              <w:rPr>
                <w:rFonts w:ascii="Arial" w:cs="Arial" w:eastAsia="Arial" w:hAnsi="Arial"/>
                <w:sz w:val="15"/>
                <w:szCs w:val="15"/>
                <w:b w:val="1"/>
                <w:bCs w:val="1"/>
                <w:color w:val="582C83"/>
              </w:rPr>
              <w:t>85</w:t>
            </w:r>
          </w:p>
        </w:tc>
        <w:tc>
          <w:tcPr>
            <w:tcW w:w="0" w:type="dxa"/>
            <w:vAlign w:val="bottom"/>
          </w:tcPr>
          <w:p>
            <w:pPr>
              <w:spacing w:after="0"/>
              <w:rPr>
                <w:sz w:val="1"/>
                <w:szCs w:val="1"/>
                <w:color w:val="auto"/>
              </w:rPr>
            </w:pPr>
          </w:p>
        </w:tc>
      </w:tr>
      <w:tr>
        <w:trPr>
          <w:trHeight w:val="206"/>
        </w:trPr>
        <w:tc>
          <w:tcPr>
            <w:tcW w:w="3800" w:type="dxa"/>
            <w:vAlign w:val="bottom"/>
          </w:tcPr>
          <w:p>
            <w:pPr>
              <w:spacing w:after="0"/>
              <w:rPr>
                <w:sz w:val="20"/>
                <w:szCs w:val="20"/>
                <w:color w:val="auto"/>
              </w:rPr>
            </w:pPr>
            <w:r>
              <w:rPr>
                <w:rFonts w:ascii="Arial" w:cs="Arial" w:eastAsia="Arial" w:hAnsi="Arial"/>
                <w:sz w:val="14"/>
                <w:szCs w:val="14"/>
                <w:color w:val="auto"/>
              </w:rPr>
              <w:t>Governance Guidelines</w:t>
            </w:r>
          </w:p>
        </w:tc>
        <w:tc>
          <w:tcPr>
            <w:tcW w:w="660" w:type="dxa"/>
            <w:vAlign w:val="bottom"/>
          </w:tcPr>
          <w:p>
            <w:pPr>
              <w:jc w:val="right"/>
              <w:ind w:right="167"/>
              <w:spacing w:after="0"/>
              <w:rPr>
                <w:sz w:val="20"/>
                <w:szCs w:val="20"/>
                <w:color w:val="auto"/>
              </w:rPr>
            </w:pPr>
            <w:r>
              <w:rPr>
                <w:rFonts w:ascii="Arial" w:cs="Arial" w:eastAsia="Arial" w:hAnsi="Arial"/>
                <w:sz w:val="14"/>
                <w:szCs w:val="14"/>
                <w:color w:val="auto"/>
              </w:rPr>
              <w:t>33</w:t>
            </w:r>
          </w:p>
        </w:tc>
        <w:tc>
          <w:tcPr>
            <w:tcW w:w="600" w:type="dxa"/>
            <w:vAlign w:val="bottom"/>
          </w:tcPr>
          <w:p>
            <w:pPr>
              <w:ind w:left="260"/>
              <w:spacing w:after="0"/>
              <w:rPr>
                <w:sz w:val="20"/>
                <w:szCs w:val="20"/>
                <w:color w:val="auto"/>
              </w:rPr>
            </w:pPr>
            <w:r>
              <w:rPr>
                <w:rFonts w:ascii="Arial" w:cs="Arial" w:eastAsia="Arial" w:hAnsi="Arial"/>
                <w:sz w:val="14"/>
                <w:szCs w:val="14"/>
                <w:color w:val="auto"/>
              </w:rPr>
              <w:t>2025</w:t>
            </w:r>
          </w:p>
        </w:tc>
        <w:tc>
          <w:tcPr>
            <w:tcW w:w="3540" w:type="dxa"/>
            <w:vAlign w:val="bottom"/>
          </w:tcPr>
          <w:p>
            <w:pPr>
              <w:ind w:left="20"/>
              <w:spacing w:after="0"/>
              <w:rPr>
                <w:sz w:val="20"/>
                <w:szCs w:val="20"/>
                <w:color w:val="auto"/>
              </w:rPr>
            </w:pPr>
            <w:r>
              <w:rPr>
                <w:rFonts w:ascii="Arial" w:cs="Arial" w:eastAsia="Arial" w:hAnsi="Arial"/>
                <w:sz w:val="14"/>
                <w:szCs w:val="14"/>
                <w:color w:val="auto"/>
              </w:rPr>
              <w:t>Summary Compensation Table</w:t>
            </w:r>
          </w:p>
        </w:tc>
        <w:tc>
          <w:tcPr>
            <w:tcW w:w="34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4"/>
                <w:szCs w:val="14"/>
                <w:color w:val="auto"/>
              </w:rPr>
              <w:t>Director Onboarding and Education</w:t>
            </w:r>
          </w:p>
        </w:tc>
        <w:tc>
          <w:tcPr>
            <w:tcW w:w="660" w:type="dxa"/>
            <w:vAlign w:val="bottom"/>
          </w:tcPr>
          <w:p>
            <w:pPr>
              <w:jc w:val="right"/>
              <w:ind w:right="167"/>
              <w:spacing w:after="0"/>
              <w:rPr>
                <w:sz w:val="20"/>
                <w:szCs w:val="20"/>
                <w:color w:val="auto"/>
              </w:rPr>
            </w:pPr>
            <w:r>
              <w:rPr>
                <w:rFonts w:ascii="Arial" w:cs="Arial" w:eastAsia="Arial" w:hAnsi="Arial"/>
                <w:sz w:val="14"/>
                <w:szCs w:val="14"/>
                <w:color w:val="auto"/>
              </w:rPr>
              <w:t>35</w:t>
            </w:r>
          </w:p>
        </w:tc>
        <w:tc>
          <w:tcPr>
            <w:tcW w:w="600" w:type="dxa"/>
            <w:vAlign w:val="bottom"/>
          </w:tcPr>
          <w:p>
            <w:pPr>
              <w:ind w:left="260"/>
              <w:spacing w:after="0"/>
              <w:rPr>
                <w:sz w:val="20"/>
                <w:szCs w:val="20"/>
                <w:color w:val="auto"/>
              </w:rPr>
            </w:pPr>
            <w:r>
              <w:rPr>
                <w:rFonts w:ascii="Arial" w:cs="Arial" w:eastAsia="Arial" w:hAnsi="Arial"/>
                <w:sz w:val="14"/>
                <w:szCs w:val="14"/>
                <w:color w:val="auto"/>
              </w:rPr>
              <w:t>2025</w:t>
            </w:r>
          </w:p>
        </w:tc>
        <w:tc>
          <w:tcPr>
            <w:tcW w:w="3540" w:type="dxa"/>
            <w:vAlign w:val="bottom"/>
          </w:tcPr>
          <w:p>
            <w:pPr>
              <w:ind w:left="20"/>
              <w:spacing w:after="0"/>
              <w:rPr>
                <w:sz w:val="20"/>
                <w:szCs w:val="20"/>
                <w:color w:val="auto"/>
              </w:rPr>
            </w:pPr>
            <w:r>
              <w:rPr>
                <w:rFonts w:ascii="Arial" w:cs="Arial" w:eastAsia="Arial" w:hAnsi="Arial"/>
                <w:sz w:val="14"/>
                <w:szCs w:val="14"/>
                <w:color w:val="auto"/>
              </w:rPr>
              <w:t>Grants of Plan-Based Awards</w:t>
            </w:r>
          </w:p>
        </w:tc>
        <w:tc>
          <w:tcPr>
            <w:tcW w:w="34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4"/>
                <w:szCs w:val="14"/>
                <w:color w:val="auto"/>
              </w:rPr>
              <w:t>Director Independence</w:t>
            </w:r>
          </w:p>
        </w:tc>
        <w:tc>
          <w:tcPr>
            <w:tcW w:w="660" w:type="dxa"/>
            <w:vAlign w:val="bottom"/>
          </w:tcPr>
          <w:p>
            <w:pPr>
              <w:jc w:val="right"/>
              <w:ind w:right="167"/>
              <w:spacing w:after="0"/>
              <w:rPr>
                <w:sz w:val="20"/>
                <w:szCs w:val="20"/>
                <w:color w:val="auto"/>
              </w:rPr>
            </w:pPr>
            <w:r>
              <w:rPr>
                <w:rFonts w:ascii="Arial" w:cs="Arial" w:eastAsia="Arial" w:hAnsi="Arial"/>
                <w:sz w:val="14"/>
                <w:szCs w:val="14"/>
                <w:color w:val="auto"/>
              </w:rPr>
              <w:t>37</w:t>
            </w:r>
          </w:p>
        </w:tc>
        <w:tc>
          <w:tcPr>
            <w:tcW w:w="600" w:type="dxa"/>
            <w:vAlign w:val="bottom"/>
          </w:tcPr>
          <w:p>
            <w:pPr>
              <w:ind w:left="260"/>
              <w:spacing w:after="0"/>
              <w:rPr>
                <w:sz w:val="20"/>
                <w:szCs w:val="20"/>
                <w:color w:val="auto"/>
              </w:rPr>
            </w:pPr>
            <w:r>
              <w:rPr>
                <w:rFonts w:ascii="Arial" w:cs="Arial" w:eastAsia="Arial" w:hAnsi="Arial"/>
                <w:sz w:val="14"/>
                <w:szCs w:val="14"/>
                <w:color w:val="auto"/>
              </w:rPr>
              <w:t>2025</w:t>
            </w:r>
          </w:p>
        </w:tc>
        <w:tc>
          <w:tcPr>
            <w:tcW w:w="3540" w:type="dxa"/>
            <w:vAlign w:val="bottom"/>
          </w:tcPr>
          <w:p>
            <w:pPr>
              <w:ind w:left="20"/>
              <w:spacing w:after="0"/>
              <w:rPr>
                <w:sz w:val="20"/>
                <w:szCs w:val="20"/>
                <w:color w:val="auto"/>
              </w:rPr>
            </w:pPr>
            <w:r>
              <w:rPr>
                <w:rFonts w:ascii="Arial" w:cs="Arial" w:eastAsia="Arial" w:hAnsi="Arial"/>
                <w:sz w:val="14"/>
                <w:szCs w:val="14"/>
                <w:color w:val="auto"/>
              </w:rPr>
              <w:t>Outstanding Equity Awards at Fiscal Year-End</w:t>
            </w:r>
          </w:p>
        </w:tc>
        <w:tc>
          <w:tcPr>
            <w:tcW w:w="34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4"/>
                <w:szCs w:val="14"/>
                <w:color w:val="auto"/>
              </w:rPr>
              <w:t>Board Oversight of Strategy</w:t>
            </w:r>
          </w:p>
        </w:tc>
        <w:tc>
          <w:tcPr>
            <w:tcW w:w="660" w:type="dxa"/>
            <w:vAlign w:val="bottom"/>
          </w:tcPr>
          <w:p>
            <w:pPr>
              <w:jc w:val="right"/>
              <w:ind w:right="167"/>
              <w:spacing w:after="0"/>
              <w:rPr>
                <w:sz w:val="20"/>
                <w:szCs w:val="20"/>
                <w:color w:val="auto"/>
              </w:rPr>
            </w:pPr>
            <w:r>
              <w:rPr>
                <w:rFonts w:ascii="Arial" w:cs="Arial" w:eastAsia="Arial" w:hAnsi="Arial"/>
                <w:sz w:val="14"/>
                <w:szCs w:val="14"/>
                <w:color w:val="auto"/>
              </w:rPr>
              <w:t>38</w:t>
            </w:r>
          </w:p>
        </w:tc>
        <w:tc>
          <w:tcPr>
            <w:tcW w:w="600" w:type="dxa"/>
            <w:vAlign w:val="bottom"/>
          </w:tcPr>
          <w:p>
            <w:pPr>
              <w:ind w:left="260"/>
              <w:spacing w:after="0"/>
              <w:rPr>
                <w:sz w:val="20"/>
                <w:szCs w:val="20"/>
                <w:color w:val="auto"/>
              </w:rPr>
            </w:pPr>
            <w:r>
              <w:rPr>
                <w:rFonts w:ascii="Arial" w:cs="Arial" w:eastAsia="Arial" w:hAnsi="Arial"/>
                <w:sz w:val="14"/>
                <w:szCs w:val="14"/>
                <w:color w:val="auto"/>
              </w:rPr>
              <w:t>2025</w:t>
            </w:r>
          </w:p>
        </w:tc>
        <w:tc>
          <w:tcPr>
            <w:tcW w:w="3540" w:type="dxa"/>
            <w:vAlign w:val="bottom"/>
          </w:tcPr>
          <w:p>
            <w:pPr>
              <w:ind w:left="20"/>
              <w:spacing w:after="0"/>
              <w:rPr>
                <w:sz w:val="20"/>
                <w:szCs w:val="20"/>
                <w:color w:val="auto"/>
              </w:rPr>
            </w:pPr>
            <w:r>
              <w:rPr>
                <w:rFonts w:ascii="Arial" w:cs="Arial" w:eastAsia="Arial" w:hAnsi="Arial"/>
                <w:sz w:val="14"/>
                <w:szCs w:val="14"/>
                <w:color w:val="auto"/>
              </w:rPr>
              <w:t>Options Exercised and Stock Vested</w:t>
            </w:r>
          </w:p>
        </w:tc>
        <w:tc>
          <w:tcPr>
            <w:tcW w:w="34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bl>
    <w:p>
      <w:pPr>
        <w:sectPr>
          <w:pgSz w:w="11900" w:h="16869" w:orient="portrait"/>
          <w:cols w:equalWidth="0" w:num="1">
            <w:col w:w="9040"/>
          </w:cols>
          <w:pgMar w:left="1420" w:top="104" w:right="1439" w:bottom="0" w:gutter="0" w:footer="0" w:header="0"/>
        </w:sectPr>
      </w:pPr>
    </w:p>
    <w:bookmarkStart w:id="9" w:name="page10"/>
    <w:bookmarkEnd w:id="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80" w:type="dxa"/>
            <w:vAlign w:val="bottom"/>
          </w:tcPr>
          <w:p>
            <w:pPr>
              <w:spacing w:after="0"/>
              <w:rPr>
                <w:sz w:val="20"/>
                <w:szCs w:val="20"/>
                <w:color w:val="auto"/>
              </w:rPr>
            </w:pPr>
            <w:r>
              <w:rPr>
                <w:rFonts w:ascii="Arial" w:cs="Arial" w:eastAsia="Arial" w:hAnsi="Arial"/>
                <w:sz w:val="14"/>
                <w:szCs w:val="14"/>
                <w:color w:val="auto"/>
              </w:rPr>
              <w:t>Board Oversight of Risk Management</w:t>
            </w:r>
          </w:p>
        </w:tc>
        <w:tc>
          <w:tcPr>
            <w:tcW w:w="580" w:type="dxa"/>
            <w:vAlign w:val="bottom"/>
          </w:tcPr>
          <w:p>
            <w:pPr>
              <w:jc w:val="right"/>
              <w:ind w:right="167"/>
              <w:spacing w:after="0"/>
              <w:rPr>
                <w:sz w:val="20"/>
                <w:szCs w:val="20"/>
                <w:color w:val="auto"/>
              </w:rPr>
            </w:pPr>
            <w:r>
              <w:rPr>
                <w:rFonts w:ascii="Arial" w:cs="Arial" w:eastAsia="Arial" w:hAnsi="Arial"/>
                <w:sz w:val="14"/>
                <w:szCs w:val="14"/>
                <w:color w:val="auto"/>
              </w:rPr>
              <w:t>38</w:t>
            </w:r>
          </w:p>
        </w:tc>
        <w:tc>
          <w:tcPr>
            <w:tcW w:w="4160" w:type="dxa"/>
            <w:vAlign w:val="bottom"/>
          </w:tcPr>
          <w:p>
            <w:pPr>
              <w:ind w:left="260"/>
              <w:spacing w:after="0"/>
              <w:rPr>
                <w:sz w:val="20"/>
                <w:szCs w:val="20"/>
                <w:color w:val="auto"/>
              </w:rPr>
            </w:pPr>
            <w:r>
              <w:rPr>
                <w:rFonts w:ascii="Arial" w:cs="Arial" w:eastAsia="Arial" w:hAnsi="Arial"/>
                <w:sz w:val="14"/>
                <w:szCs w:val="14"/>
                <w:color w:val="auto"/>
              </w:rPr>
              <w:t>2025 Pension Benefits</w:t>
            </w:r>
          </w:p>
        </w:tc>
        <w:tc>
          <w:tcPr>
            <w:tcW w:w="32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72"/>
        </w:trPr>
        <w:tc>
          <w:tcPr>
            <w:tcW w:w="3880" w:type="dxa"/>
            <w:vAlign w:val="bottom"/>
          </w:tcPr>
          <w:p>
            <w:pPr>
              <w:spacing w:after="0" w:line="72" w:lineRule="exact"/>
              <w:rPr>
                <w:sz w:val="20"/>
                <w:szCs w:val="20"/>
                <w:color w:val="auto"/>
              </w:rPr>
            </w:pPr>
            <w:r>
              <w:rPr>
                <w:rFonts w:ascii="Arial" w:cs="Arial" w:eastAsia="Arial" w:hAnsi="Arial"/>
                <w:sz w:val="8"/>
                <w:szCs w:val="8"/>
                <w:b w:val="1"/>
                <w:bCs w:val="1"/>
                <w:color w:val="582C83"/>
              </w:rPr>
              <w:t>LETTER FROM OUR CHAIR AND CHIEF</w:t>
            </w:r>
          </w:p>
        </w:tc>
        <w:tc>
          <w:tcPr>
            <w:tcW w:w="580" w:type="dxa"/>
            <w:vAlign w:val="bottom"/>
          </w:tcPr>
          <w:p>
            <w:pPr>
              <w:spacing w:after="0"/>
              <w:rPr>
                <w:sz w:val="6"/>
                <w:szCs w:val="6"/>
                <w:color w:val="auto"/>
              </w:rPr>
            </w:pPr>
          </w:p>
        </w:tc>
        <w:tc>
          <w:tcPr>
            <w:tcW w:w="4160" w:type="dxa"/>
            <w:vAlign w:val="bottom"/>
          </w:tcPr>
          <w:p>
            <w:pPr>
              <w:ind w:left="260"/>
              <w:spacing w:after="0" w:line="72" w:lineRule="exact"/>
              <w:rPr>
                <w:sz w:val="20"/>
                <w:szCs w:val="20"/>
                <w:color w:val="auto"/>
              </w:rPr>
            </w:pPr>
            <w:r>
              <w:rPr>
                <w:rFonts w:ascii="Arial" w:cs="Arial" w:eastAsia="Arial" w:hAnsi="Arial"/>
                <w:sz w:val="8"/>
                <w:szCs w:val="8"/>
                <w:color w:val="auto"/>
              </w:rPr>
              <w:t>Board Oversight and Governance of Sustainability</w:t>
            </w:r>
          </w:p>
        </w:tc>
        <w:tc>
          <w:tcPr>
            <w:tcW w:w="320" w:type="dxa"/>
            <w:vAlign w:val="bottom"/>
          </w:tcPr>
          <w:p>
            <w:pPr>
              <w:jc w:val="right"/>
              <w:spacing w:after="0" w:line="72" w:lineRule="exact"/>
              <w:rPr>
                <w:sz w:val="20"/>
                <w:szCs w:val="20"/>
                <w:color w:val="auto"/>
              </w:rPr>
            </w:pPr>
            <w:r>
              <w:rPr>
                <w:rFonts w:ascii="Arial" w:cs="Arial" w:eastAsia="Arial" w:hAnsi="Arial"/>
                <w:sz w:val="8"/>
                <w:szCs w:val="8"/>
                <w:color w:val="auto"/>
              </w:rPr>
              <w:t>57</w:t>
            </w:r>
          </w:p>
        </w:tc>
        <w:tc>
          <w:tcPr>
            <w:tcW w:w="0" w:type="dxa"/>
            <w:vAlign w:val="bottom"/>
          </w:tcPr>
          <w:p>
            <w:pPr>
              <w:spacing w:after="0"/>
              <w:rPr>
                <w:sz w:val="1"/>
                <w:szCs w:val="1"/>
                <w:color w:val="auto"/>
              </w:rPr>
            </w:pPr>
          </w:p>
        </w:tc>
      </w:tr>
      <w:tr>
        <w:trPr>
          <w:trHeight w:val="158"/>
        </w:trPr>
        <w:tc>
          <w:tcPr>
            <w:tcW w:w="3880" w:type="dxa"/>
            <w:vAlign w:val="bottom"/>
          </w:tcPr>
          <w:p>
            <w:pPr>
              <w:spacing w:after="0" w:line="158" w:lineRule="exact"/>
              <w:rPr>
                <w:sz w:val="20"/>
                <w:szCs w:val="20"/>
                <w:color w:val="auto"/>
              </w:rPr>
            </w:pPr>
            <w:r>
              <w:rPr>
                <w:rFonts w:ascii="Arial" w:cs="Arial" w:eastAsia="Arial" w:hAnsi="Arial"/>
                <w:sz w:val="14"/>
                <w:szCs w:val="14"/>
                <w:color w:val="auto"/>
              </w:rPr>
              <w:t>Board Oversight of Human Capital Management and</w:t>
            </w:r>
          </w:p>
        </w:tc>
        <w:tc>
          <w:tcPr>
            <w:tcW w:w="580" w:type="dxa"/>
            <w:vAlign w:val="bottom"/>
            <w:vMerge w:val="restart"/>
          </w:tcPr>
          <w:p>
            <w:pPr>
              <w:jc w:val="right"/>
              <w:ind w:right="167"/>
              <w:spacing w:after="0"/>
              <w:rPr>
                <w:sz w:val="20"/>
                <w:szCs w:val="20"/>
                <w:color w:val="auto"/>
              </w:rPr>
            </w:pPr>
            <w:r>
              <w:rPr>
                <w:rFonts w:ascii="Arial" w:cs="Arial" w:eastAsia="Arial" w:hAnsi="Arial"/>
                <w:sz w:val="15"/>
                <w:szCs w:val="15"/>
                <w:b w:val="1"/>
                <w:bCs w:val="1"/>
                <w:color w:val="582C83"/>
              </w:rPr>
              <w:t>1</w:t>
            </w:r>
          </w:p>
        </w:tc>
        <w:tc>
          <w:tcPr>
            <w:tcW w:w="4160" w:type="dxa"/>
            <w:vAlign w:val="bottom"/>
          </w:tcPr>
          <w:p>
            <w:pPr>
              <w:ind w:left="260"/>
              <w:spacing w:after="0" w:line="158" w:lineRule="exact"/>
              <w:rPr>
                <w:sz w:val="20"/>
                <w:szCs w:val="20"/>
                <w:color w:val="auto"/>
              </w:rPr>
            </w:pPr>
            <w:r>
              <w:rPr>
                <w:rFonts w:ascii="Arial" w:cs="Arial" w:eastAsia="Arial" w:hAnsi="Arial"/>
                <w:sz w:val="14"/>
                <w:szCs w:val="14"/>
                <w:color w:val="auto"/>
              </w:rPr>
              <w:t>Retirement Benefit Plan Description</w:t>
            </w:r>
          </w:p>
        </w:tc>
        <w:tc>
          <w:tcPr>
            <w:tcW w:w="320" w:type="dxa"/>
            <w:vAlign w:val="bottom"/>
          </w:tcPr>
          <w:p>
            <w:pPr>
              <w:jc w:val="right"/>
              <w:spacing w:after="0" w:line="158"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45"/>
        </w:trPr>
        <w:tc>
          <w:tcPr>
            <w:tcW w:w="3880" w:type="dxa"/>
            <w:vAlign w:val="bottom"/>
          </w:tcPr>
          <w:p>
            <w:pPr>
              <w:spacing w:after="0" w:line="45" w:lineRule="exact"/>
              <w:rPr>
                <w:sz w:val="20"/>
                <w:szCs w:val="20"/>
                <w:color w:val="auto"/>
              </w:rPr>
            </w:pPr>
            <w:r>
              <w:rPr>
                <w:rFonts w:ascii="Arial" w:cs="Arial" w:eastAsia="Arial" w:hAnsi="Arial"/>
                <w:sz w:val="5"/>
                <w:szCs w:val="5"/>
                <w:b w:val="1"/>
                <w:bCs w:val="1"/>
                <w:color w:val="582C83"/>
              </w:rPr>
              <w:t>EXECUTIVE OFFICER</w:t>
            </w:r>
          </w:p>
        </w:tc>
        <w:tc>
          <w:tcPr>
            <w:tcW w:w="580" w:type="dxa"/>
            <w:vAlign w:val="bottom"/>
            <w:vMerge w:val="continue"/>
          </w:tcPr>
          <w:p>
            <w:pPr>
              <w:spacing w:after="0"/>
              <w:rPr>
                <w:sz w:val="3"/>
                <w:szCs w:val="3"/>
                <w:color w:val="auto"/>
              </w:rPr>
            </w:pPr>
          </w:p>
        </w:tc>
        <w:tc>
          <w:tcPr>
            <w:tcW w:w="4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3880" w:type="dxa"/>
            <w:vAlign w:val="bottom"/>
          </w:tcPr>
          <w:p>
            <w:pPr>
              <w:spacing w:after="0"/>
              <w:rPr>
                <w:sz w:val="20"/>
                <w:szCs w:val="20"/>
                <w:color w:val="auto"/>
              </w:rPr>
            </w:pPr>
            <w:r>
              <w:rPr>
                <w:rFonts w:ascii="Arial" w:cs="Arial" w:eastAsia="Arial" w:hAnsi="Arial"/>
                <w:sz w:val="14"/>
                <w:szCs w:val="14"/>
                <w:color w:val="auto"/>
              </w:rPr>
              <w:t>Corporate Culture</w:t>
            </w:r>
          </w:p>
        </w:tc>
        <w:tc>
          <w:tcPr>
            <w:tcW w:w="580" w:type="dxa"/>
            <w:vAlign w:val="bottom"/>
          </w:tcPr>
          <w:p>
            <w:pPr>
              <w:jc w:val="right"/>
              <w:ind w:right="167"/>
              <w:spacing w:after="0"/>
              <w:rPr>
                <w:sz w:val="20"/>
                <w:szCs w:val="20"/>
                <w:color w:val="auto"/>
              </w:rPr>
            </w:pPr>
            <w:r>
              <w:rPr>
                <w:rFonts w:ascii="Arial" w:cs="Arial" w:eastAsia="Arial" w:hAnsi="Arial"/>
                <w:sz w:val="14"/>
                <w:szCs w:val="14"/>
                <w:color w:val="auto"/>
              </w:rPr>
              <w:t>41</w:t>
            </w:r>
          </w:p>
        </w:tc>
        <w:tc>
          <w:tcPr>
            <w:tcW w:w="4160" w:type="dxa"/>
            <w:vAlign w:val="bottom"/>
          </w:tcPr>
          <w:p>
            <w:pPr>
              <w:ind w:left="260"/>
              <w:spacing w:after="0"/>
              <w:rPr>
                <w:sz w:val="20"/>
                <w:szCs w:val="20"/>
                <w:color w:val="auto"/>
              </w:rPr>
            </w:pPr>
            <w:r>
              <w:rPr>
                <w:rFonts w:ascii="Arial" w:cs="Arial" w:eastAsia="Arial" w:hAnsi="Arial"/>
                <w:sz w:val="14"/>
                <w:szCs w:val="14"/>
                <w:color w:val="auto"/>
              </w:rPr>
              <w:t>2025 Non-Qualified Deferred Compensation Benefits</w:t>
            </w:r>
          </w:p>
        </w:tc>
        <w:tc>
          <w:tcPr>
            <w:tcW w:w="32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4"/>
                <w:szCs w:val="14"/>
                <w:color w:val="auto"/>
              </w:rPr>
              <w:t>Meeting Attendance</w:t>
            </w:r>
          </w:p>
        </w:tc>
        <w:tc>
          <w:tcPr>
            <w:tcW w:w="580" w:type="dxa"/>
            <w:vAlign w:val="bottom"/>
          </w:tcPr>
          <w:p>
            <w:pPr>
              <w:jc w:val="right"/>
              <w:ind w:right="167"/>
              <w:spacing w:after="0"/>
              <w:rPr>
                <w:sz w:val="20"/>
                <w:szCs w:val="20"/>
                <w:color w:val="auto"/>
              </w:rPr>
            </w:pPr>
            <w:r>
              <w:rPr>
                <w:rFonts w:ascii="Arial" w:cs="Arial" w:eastAsia="Arial" w:hAnsi="Arial"/>
                <w:sz w:val="14"/>
                <w:szCs w:val="14"/>
                <w:color w:val="auto"/>
              </w:rPr>
              <w:t>42</w:t>
            </w:r>
          </w:p>
        </w:tc>
        <w:tc>
          <w:tcPr>
            <w:tcW w:w="4160" w:type="dxa"/>
            <w:vAlign w:val="bottom"/>
          </w:tcPr>
          <w:p>
            <w:pPr>
              <w:ind w:left="260"/>
              <w:spacing w:after="0"/>
              <w:rPr>
                <w:sz w:val="20"/>
                <w:szCs w:val="20"/>
                <w:color w:val="auto"/>
              </w:rPr>
            </w:pPr>
            <w:r>
              <w:rPr>
                <w:rFonts w:ascii="Arial" w:cs="Arial" w:eastAsia="Arial" w:hAnsi="Arial"/>
                <w:sz w:val="14"/>
                <w:szCs w:val="14"/>
                <w:color w:val="auto"/>
              </w:rPr>
              <w:t>Potential Payments Upon Termination or Change in Control</w:t>
            </w:r>
          </w:p>
        </w:tc>
        <w:tc>
          <w:tcPr>
            <w:tcW w:w="32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28"/>
        </w:trPr>
        <w:tc>
          <w:tcPr>
            <w:tcW w:w="3880" w:type="dxa"/>
            <w:vAlign w:val="bottom"/>
          </w:tcPr>
          <w:p>
            <w:pPr>
              <w:spacing w:after="0"/>
              <w:rPr>
                <w:sz w:val="20"/>
                <w:szCs w:val="20"/>
                <w:color w:val="auto"/>
              </w:rPr>
            </w:pPr>
            <w:r>
              <w:rPr>
                <w:rFonts w:ascii="Arial" w:cs="Arial" w:eastAsia="Arial" w:hAnsi="Arial"/>
                <w:sz w:val="14"/>
                <w:szCs w:val="14"/>
                <w:color w:val="auto"/>
              </w:rPr>
              <w:t>Insider Trading Policy</w:t>
            </w:r>
          </w:p>
        </w:tc>
        <w:tc>
          <w:tcPr>
            <w:tcW w:w="580" w:type="dxa"/>
            <w:vAlign w:val="bottom"/>
          </w:tcPr>
          <w:p>
            <w:pPr>
              <w:jc w:val="right"/>
              <w:ind w:right="167"/>
              <w:spacing w:after="0"/>
              <w:rPr>
                <w:sz w:val="20"/>
                <w:szCs w:val="20"/>
                <w:color w:val="auto"/>
              </w:rPr>
            </w:pPr>
            <w:r>
              <w:rPr>
                <w:rFonts w:ascii="Arial" w:cs="Arial" w:eastAsia="Arial" w:hAnsi="Arial"/>
                <w:sz w:val="14"/>
                <w:szCs w:val="14"/>
                <w:color w:val="auto"/>
              </w:rPr>
              <w:t>42</w:t>
            </w:r>
          </w:p>
        </w:tc>
        <w:tc>
          <w:tcPr>
            <w:tcW w:w="4160" w:type="dxa"/>
            <w:vAlign w:val="bottom"/>
          </w:tcPr>
          <w:p>
            <w:pPr>
              <w:ind w:left="260"/>
              <w:spacing w:after="0"/>
              <w:rPr>
                <w:sz w:val="20"/>
                <w:szCs w:val="20"/>
                <w:color w:val="auto"/>
              </w:rPr>
            </w:pPr>
            <w:r>
              <w:rPr>
                <w:rFonts w:ascii="Arial" w:cs="Arial" w:eastAsia="Arial" w:hAnsi="Arial"/>
                <w:sz w:val="15"/>
                <w:szCs w:val="15"/>
                <w:b w:val="1"/>
                <w:bCs w:val="1"/>
                <w:color w:val="582C83"/>
              </w:rPr>
              <w:t>PEOPLE AND COMPENSATION COMMITTEE</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80" w:type="dxa"/>
            <w:vAlign w:val="bottom"/>
          </w:tcPr>
          <w:p>
            <w:pPr>
              <w:spacing w:after="0"/>
              <w:rPr>
                <w:sz w:val="20"/>
                <w:szCs w:val="20"/>
                <w:color w:val="auto"/>
              </w:rPr>
            </w:pPr>
            <w:r>
              <w:rPr>
                <w:rFonts w:ascii="Arial" w:cs="Arial" w:eastAsia="Arial" w:hAnsi="Arial"/>
                <w:sz w:val="14"/>
                <w:szCs w:val="14"/>
                <w:color w:val="auto"/>
              </w:rPr>
              <w:t>Codes of Conduct</w:t>
            </w:r>
          </w:p>
        </w:tc>
        <w:tc>
          <w:tcPr>
            <w:tcW w:w="580" w:type="dxa"/>
            <w:vAlign w:val="bottom"/>
          </w:tcPr>
          <w:p>
            <w:pPr>
              <w:jc w:val="right"/>
              <w:ind w:right="167"/>
              <w:spacing w:after="0"/>
              <w:rPr>
                <w:sz w:val="20"/>
                <w:szCs w:val="20"/>
                <w:color w:val="auto"/>
              </w:rPr>
            </w:pPr>
            <w:r>
              <w:rPr>
                <w:rFonts w:ascii="Arial" w:cs="Arial" w:eastAsia="Arial" w:hAnsi="Arial"/>
                <w:sz w:val="14"/>
                <w:szCs w:val="14"/>
                <w:color w:val="auto"/>
              </w:rPr>
              <w:t>43</w:t>
            </w:r>
          </w:p>
        </w:tc>
        <w:tc>
          <w:tcPr>
            <w:tcW w:w="4160" w:type="dxa"/>
            <w:vAlign w:val="bottom"/>
          </w:tcPr>
          <w:p>
            <w:pPr>
              <w:ind w:left="260"/>
              <w:spacing w:after="0"/>
              <w:rPr>
                <w:sz w:val="20"/>
                <w:szCs w:val="20"/>
                <w:color w:val="auto"/>
              </w:rPr>
            </w:pPr>
            <w:r>
              <w:rPr>
                <w:rFonts w:ascii="Arial" w:cs="Arial" w:eastAsia="Arial" w:hAnsi="Arial"/>
                <w:sz w:val="15"/>
                <w:szCs w:val="15"/>
                <w:b w:val="1"/>
                <w:bCs w:val="1"/>
                <w:color w:val="582C83"/>
              </w:rPr>
              <w:t>REPORT FOR THE YEAR ENDED</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Arial" w:cs="Arial" w:eastAsia="Arial" w:hAnsi="Arial"/>
                <w:sz w:val="14"/>
                <w:szCs w:val="14"/>
                <w:color w:val="auto"/>
              </w:rPr>
              <w:t>Review of Transactions with Related Persons</w:t>
            </w:r>
          </w:p>
        </w:tc>
        <w:tc>
          <w:tcPr>
            <w:tcW w:w="580" w:type="dxa"/>
            <w:vAlign w:val="bottom"/>
          </w:tcPr>
          <w:p>
            <w:pPr>
              <w:jc w:val="right"/>
              <w:ind w:right="167"/>
              <w:spacing w:after="0"/>
              <w:rPr>
                <w:sz w:val="20"/>
                <w:szCs w:val="20"/>
                <w:color w:val="auto"/>
              </w:rPr>
            </w:pPr>
            <w:r>
              <w:rPr>
                <w:rFonts w:ascii="Arial" w:cs="Arial" w:eastAsia="Arial" w:hAnsi="Arial"/>
                <w:sz w:val="14"/>
                <w:szCs w:val="14"/>
                <w:color w:val="auto"/>
              </w:rPr>
              <w:t>44</w:t>
            </w:r>
          </w:p>
        </w:tc>
        <w:tc>
          <w:tcPr>
            <w:tcW w:w="4160" w:type="dxa"/>
            <w:vAlign w:val="bottom"/>
          </w:tcPr>
          <w:p>
            <w:pPr>
              <w:ind w:left="260"/>
              <w:spacing w:after="0"/>
              <w:rPr>
                <w:sz w:val="20"/>
                <w:szCs w:val="20"/>
                <w:color w:val="auto"/>
              </w:rPr>
            </w:pPr>
            <w:r>
              <w:rPr>
                <w:rFonts w:ascii="Arial" w:cs="Arial" w:eastAsia="Arial" w:hAnsi="Arial"/>
                <w:sz w:val="15"/>
                <w:szCs w:val="15"/>
                <w:b w:val="1"/>
                <w:bCs w:val="1"/>
                <w:color w:val="582C83"/>
              </w:rPr>
              <w:t>DECEMBER 31, 2025</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582C83"/>
              </w:rPr>
              <w:t>97</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4"/>
                <w:szCs w:val="14"/>
                <w:color w:val="auto"/>
              </w:rPr>
              <w:t>Shareholder Outreach and Communication with the Board</w:t>
            </w:r>
          </w:p>
        </w:tc>
        <w:tc>
          <w:tcPr>
            <w:tcW w:w="580" w:type="dxa"/>
            <w:vAlign w:val="bottom"/>
          </w:tcPr>
          <w:p>
            <w:pPr>
              <w:jc w:val="right"/>
              <w:ind w:right="167"/>
              <w:spacing w:after="0"/>
              <w:rPr>
                <w:sz w:val="20"/>
                <w:szCs w:val="20"/>
                <w:color w:val="auto"/>
              </w:rPr>
            </w:pPr>
            <w:r>
              <w:rPr>
                <w:rFonts w:ascii="Arial" w:cs="Arial" w:eastAsia="Arial" w:hAnsi="Arial"/>
                <w:sz w:val="14"/>
                <w:szCs w:val="14"/>
                <w:color w:val="auto"/>
              </w:rPr>
              <w:t>45</w:t>
            </w:r>
          </w:p>
        </w:tc>
        <w:tc>
          <w:tcPr>
            <w:tcW w:w="4160" w:type="dxa"/>
            <w:vAlign w:val="bottom"/>
          </w:tcPr>
          <w:p>
            <w:pPr>
              <w:ind w:left="260"/>
              <w:spacing w:after="0"/>
              <w:rPr>
                <w:sz w:val="20"/>
                <w:szCs w:val="20"/>
                <w:color w:val="auto"/>
              </w:rPr>
            </w:pPr>
            <w:r>
              <w:rPr>
                <w:rFonts w:ascii="Arial" w:cs="Arial" w:eastAsia="Arial" w:hAnsi="Arial"/>
                <w:sz w:val="15"/>
                <w:szCs w:val="15"/>
                <w:b w:val="1"/>
                <w:bCs w:val="1"/>
                <w:color w:val="582C83"/>
              </w:rPr>
              <w:t>CEO PAY RATIO</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582C83"/>
              </w:rPr>
              <w:t>98</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5"/>
                <w:szCs w:val="15"/>
                <w:b w:val="1"/>
                <w:bCs w:val="1"/>
                <w:color w:val="582C83"/>
              </w:rPr>
              <w:t>BOARD COMMITTEES AND MEMBERSHIP</w:t>
            </w:r>
          </w:p>
        </w:tc>
        <w:tc>
          <w:tcPr>
            <w:tcW w:w="580" w:type="dxa"/>
            <w:vAlign w:val="bottom"/>
          </w:tcPr>
          <w:p>
            <w:pPr>
              <w:jc w:val="right"/>
              <w:ind w:right="167"/>
              <w:spacing w:after="0"/>
              <w:rPr>
                <w:sz w:val="20"/>
                <w:szCs w:val="20"/>
                <w:color w:val="auto"/>
              </w:rPr>
            </w:pPr>
            <w:r>
              <w:rPr>
                <w:rFonts w:ascii="Arial" w:cs="Arial" w:eastAsia="Arial" w:hAnsi="Arial"/>
                <w:sz w:val="15"/>
                <w:szCs w:val="15"/>
                <w:b w:val="1"/>
                <w:bCs w:val="1"/>
                <w:color w:val="582C83"/>
              </w:rPr>
              <w:t>46</w:t>
            </w:r>
          </w:p>
        </w:tc>
        <w:tc>
          <w:tcPr>
            <w:tcW w:w="4160" w:type="dxa"/>
            <w:vAlign w:val="bottom"/>
          </w:tcPr>
          <w:p>
            <w:pPr>
              <w:ind w:left="260"/>
              <w:spacing w:after="0"/>
              <w:rPr>
                <w:sz w:val="20"/>
                <w:szCs w:val="20"/>
                <w:color w:val="auto"/>
              </w:rPr>
            </w:pPr>
            <w:r>
              <w:rPr>
                <w:rFonts w:ascii="Arial" w:cs="Arial" w:eastAsia="Arial" w:hAnsi="Arial"/>
                <w:sz w:val="15"/>
                <w:szCs w:val="15"/>
                <w:b w:val="1"/>
                <w:bCs w:val="1"/>
                <w:color w:val="582C83"/>
              </w:rPr>
              <w:t>PAY VERSUS PERFORMANCE</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582C83"/>
              </w:rPr>
              <w:t>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-1217930</wp:posOffset>
            </wp:positionV>
            <wp:extent cx="6810375" cy="3705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10375" cy="3705225"/>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3920" w:type="dxa"/>
            <w:vAlign w:val="bottom"/>
          </w:tcPr>
          <w:p>
            <w:pPr>
              <w:spacing w:after="0"/>
              <w:rPr>
                <w:sz w:val="20"/>
                <w:szCs w:val="20"/>
                <w:color w:val="auto"/>
              </w:rPr>
            </w:pPr>
            <w:r>
              <w:rPr>
                <w:rFonts w:ascii="Arial" w:cs="Arial" w:eastAsia="Arial" w:hAnsi="Arial"/>
                <w:sz w:val="15"/>
                <w:szCs w:val="15"/>
                <w:color w:val="auto"/>
              </w:rPr>
              <w:t>Committee Membership</w:t>
            </w:r>
          </w:p>
        </w:tc>
        <w:tc>
          <w:tcPr>
            <w:tcW w:w="30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29"/>
        </w:trPr>
        <w:tc>
          <w:tcPr>
            <w:tcW w:w="3920" w:type="dxa"/>
            <w:vAlign w:val="bottom"/>
          </w:tcPr>
          <w:p>
            <w:pPr>
              <w:spacing w:after="0"/>
              <w:rPr>
                <w:sz w:val="20"/>
                <w:szCs w:val="20"/>
                <w:color w:val="auto"/>
              </w:rPr>
            </w:pPr>
            <w:r>
              <w:rPr>
                <w:rFonts w:ascii="Arial" w:cs="Arial" w:eastAsia="Arial" w:hAnsi="Arial"/>
                <w:sz w:val="15"/>
                <w:szCs w:val="15"/>
                <w:color w:val="auto"/>
              </w:rPr>
              <w:t>Audit Committee</w:t>
            </w:r>
          </w:p>
        </w:tc>
        <w:tc>
          <w:tcPr>
            <w:tcW w:w="30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29"/>
        </w:trPr>
        <w:tc>
          <w:tcPr>
            <w:tcW w:w="3920" w:type="dxa"/>
            <w:vAlign w:val="bottom"/>
          </w:tcPr>
          <w:p>
            <w:pPr>
              <w:spacing w:after="0"/>
              <w:rPr>
                <w:sz w:val="20"/>
                <w:szCs w:val="20"/>
                <w:color w:val="auto"/>
              </w:rPr>
            </w:pPr>
            <w:r>
              <w:rPr>
                <w:rFonts w:ascii="Arial" w:cs="Arial" w:eastAsia="Arial" w:hAnsi="Arial"/>
                <w:sz w:val="15"/>
                <w:szCs w:val="15"/>
                <w:color w:val="auto"/>
              </w:rPr>
              <w:t>Finance Committee</w:t>
            </w:r>
          </w:p>
        </w:tc>
        <w:tc>
          <w:tcPr>
            <w:tcW w:w="30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230"/>
        </w:trPr>
        <w:tc>
          <w:tcPr>
            <w:tcW w:w="3920" w:type="dxa"/>
            <w:vAlign w:val="bottom"/>
          </w:tcPr>
          <w:p>
            <w:pPr>
              <w:spacing w:after="0"/>
              <w:rPr>
                <w:sz w:val="20"/>
                <w:szCs w:val="20"/>
                <w:color w:val="auto"/>
              </w:rPr>
            </w:pPr>
            <w:r>
              <w:rPr>
                <w:rFonts w:ascii="Arial" w:cs="Arial" w:eastAsia="Arial" w:hAnsi="Arial"/>
                <w:sz w:val="15"/>
                <w:szCs w:val="15"/>
                <w:color w:val="auto"/>
              </w:rPr>
              <w:t>Governance, Membership and Sustainability Committee</w:t>
            </w:r>
          </w:p>
        </w:tc>
        <w:tc>
          <w:tcPr>
            <w:tcW w:w="30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229"/>
        </w:trPr>
        <w:tc>
          <w:tcPr>
            <w:tcW w:w="3920" w:type="dxa"/>
            <w:vAlign w:val="bottom"/>
          </w:tcPr>
          <w:p>
            <w:pPr>
              <w:spacing w:after="0"/>
              <w:rPr>
                <w:sz w:val="20"/>
                <w:szCs w:val="20"/>
                <w:color w:val="auto"/>
              </w:rPr>
            </w:pPr>
            <w:r>
              <w:rPr>
                <w:rFonts w:ascii="Arial" w:cs="Arial" w:eastAsia="Arial" w:hAnsi="Arial"/>
                <w:sz w:val="15"/>
                <w:szCs w:val="15"/>
                <w:color w:val="auto"/>
              </w:rPr>
              <w:t>People and Compensation Committee</w:t>
            </w:r>
          </w:p>
        </w:tc>
        <w:tc>
          <w:tcPr>
            <w:tcW w:w="30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216"/>
        </w:trPr>
        <w:tc>
          <w:tcPr>
            <w:tcW w:w="3920" w:type="dxa"/>
            <w:vAlign w:val="bottom"/>
          </w:tcPr>
          <w:p>
            <w:pPr>
              <w:spacing w:after="0"/>
              <w:rPr>
                <w:sz w:val="20"/>
                <w:szCs w:val="20"/>
                <w:color w:val="auto"/>
              </w:rPr>
            </w:pPr>
            <w:r>
              <w:rPr>
                <w:rFonts w:ascii="Arial" w:cs="Arial" w:eastAsia="Arial" w:hAnsi="Arial"/>
                <w:sz w:val="15"/>
                <w:szCs w:val="15"/>
                <w:b w:val="1"/>
                <w:bCs w:val="1"/>
                <w:color w:val="582C83"/>
              </w:rPr>
              <w:t>OUR DISTINCTIVE APPROACH TO</w:t>
            </w:r>
          </w:p>
        </w:tc>
        <w:tc>
          <w:tcPr>
            <w:tcW w:w="300" w:type="dxa"/>
            <w:vAlign w:val="bottom"/>
          </w:tcPr>
          <w:p>
            <w:pPr>
              <w:spacing w:after="0"/>
              <w:rPr>
                <w:sz w:val="18"/>
                <w:szCs w:val="18"/>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5"/>
                <w:szCs w:val="15"/>
                <w:b w:val="1"/>
                <w:bCs w:val="1"/>
                <w:color w:val="582C83"/>
              </w:rPr>
              <w:t>ENVIRONMENTAL AND SOCIAL ISSUES</w:t>
            </w:r>
          </w:p>
        </w:tc>
        <w:tc>
          <w:tcPr>
            <w:tcW w:w="300" w:type="dxa"/>
            <w:vAlign w:val="bottom"/>
          </w:tcPr>
          <w:p>
            <w:pPr>
              <w:jc w:val="right"/>
              <w:spacing w:after="0"/>
              <w:rPr>
                <w:sz w:val="20"/>
                <w:szCs w:val="20"/>
                <w:color w:val="auto"/>
              </w:rPr>
            </w:pPr>
            <w:r>
              <w:rPr>
                <w:rFonts w:ascii="Arial" w:cs="Arial" w:eastAsia="Arial" w:hAnsi="Arial"/>
                <w:sz w:val="15"/>
                <w:szCs w:val="15"/>
                <w:b w:val="1"/>
                <w:bCs w:val="1"/>
                <w:color w:val="582C83"/>
              </w:rPr>
              <w:t>56</w:t>
            </w:r>
          </w:p>
        </w:tc>
      </w:tr>
      <w:tr>
        <w:trPr>
          <w:trHeight w:val="206"/>
        </w:trPr>
        <w:tc>
          <w:tcPr>
            <w:tcW w:w="3920" w:type="dxa"/>
            <w:vAlign w:val="bottom"/>
          </w:tcPr>
          <w:p>
            <w:pPr>
              <w:spacing w:after="0"/>
              <w:rPr>
                <w:sz w:val="20"/>
                <w:szCs w:val="20"/>
                <w:color w:val="auto"/>
              </w:rPr>
            </w:pPr>
            <w:r>
              <w:rPr>
                <w:rFonts w:ascii="Arial" w:cs="Arial" w:eastAsia="Arial" w:hAnsi="Arial"/>
                <w:sz w:val="14"/>
                <w:szCs w:val="14"/>
                <w:color w:val="auto"/>
              </w:rPr>
              <w:t>Our Strategic Focus Areas</w:t>
            </w:r>
          </w:p>
        </w:tc>
        <w:tc>
          <w:tcPr>
            <w:tcW w:w="300" w:type="dxa"/>
            <w:vAlign w:val="bottom"/>
          </w:tcPr>
          <w:p>
            <w:pPr>
              <w:jc w:val="right"/>
              <w:spacing w:after="0"/>
              <w:rPr>
                <w:sz w:val="20"/>
                <w:szCs w:val="20"/>
                <w:color w:val="auto"/>
              </w:rPr>
            </w:pPr>
            <w:r>
              <w:rPr>
                <w:rFonts w:ascii="Arial" w:cs="Arial" w:eastAsia="Arial" w:hAnsi="Arial"/>
                <w:sz w:val="14"/>
                <w:szCs w:val="14"/>
                <w:color w:val="auto"/>
              </w:rPr>
              <w:t>56</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20"/>
                <w:szCs w:val="20"/>
                <w:color w:val="auto"/>
              </w:rPr>
            </w:pPr>
            <w:r>
              <w:rPr>
                <w:rFonts w:ascii="Arial" w:cs="Arial" w:eastAsia="Arial" w:hAnsi="Arial"/>
                <w:sz w:val="14"/>
                <w:szCs w:val="14"/>
                <w:color w:val="auto"/>
              </w:rPr>
              <w:t>Financial Performance Measures</w:t>
            </w:r>
          </w:p>
        </w:tc>
        <w:tc>
          <w:tcPr>
            <w:tcW w:w="46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28"/>
        </w:trPr>
        <w:tc>
          <w:tcPr>
            <w:tcW w:w="3760" w:type="dxa"/>
            <w:vAlign w:val="bottom"/>
          </w:tcPr>
          <w:p>
            <w:pPr>
              <w:spacing w:after="0"/>
              <w:rPr>
                <w:sz w:val="20"/>
                <w:szCs w:val="20"/>
                <w:color w:val="auto"/>
              </w:rPr>
            </w:pPr>
            <w:r>
              <w:rPr>
                <w:rFonts w:ascii="Arial" w:cs="Arial" w:eastAsia="Arial" w:hAnsi="Arial"/>
                <w:sz w:val="14"/>
                <w:szCs w:val="14"/>
                <w:color w:val="auto"/>
              </w:rPr>
              <w:t>Analysis of the Information Presented in the Pay Versus</w:t>
            </w:r>
          </w:p>
        </w:tc>
        <w:tc>
          <w:tcPr>
            <w:tcW w:w="460" w:type="dxa"/>
            <w:vAlign w:val="bottom"/>
          </w:tcPr>
          <w:p>
            <w:pPr>
              <w:spacing w:after="0"/>
              <w:rPr>
                <w:sz w:val="19"/>
                <w:szCs w:val="19"/>
                <w:color w:val="auto"/>
              </w:rPr>
            </w:pPr>
          </w:p>
        </w:tc>
      </w:tr>
      <w:tr>
        <w:trPr>
          <w:trHeight w:val="190"/>
        </w:trPr>
        <w:tc>
          <w:tcPr>
            <w:tcW w:w="3760" w:type="dxa"/>
            <w:vAlign w:val="bottom"/>
          </w:tcPr>
          <w:p>
            <w:pPr>
              <w:spacing w:after="0"/>
              <w:rPr>
                <w:sz w:val="20"/>
                <w:szCs w:val="20"/>
                <w:color w:val="auto"/>
              </w:rPr>
            </w:pPr>
            <w:r>
              <w:rPr>
                <w:rFonts w:ascii="Arial" w:cs="Arial" w:eastAsia="Arial" w:hAnsi="Arial"/>
                <w:sz w:val="14"/>
                <w:szCs w:val="14"/>
                <w:color w:val="auto"/>
              </w:rPr>
              <w:t>Performance Table</w:t>
            </w:r>
          </w:p>
        </w:tc>
        <w:tc>
          <w:tcPr>
            <w:tcW w:w="46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39"/>
        </w:trPr>
        <w:tc>
          <w:tcPr>
            <w:tcW w:w="3760" w:type="dxa"/>
            <w:vAlign w:val="bottom"/>
          </w:tcPr>
          <w:p>
            <w:pPr>
              <w:spacing w:after="0"/>
              <w:rPr>
                <w:sz w:val="20"/>
                <w:szCs w:val="20"/>
                <w:color w:val="auto"/>
              </w:rPr>
            </w:pPr>
            <w:r>
              <w:rPr>
                <w:rFonts w:ascii="Arial" w:cs="Arial" w:eastAsia="Arial" w:hAnsi="Arial"/>
                <w:sz w:val="15"/>
                <w:szCs w:val="15"/>
                <w:b w:val="1"/>
                <w:bCs w:val="1"/>
                <w:color w:val="582C83"/>
              </w:rPr>
              <w:t>OWNERSHIP OF EQUITY SECURITIES</w:t>
            </w:r>
          </w:p>
        </w:tc>
        <w:tc>
          <w:tcPr>
            <w:tcW w:w="460" w:type="dxa"/>
            <w:vAlign w:val="bottom"/>
          </w:tcPr>
          <w:p>
            <w:pPr>
              <w:jc w:val="right"/>
              <w:spacing w:after="0"/>
              <w:rPr>
                <w:sz w:val="20"/>
                <w:szCs w:val="20"/>
                <w:color w:val="auto"/>
              </w:rPr>
            </w:pPr>
            <w:r>
              <w:rPr>
                <w:rFonts w:ascii="Arial" w:cs="Arial" w:eastAsia="Arial" w:hAnsi="Arial"/>
                <w:sz w:val="15"/>
                <w:szCs w:val="15"/>
                <w:b w:val="1"/>
                <w:bCs w:val="1"/>
                <w:color w:val="582C83"/>
              </w:rPr>
              <w:t>103</w:t>
            </w:r>
          </w:p>
        </w:tc>
      </w:tr>
      <w:tr>
        <w:trPr>
          <w:trHeight w:val="208"/>
        </w:trPr>
        <w:tc>
          <w:tcPr>
            <w:tcW w:w="3760" w:type="dxa"/>
            <w:vAlign w:val="bottom"/>
          </w:tcPr>
          <w:p>
            <w:pPr>
              <w:spacing w:after="0"/>
              <w:rPr>
                <w:sz w:val="20"/>
                <w:szCs w:val="20"/>
                <w:color w:val="auto"/>
              </w:rPr>
            </w:pPr>
            <w:r>
              <w:rPr>
                <w:rFonts w:ascii="Arial" w:cs="Arial" w:eastAsia="Arial" w:hAnsi="Arial"/>
                <w:sz w:val="15"/>
                <w:szCs w:val="15"/>
                <w:b w:val="1"/>
                <w:bCs w:val="1"/>
                <w:color w:val="582C83"/>
              </w:rPr>
              <w:t>ITEM 2. ADVISORY VOTE TO APPROVE</w:t>
            </w:r>
          </w:p>
        </w:tc>
        <w:tc>
          <w:tcPr>
            <w:tcW w:w="460" w:type="dxa"/>
            <w:vAlign w:val="bottom"/>
          </w:tcPr>
          <w:p>
            <w:pPr>
              <w:spacing w:after="0"/>
              <w:rPr>
                <w:sz w:val="18"/>
                <w:szCs w:val="18"/>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5"/>
                <w:szCs w:val="15"/>
                <w:b w:val="1"/>
                <w:bCs w:val="1"/>
                <w:color w:val="582C83"/>
              </w:rPr>
              <w:t>EXECUTIVE COMPENSATION</w:t>
            </w:r>
          </w:p>
        </w:tc>
        <w:tc>
          <w:tcPr>
            <w:tcW w:w="460" w:type="dxa"/>
            <w:vAlign w:val="bottom"/>
          </w:tcPr>
          <w:p>
            <w:pPr>
              <w:jc w:val="right"/>
              <w:spacing w:after="0"/>
              <w:rPr>
                <w:sz w:val="20"/>
                <w:szCs w:val="20"/>
                <w:color w:val="auto"/>
              </w:rPr>
            </w:pPr>
            <w:r>
              <w:rPr>
                <w:rFonts w:ascii="Arial" w:cs="Arial" w:eastAsia="Arial" w:hAnsi="Arial"/>
                <w:sz w:val="15"/>
                <w:szCs w:val="15"/>
                <w:b w:val="1"/>
                <w:bCs w:val="1"/>
                <w:color w:val="582C83"/>
              </w:rPr>
              <w:t>105</w:t>
            </w:r>
          </w:p>
        </w:tc>
      </w:tr>
    </w:tbl>
    <w:p>
      <w:pPr>
        <w:spacing w:after="0" w:line="675" w:lineRule="exact"/>
        <w:rPr>
          <w:sz w:val="20"/>
          <w:szCs w:val="20"/>
          <w:color w:val="auto"/>
        </w:rPr>
      </w:pPr>
    </w:p>
    <w:p>
      <w:pPr>
        <w:sectPr>
          <w:pgSz w:w="11900" w:h="16838" w:orient="portrait"/>
          <w:cols w:equalWidth="0" w:num="2">
            <w:col w:w="4260" w:space="500"/>
            <w:col w:w="4259"/>
          </w:cols>
          <w:pgMar w:left="1440" w:top="10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582C83"/>
        </w:rPr>
        <w:t>8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347345</wp:posOffset>
            </wp:positionV>
            <wp:extent cx="6810375" cy="67284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10375" cy="672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60"/>
        <w:spacing w:after="0"/>
        <w:rPr>
          <w:sz w:val="20"/>
          <w:szCs w:val="20"/>
          <w:color w:val="auto"/>
        </w:rPr>
      </w:pPr>
      <w:r>
        <w:rPr>
          <w:rFonts w:ascii="Arial" w:cs="Arial" w:eastAsia="Arial" w:hAnsi="Arial"/>
          <w:sz w:val="21"/>
          <w:szCs w:val="21"/>
          <w:b w:val="1"/>
          <w:bCs w:val="1"/>
          <w:color w:val="auto"/>
        </w:rPr>
        <w:t>TABLE OF CONTENTS</w:t>
      </w:r>
    </w:p>
    <w:p>
      <w:pPr>
        <w:sectPr>
          <w:pgSz w:w="11900" w:h="16838" w:orient="portrait"/>
          <w:cols w:equalWidth="0" w:num="1">
            <w:col w:w="9019"/>
          </w:cols>
          <w:pgMar w:left="1440" w:top="10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 w:right="180"/>
        <w:spacing w:after="0" w:line="286" w:lineRule="auto"/>
        <w:rPr>
          <w:sz w:val="20"/>
          <w:szCs w:val="20"/>
          <w:color w:val="auto"/>
        </w:rPr>
      </w:pPr>
      <w:r>
        <w:rPr>
          <w:rFonts w:ascii="Arial" w:cs="Arial" w:eastAsia="Arial" w:hAnsi="Arial"/>
          <w:sz w:val="15"/>
          <w:szCs w:val="15"/>
          <w:b w:val="1"/>
          <w:bCs w:val="1"/>
          <w:color w:val="582C83"/>
        </w:rPr>
        <w:t>ITEM 3. RATIFICATION OF THE SELECTION OF INDEPENDENT REGISTERED PUBLIC ACCOUNTANTS FOR FISCAL YEAR 2026</w:t>
      </w:r>
    </w:p>
    <w:p>
      <w:pPr>
        <w:spacing w:after="0" w:line="1" w:lineRule="exact"/>
        <w:rPr>
          <w:sz w:val="20"/>
          <w:szCs w:val="20"/>
          <w:color w:val="auto"/>
        </w:rPr>
      </w:pPr>
    </w:p>
    <w:p>
      <w:pPr>
        <w:ind w:left="40"/>
        <w:spacing w:after="0" w:line="314" w:lineRule="auto"/>
        <w:rPr>
          <w:sz w:val="20"/>
          <w:szCs w:val="20"/>
          <w:color w:val="auto"/>
        </w:rPr>
      </w:pPr>
      <w:r>
        <w:rPr>
          <w:rFonts w:ascii="Arial" w:cs="Arial" w:eastAsia="Arial" w:hAnsi="Arial"/>
          <w:sz w:val="14"/>
          <w:szCs w:val="14"/>
          <w:color w:val="auto"/>
        </w:rPr>
        <w:t>Review of Independent Registered Public Accountants Selection of Independent Registered Public Accountants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582C83"/>
        </w:rPr>
        <w:t>SHAREHOLDER PROPOSALS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582C83"/>
        </w:rPr>
        <w:t>ITEM 4. SHAREHOLDER PROPOSAL</w:t>
      </w:r>
    </w:p>
    <w:p>
      <w:pPr>
        <w:spacing w:after="0" w:line="81" w:lineRule="exact"/>
        <w:rPr>
          <w:sz w:val="20"/>
          <w:szCs w:val="20"/>
          <w:color w:val="auto"/>
        </w:rPr>
      </w:pPr>
    </w:p>
    <w:p>
      <w:pPr>
        <w:ind w:left="40" w:right="920"/>
        <w:spacing w:after="0" w:line="294" w:lineRule="auto"/>
        <w:rPr>
          <w:sz w:val="20"/>
          <w:szCs w:val="20"/>
          <w:color w:val="auto"/>
        </w:rPr>
      </w:pPr>
      <w:r>
        <w:rPr>
          <w:rFonts w:ascii="Arial" w:cs="Arial" w:eastAsia="Arial" w:hAnsi="Arial"/>
          <w:sz w:val="14"/>
          <w:szCs w:val="14"/>
          <w:color w:val="auto"/>
        </w:rPr>
        <w:t>Report on Objective Evaluation of Plastics Packaging Policies</w:t>
      </w:r>
    </w:p>
    <w:p>
      <w:pPr>
        <w:ind w:left="40"/>
        <w:spacing w:after="0"/>
        <w:rPr>
          <w:sz w:val="20"/>
          <w:szCs w:val="20"/>
          <w:color w:val="auto"/>
        </w:rPr>
      </w:pPr>
      <w:r>
        <w:rPr>
          <w:rFonts w:ascii="Arial" w:cs="Arial" w:eastAsia="Arial" w:hAnsi="Arial"/>
          <w:sz w:val="15"/>
          <w:szCs w:val="15"/>
          <w:b w:val="1"/>
          <w:bCs w:val="1"/>
          <w:color w:val="582C83"/>
        </w:rPr>
        <w:t>ITEM 5. SHAREHOLDER PROPOSAL</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Adopt Independent Board Chairman Policy</w:t>
      </w:r>
    </w:p>
    <w:p>
      <w:pPr>
        <w:spacing w:after="0" w:line="45" w:lineRule="exact"/>
        <w:rPr>
          <w:sz w:val="20"/>
          <w:szCs w:val="20"/>
          <w:color w:val="auto"/>
        </w:rPr>
      </w:pPr>
    </w:p>
    <w:p>
      <w:pPr>
        <w:ind w:left="40" w:right="20"/>
        <w:spacing w:after="0" w:line="315" w:lineRule="auto"/>
        <w:rPr>
          <w:sz w:val="20"/>
          <w:szCs w:val="20"/>
          <w:color w:val="auto"/>
        </w:rPr>
      </w:pPr>
      <w:r>
        <w:rPr>
          <w:rFonts w:ascii="Arial" w:cs="Arial" w:eastAsia="Arial" w:hAnsi="Arial"/>
          <w:sz w:val="15"/>
          <w:szCs w:val="15"/>
          <w:b w:val="1"/>
          <w:bCs w:val="1"/>
          <w:color w:val="582C83"/>
        </w:rPr>
        <w:t>OTHER MATTERS THAT MAY BE PRESENTED AT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9"/>
        </w:trPr>
        <w:tc>
          <w:tcPr>
            <w:tcW w:w="500" w:type="dxa"/>
            <w:vAlign w:val="bottom"/>
          </w:tcPr>
          <w:p>
            <w:pPr>
              <w:spacing w:after="0"/>
              <w:rPr>
                <w:sz w:val="16"/>
                <w:szCs w:val="16"/>
                <w:color w:val="auto"/>
              </w:rPr>
            </w:pPr>
          </w:p>
        </w:tc>
        <w:tc>
          <w:tcPr>
            <w:tcW w:w="4180" w:type="dxa"/>
            <w:vAlign w:val="bottom"/>
          </w:tcPr>
          <w:p>
            <w:pPr>
              <w:ind w:left="260"/>
              <w:spacing w:after="0"/>
              <w:rPr>
                <w:sz w:val="20"/>
                <w:szCs w:val="20"/>
                <w:color w:val="auto"/>
              </w:rPr>
            </w:pPr>
            <w:r>
              <w:rPr>
                <w:rFonts w:ascii="Arial" w:cs="Arial" w:eastAsia="Arial" w:hAnsi="Arial"/>
                <w:sz w:val="15"/>
                <w:szCs w:val="15"/>
                <w:b w:val="1"/>
                <w:bCs w:val="1"/>
                <w:color w:val="582C83"/>
              </w:rPr>
              <w:t>FREQUENTLY ASKED QUESTIONS ABOUT THE</w:t>
            </w:r>
          </w:p>
        </w:tc>
        <w:tc>
          <w:tcPr>
            <w:tcW w:w="300" w:type="dxa"/>
            <w:vAlign w:val="bottom"/>
          </w:tcPr>
          <w:p>
            <w:pPr>
              <w:spacing w:after="0"/>
              <w:rPr>
                <w:sz w:val="16"/>
                <w:szCs w:val="16"/>
                <w:color w:val="auto"/>
              </w:rPr>
            </w:pPr>
          </w:p>
        </w:tc>
      </w:tr>
      <w:tr>
        <w:trPr>
          <w:trHeight w:val="210"/>
        </w:trPr>
        <w:tc>
          <w:tcPr>
            <w:tcW w:w="500" w:type="dxa"/>
            <w:vAlign w:val="bottom"/>
          </w:tcPr>
          <w:p>
            <w:pPr>
              <w:spacing w:after="0"/>
              <w:rPr>
                <w:sz w:val="18"/>
                <w:szCs w:val="18"/>
                <w:color w:val="auto"/>
              </w:rPr>
            </w:pPr>
          </w:p>
        </w:tc>
        <w:tc>
          <w:tcPr>
            <w:tcW w:w="4180" w:type="dxa"/>
            <w:vAlign w:val="bottom"/>
          </w:tcPr>
          <w:p>
            <w:pPr>
              <w:ind w:left="260"/>
              <w:spacing w:after="0"/>
              <w:rPr>
                <w:sz w:val="20"/>
                <w:szCs w:val="20"/>
                <w:color w:val="auto"/>
              </w:rPr>
            </w:pPr>
            <w:r>
              <w:rPr>
                <w:rFonts w:ascii="Arial" w:cs="Arial" w:eastAsia="Arial" w:hAnsi="Arial"/>
                <w:sz w:val="15"/>
                <w:szCs w:val="15"/>
                <w:b w:val="1"/>
                <w:bCs w:val="1"/>
                <w:color w:val="582C83"/>
              </w:rPr>
              <w:t>ANNUAL MEETING AND VOTING</w:t>
            </w:r>
          </w:p>
        </w:tc>
        <w:tc>
          <w:tcPr>
            <w:tcW w:w="300" w:type="dxa"/>
            <w:vAlign w:val="bottom"/>
          </w:tcPr>
          <w:p>
            <w:pPr>
              <w:jc w:val="right"/>
              <w:spacing w:after="0"/>
              <w:rPr>
                <w:sz w:val="20"/>
                <w:szCs w:val="20"/>
                <w:color w:val="auto"/>
              </w:rPr>
            </w:pPr>
            <w:r>
              <w:rPr>
                <w:rFonts w:ascii="Arial" w:cs="Arial" w:eastAsia="Arial" w:hAnsi="Arial"/>
                <w:sz w:val="15"/>
                <w:szCs w:val="15"/>
                <w:b w:val="1"/>
                <w:bCs w:val="1"/>
                <w:color w:val="582C83"/>
              </w:rPr>
              <w:t>116</w:t>
            </w:r>
          </w:p>
        </w:tc>
      </w:tr>
      <w:tr>
        <w:trPr>
          <w:trHeight w:val="216"/>
        </w:trPr>
        <w:tc>
          <w:tcPr>
            <w:tcW w:w="500" w:type="dxa"/>
            <w:vAlign w:val="bottom"/>
          </w:tcPr>
          <w:p>
            <w:pPr>
              <w:spacing w:after="0"/>
              <w:rPr>
                <w:sz w:val="20"/>
                <w:szCs w:val="20"/>
                <w:color w:val="auto"/>
              </w:rPr>
            </w:pPr>
            <w:r>
              <w:rPr>
                <w:rFonts w:ascii="Arial" w:cs="Arial" w:eastAsia="Arial" w:hAnsi="Arial"/>
                <w:sz w:val="15"/>
                <w:szCs w:val="15"/>
                <w:b w:val="1"/>
                <w:bCs w:val="1"/>
                <w:color w:val="582C83"/>
              </w:rPr>
              <w:t>106</w:t>
            </w:r>
          </w:p>
        </w:tc>
        <w:tc>
          <w:tcPr>
            <w:tcW w:w="4180" w:type="dxa"/>
            <w:vAlign w:val="bottom"/>
          </w:tcPr>
          <w:p>
            <w:pPr>
              <w:ind w:left="260"/>
              <w:spacing w:after="0"/>
              <w:rPr>
                <w:sz w:val="20"/>
                <w:szCs w:val="20"/>
                <w:color w:val="auto"/>
              </w:rPr>
            </w:pPr>
            <w:r>
              <w:rPr>
                <w:rFonts w:ascii="Arial" w:cs="Arial" w:eastAsia="Arial" w:hAnsi="Arial"/>
                <w:sz w:val="14"/>
                <w:szCs w:val="14"/>
                <w:color w:val="auto"/>
              </w:rPr>
              <w:t>Voting Instructions to Proxies</w:t>
            </w:r>
          </w:p>
        </w:tc>
        <w:tc>
          <w:tcPr>
            <w:tcW w:w="30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206"/>
        </w:trPr>
        <w:tc>
          <w:tcPr>
            <w:tcW w:w="500" w:type="dxa"/>
            <w:vAlign w:val="bottom"/>
          </w:tcPr>
          <w:p>
            <w:pPr>
              <w:spacing w:after="0"/>
              <w:rPr>
                <w:sz w:val="20"/>
                <w:szCs w:val="20"/>
                <w:color w:val="auto"/>
              </w:rPr>
            </w:pPr>
            <w:r>
              <w:rPr>
                <w:rFonts w:ascii="Arial" w:cs="Arial" w:eastAsia="Arial" w:hAnsi="Arial"/>
                <w:sz w:val="14"/>
                <w:szCs w:val="14"/>
                <w:color w:val="auto"/>
              </w:rPr>
              <w:t>106</w:t>
            </w:r>
          </w:p>
        </w:tc>
        <w:tc>
          <w:tcPr>
            <w:tcW w:w="4180" w:type="dxa"/>
            <w:vAlign w:val="bottom"/>
          </w:tcPr>
          <w:p>
            <w:pPr>
              <w:ind w:left="260"/>
              <w:spacing w:after="0"/>
              <w:rPr>
                <w:sz w:val="20"/>
                <w:szCs w:val="20"/>
                <w:color w:val="auto"/>
              </w:rPr>
            </w:pPr>
            <w:r>
              <w:rPr>
                <w:rFonts w:ascii="Arial" w:cs="Arial" w:eastAsia="Arial" w:hAnsi="Arial"/>
                <w:sz w:val="14"/>
                <w:szCs w:val="14"/>
                <w:color w:val="auto"/>
              </w:rPr>
              <w:t>Attending and Voting at the Annual Meeting</w:t>
            </w:r>
          </w:p>
        </w:tc>
        <w:tc>
          <w:tcPr>
            <w:tcW w:w="30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228"/>
        </w:trPr>
        <w:tc>
          <w:tcPr>
            <w:tcW w:w="500" w:type="dxa"/>
            <w:vAlign w:val="bottom"/>
          </w:tcPr>
          <w:p>
            <w:pPr>
              <w:spacing w:after="0"/>
              <w:rPr>
                <w:sz w:val="20"/>
                <w:szCs w:val="20"/>
                <w:color w:val="auto"/>
              </w:rPr>
            </w:pPr>
            <w:r>
              <w:rPr>
                <w:rFonts w:ascii="Arial" w:cs="Arial" w:eastAsia="Arial" w:hAnsi="Arial"/>
                <w:sz w:val="14"/>
                <w:szCs w:val="14"/>
                <w:color w:val="auto"/>
              </w:rPr>
              <w:t>107</w:t>
            </w:r>
          </w:p>
        </w:tc>
        <w:tc>
          <w:tcPr>
            <w:tcW w:w="4180" w:type="dxa"/>
            <w:vAlign w:val="bottom"/>
          </w:tcPr>
          <w:p>
            <w:pPr>
              <w:ind w:left="260"/>
              <w:spacing w:after="0"/>
              <w:rPr>
                <w:sz w:val="20"/>
                <w:szCs w:val="20"/>
                <w:color w:val="auto"/>
              </w:rPr>
            </w:pPr>
            <w:r>
              <w:rPr>
                <w:rFonts w:ascii="Arial" w:cs="Arial" w:eastAsia="Arial" w:hAnsi="Arial"/>
                <w:sz w:val="14"/>
                <w:szCs w:val="14"/>
                <w:color w:val="auto"/>
              </w:rPr>
              <w:t>Getting Information and Asking Questions Before and During</w:t>
            </w:r>
          </w:p>
        </w:tc>
        <w:tc>
          <w:tcPr>
            <w:tcW w:w="300" w:type="dxa"/>
            <w:vAlign w:val="bottom"/>
          </w:tcPr>
          <w:p>
            <w:pPr>
              <w:spacing w:after="0"/>
              <w:rPr>
                <w:sz w:val="19"/>
                <w:szCs w:val="19"/>
                <w:color w:val="auto"/>
              </w:rPr>
            </w:pPr>
          </w:p>
        </w:tc>
      </w:tr>
      <w:tr>
        <w:trPr>
          <w:trHeight w:val="214"/>
        </w:trPr>
        <w:tc>
          <w:tcPr>
            <w:tcW w:w="500" w:type="dxa"/>
            <w:vAlign w:val="bottom"/>
          </w:tcPr>
          <w:p>
            <w:pPr>
              <w:spacing w:after="0"/>
              <w:rPr>
                <w:sz w:val="20"/>
                <w:szCs w:val="20"/>
                <w:color w:val="auto"/>
              </w:rPr>
            </w:pPr>
            <w:r>
              <w:rPr>
                <w:rFonts w:ascii="Arial" w:cs="Arial" w:eastAsia="Arial" w:hAnsi="Arial"/>
                <w:sz w:val="15"/>
                <w:szCs w:val="15"/>
                <w:b w:val="1"/>
                <w:bCs w:val="1"/>
                <w:color w:val="582C83"/>
              </w:rPr>
              <w:t>108</w:t>
            </w:r>
          </w:p>
        </w:tc>
        <w:tc>
          <w:tcPr>
            <w:tcW w:w="4180" w:type="dxa"/>
            <w:vAlign w:val="bottom"/>
          </w:tcPr>
          <w:p>
            <w:pPr>
              <w:ind w:left="260"/>
              <w:spacing w:after="0"/>
              <w:rPr>
                <w:sz w:val="20"/>
                <w:szCs w:val="20"/>
                <w:color w:val="auto"/>
              </w:rPr>
            </w:pPr>
            <w:r>
              <w:rPr>
                <w:rFonts w:ascii="Arial" w:cs="Arial" w:eastAsia="Arial" w:hAnsi="Arial"/>
                <w:sz w:val="14"/>
                <w:szCs w:val="14"/>
                <w:color w:val="auto"/>
              </w:rPr>
              <w:t>the Annual Meeting</w:t>
            </w:r>
          </w:p>
        </w:tc>
        <w:tc>
          <w:tcPr>
            <w:tcW w:w="300" w:type="dxa"/>
            <w:vAlign w:val="bottom"/>
          </w:tcPr>
          <w:p>
            <w:pPr>
              <w:jc w:val="right"/>
              <w:spacing w:after="0"/>
              <w:rPr>
                <w:sz w:val="20"/>
                <w:szCs w:val="20"/>
                <w:color w:val="auto"/>
              </w:rPr>
            </w:pPr>
            <w:r>
              <w:rPr>
                <w:rFonts w:ascii="Arial" w:cs="Arial" w:eastAsia="Arial" w:hAnsi="Arial"/>
                <w:sz w:val="14"/>
                <w:szCs w:val="14"/>
                <w:color w:val="auto"/>
              </w:rPr>
              <w:t>116</w:t>
            </w:r>
          </w:p>
        </w:tc>
      </w:tr>
    </w:tbl>
    <w:p>
      <w:pPr>
        <w:spacing w:after="0" w:line="16" w:lineRule="exact"/>
        <w:rPr>
          <w:sz w:val="20"/>
          <w:szCs w:val="20"/>
          <w:color w:val="auto"/>
        </w:rPr>
      </w:pPr>
    </w:p>
    <w:p>
      <w:pPr>
        <w:ind w:left="770" w:hanging="770"/>
        <w:spacing w:after="0"/>
        <w:tabs>
          <w:tab w:leader="none" w:pos="770" w:val="left"/>
        </w:tabs>
        <w:numPr>
          <w:ilvl w:val="0"/>
          <w:numId w:val="7"/>
        </w:numPr>
        <w:rPr>
          <w:rFonts w:ascii="Arial" w:cs="Arial" w:eastAsia="Arial" w:hAnsi="Arial"/>
          <w:sz w:val="15"/>
          <w:szCs w:val="15"/>
          <w:b w:val="1"/>
          <w:bCs w:val="1"/>
          <w:color w:val="582C83"/>
        </w:rPr>
      </w:pPr>
      <w:r>
        <w:rPr>
          <w:rFonts w:ascii="Arial" w:cs="Arial" w:eastAsia="Arial" w:hAnsi="Arial"/>
          <w:sz w:val="14"/>
          <w:szCs w:val="14"/>
          <w:color w:val="auto"/>
        </w:rPr>
        <w:t>Frequently Asked Questions About the Annual Meeting</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3920" w:type="dxa"/>
            <w:vAlign w:val="bottom"/>
          </w:tcPr>
          <w:p>
            <w:pPr>
              <w:ind w:left="260"/>
              <w:spacing w:after="0"/>
              <w:rPr>
                <w:sz w:val="20"/>
                <w:szCs w:val="20"/>
                <w:color w:val="auto"/>
              </w:rPr>
            </w:pPr>
            <w:r>
              <w:rPr>
                <w:rFonts w:ascii="Arial" w:cs="Arial" w:eastAsia="Arial" w:hAnsi="Arial"/>
                <w:sz w:val="14"/>
                <w:szCs w:val="14"/>
                <w:color w:val="auto"/>
              </w:rPr>
              <w:t>and Voting</w:t>
            </w:r>
          </w:p>
        </w:tc>
        <w:tc>
          <w:tcPr>
            <w:tcW w:w="56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243"/>
        </w:trPr>
        <w:tc>
          <w:tcPr>
            <w:tcW w:w="500" w:type="dxa"/>
            <w:vAlign w:val="bottom"/>
          </w:tcPr>
          <w:p>
            <w:pPr>
              <w:jc w:val="right"/>
              <w:ind w:right="188"/>
              <w:spacing w:after="0"/>
              <w:rPr>
                <w:sz w:val="20"/>
                <w:szCs w:val="20"/>
                <w:color w:val="auto"/>
              </w:rPr>
            </w:pPr>
            <w:r>
              <w:rPr>
                <w:rFonts w:ascii="Arial" w:cs="Arial" w:eastAsia="Arial" w:hAnsi="Arial"/>
                <w:sz w:val="14"/>
                <w:szCs w:val="14"/>
                <w:color w:val="auto"/>
                <w:w w:val="94"/>
              </w:rPr>
              <w:t>109</w:t>
            </w:r>
          </w:p>
        </w:tc>
        <w:tc>
          <w:tcPr>
            <w:tcW w:w="3920" w:type="dxa"/>
            <w:vAlign w:val="bottom"/>
          </w:tcPr>
          <w:p>
            <w:pPr>
              <w:ind w:left="260"/>
              <w:spacing w:after="0"/>
              <w:rPr>
                <w:sz w:val="20"/>
                <w:szCs w:val="20"/>
                <w:color w:val="auto"/>
              </w:rPr>
            </w:pPr>
            <w:r>
              <w:rPr>
                <w:rFonts w:ascii="Arial" w:cs="Arial" w:eastAsia="Arial" w:hAnsi="Arial"/>
                <w:sz w:val="15"/>
                <w:szCs w:val="15"/>
                <w:b w:val="1"/>
                <w:bCs w:val="1"/>
                <w:color w:val="582C83"/>
              </w:rPr>
              <w:t>2027 ANNUAL MEETING OF SHAREHOLDERS</w:t>
            </w:r>
          </w:p>
        </w:tc>
        <w:tc>
          <w:tcPr>
            <w:tcW w:w="560" w:type="dxa"/>
            <w:vAlign w:val="bottom"/>
          </w:tcPr>
          <w:p>
            <w:pPr>
              <w:jc w:val="right"/>
              <w:spacing w:after="0"/>
              <w:rPr>
                <w:sz w:val="20"/>
                <w:szCs w:val="20"/>
                <w:color w:val="auto"/>
              </w:rPr>
            </w:pPr>
            <w:r>
              <w:rPr>
                <w:rFonts w:ascii="Arial" w:cs="Arial" w:eastAsia="Arial" w:hAnsi="Arial"/>
                <w:sz w:val="15"/>
                <w:szCs w:val="15"/>
                <w:b w:val="1"/>
                <w:bCs w:val="1"/>
                <w:color w:val="582C83"/>
              </w:rPr>
              <w:t>122</w:t>
            </w:r>
          </w:p>
        </w:tc>
      </w:tr>
    </w:tbl>
    <w:p>
      <w:pPr>
        <w:spacing w:after="0" w:line="12" w:lineRule="exact"/>
        <w:rPr>
          <w:sz w:val="20"/>
          <w:szCs w:val="20"/>
          <w:color w:val="auto"/>
        </w:rPr>
      </w:pPr>
    </w:p>
    <w:p>
      <w:pPr>
        <w:ind w:left="770" w:hanging="770"/>
        <w:spacing w:after="0"/>
        <w:tabs>
          <w:tab w:leader="none" w:pos="770" w:val="left"/>
        </w:tabs>
        <w:numPr>
          <w:ilvl w:val="0"/>
          <w:numId w:val="8"/>
        </w:numPr>
        <w:rPr>
          <w:rFonts w:ascii="Arial" w:cs="Arial" w:eastAsia="Arial" w:hAnsi="Arial"/>
          <w:sz w:val="15"/>
          <w:szCs w:val="15"/>
          <w:b w:val="1"/>
          <w:bCs w:val="1"/>
          <w:color w:val="582C83"/>
        </w:rPr>
      </w:pPr>
      <w:r>
        <w:rPr>
          <w:rFonts w:ascii="Arial" w:cs="Arial" w:eastAsia="Arial" w:hAnsi="Arial"/>
          <w:sz w:val="14"/>
          <w:szCs w:val="14"/>
          <w:color w:val="auto"/>
        </w:rPr>
        <w:t>Shareholder Nominations and Proposals for the 2027</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500" w:type="dxa"/>
            <w:vAlign w:val="bottom"/>
            <w:vMerge w:val="restart"/>
          </w:tcPr>
          <w:p>
            <w:pPr>
              <w:spacing w:after="0"/>
              <w:rPr>
                <w:sz w:val="20"/>
                <w:szCs w:val="20"/>
                <w:color w:val="auto"/>
              </w:rPr>
            </w:pPr>
            <w:r>
              <w:rPr>
                <w:rFonts w:ascii="Arial" w:cs="Arial" w:eastAsia="Arial" w:hAnsi="Arial"/>
                <w:sz w:val="14"/>
                <w:szCs w:val="14"/>
                <w:color w:val="auto"/>
              </w:rPr>
              <w:t>112</w:t>
            </w:r>
          </w:p>
        </w:tc>
        <w:tc>
          <w:tcPr>
            <w:tcW w:w="4000" w:type="dxa"/>
            <w:vAlign w:val="bottom"/>
          </w:tcPr>
          <w:p>
            <w:pPr>
              <w:ind w:left="260"/>
              <w:spacing w:after="0"/>
              <w:rPr>
                <w:sz w:val="20"/>
                <w:szCs w:val="20"/>
                <w:color w:val="auto"/>
              </w:rPr>
            </w:pPr>
            <w:r>
              <w:rPr>
                <w:rFonts w:ascii="Arial" w:cs="Arial" w:eastAsia="Arial" w:hAnsi="Arial"/>
                <w:sz w:val="14"/>
                <w:szCs w:val="14"/>
                <w:color w:val="auto"/>
              </w:rPr>
              <w:t>Annual Meeting</w:t>
            </w:r>
          </w:p>
        </w:tc>
        <w:tc>
          <w:tcPr>
            <w:tcW w:w="48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46"/>
        </w:trPr>
        <w:tc>
          <w:tcPr>
            <w:tcW w:w="500" w:type="dxa"/>
            <w:vAlign w:val="bottom"/>
            <w:vMerge w:val="continue"/>
          </w:tcPr>
          <w:p>
            <w:pPr>
              <w:spacing w:after="0"/>
              <w:rPr>
                <w:sz w:val="4"/>
                <w:szCs w:val="4"/>
                <w:color w:val="auto"/>
              </w:rPr>
            </w:pPr>
          </w:p>
        </w:tc>
        <w:tc>
          <w:tcPr>
            <w:tcW w:w="4000" w:type="dxa"/>
            <w:vAlign w:val="bottom"/>
            <w:vMerge w:val="restart"/>
          </w:tcPr>
          <w:p>
            <w:pPr>
              <w:ind w:left="260"/>
              <w:spacing w:after="0"/>
              <w:rPr>
                <w:sz w:val="20"/>
                <w:szCs w:val="20"/>
                <w:color w:val="auto"/>
              </w:rPr>
            </w:pPr>
            <w:r>
              <w:rPr>
                <w:rFonts w:ascii="Arial" w:cs="Arial" w:eastAsia="Arial" w:hAnsi="Arial"/>
                <w:sz w:val="15"/>
                <w:szCs w:val="15"/>
                <w:b w:val="1"/>
                <w:bCs w:val="1"/>
                <w:color w:val="582C83"/>
              </w:rPr>
              <w:t>ANNEX A: FINANCIAL MEASURES DEFINITIONS</w:t>
            </w:r>
          </w:p>
        </w:tc>
        <w:tc>
          <w:tcPr>
            <w:tcW w:w="480" w:type="dxa"/>
            <w:vAlign w:val="bottom"/>
            <w:vMerge w:val="restart"/>
          </w:tcPr>
          <w:p>
            <w:pPr>
              <w:jc w:val="right"/>
              <w:spacing w:after="0"/>
              <w:rPr>
                <w:sz w:val="20"/>
                <w:szCs w:val="20"/>
                <w:color w:val="auto"/>
              </w:rPr>
            </w:pPr>
            <w:r>
              <w:rPr>
                <w:rFonts w:ascii="Arial" w:cs="Arial" w:eastAsia="Arial" w:hAnsi="Arial"/>
                <w:sz w:val="15"/>
                <w:szCs w:val="15"/>
                <w:b w:val="1"/>
                <w:bCs w:val="1"/>
                <w:color w:val="582C83"/>
              </w:rPr>
              <w:t>123</w:t>
            </w: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40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0"/>
                <w:szCs w:val="20"/>
                <w:color w:val="auto"/>
              </w:rPr>
            </w:pPr>
            <w:r>
              <w:rPr>
                <w:rFonts w:ascii="Arial" w:cs="Arial" w:eastAsia="Arial" w:hAnsi="Arial"/>
                <w:sz w:val="15"/>
                <w:szCs w:val="15"/>
                <w:b w:val="1"/>
                <w:bCs w:val="1"/>
                <w:color w:val="582C83"/>
              </w:rPr>
              <w:t>115</w:t>
            </w:r>
          </w:p>
        </w:tc>
        <w:tc>
          <w:tcPr>
            <w:tcW w:w="4000" w:type="dxa"/>
            <w:vAlign w:val="bottom"/>
          </w:tcPr>
          <w:p>
            <w:pPr>
              <w:ind w:left="260"/>
              <w:spacing w:after="0"/>
              <w:rPr>
                <w:sz w:val="20"/>
                <w:szCs w:val="20"/>
                <w:color w:val="auto"/>
              </w:rPr>
            </w:pPr>
            <w:r>
              <w:rPr>
                <w:rFonts w:ascii="Arial" w:cs="Arial" w:eastAsia="Arial" w:hAnsi="Arial"/>
                <w:sz w:val="14"/>
                <w:szCs w:val="14"/>
                <w:color w:val="auto"/>
              </w:rPr>
              <w:t>GAAP to Non-GAAP Reconciliations</w:t>
            </w:r>
          </w:p>
        </w:tc>
        <w:tc>
          <w:tcPr>
            <w:tcW w:w="48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bl>
    <w:p>
      <w:pPr>
        <w:sectPr>
          <w:pgSz w:w="11900" w:h="16838" w:orient="portrait"/>
          <w:cols w:equalWidth="0" w:num="2">
            <w:col w:w="3640" w:space="350"/>
            <w:col w:w="5029"/>
          </w:cols>
          <w:pgMar w:left="1440" w:top="100" w:right="1440"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127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10375" cy="212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940"/>
        <w:spacing w:after="0"/>
        <w:rPr>
          <w:sz w:val="20"/>
          <w:szCs w:val="20"/>
          <w:color w:val="auto"/>
        </w:rPr>
      </w:pPr>
      <w:r>
        <w:rPr>
          <w:rFonts w:ascii="Arial" w:cs="Arial" w:eastAsia="Arial" w:hAnsi="Arial"/>
          <w:sz w:val="14"/>
          <w:szCs w:val="14"/>
          <w:b w:val="1"/>
          <w:bCs w:val="1"/>
          <w:color w:val="582C83"/>
        </w:rPr>
        <w:t>2026 PROXY STATEMENT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305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10375" cy="8305800"/>
                    </a:xfrm>
                    <a:prstGeom prst="rect">
                      <a:avLst/>
                    </a:prstGeom>
                    <a:noFill/>
                  </pic:spPr>
                </pic:pic>
              </a:graphicData>
            </a:graphic>
          </wp:anchor>
        </w:drawing>
      </w:r>
    </w:p>
    <w:p>
      <w:pPr>
        <w:sectPr>
          <w:pgSz w:w="11900" w:h="16838" w:orient="portrait"/>
          <w:cols w:equalWidth="0" w:num="1">
            <w:col w:w="9040"/>
          </w:cols>
          <w:pgMar w:left="1420" w:top="1440"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45"/>
          <w:szCs w:val="45"/>
          <w:b w:val="1"/>
          <w:bCs w:val="1"/>
          <w:color w:val="582C83"/>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This summary highlights select information contained elsewhere in this Proxy Statement. You should read the entire Proxy Statement carefully and consider all available information before voting. For more complete information regarding Mondelēz International Inc.’s (“Mondelēz’s,” “Mondelēz International’s,” or the “Company’s”) 2025 performance, please see our Annual Report on Form 10-K for the year ended December 31, 2025.</w:t>
      </w:r>
    </w:p>
    <w:p>
      <w:pPr>
        <w:spacing w:after="0" w:line="305"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2026 ANNUAL MEETING OF SHAREHOLDERS</w:t>
      </w:r>
    </w:p>
    <w:p>
      <w:pPr>
        <w:sectPr>
          <w:pgSz w:w="11900" w:h="16838" w:orient="portrait"/>
          <w:cols w:equalWidth="0" w:num="1">
            <w:col w:w="9040"/>
          </w:cols>
          <w:pgMar w:left="1420" w:top="1440"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1100" w:type="dxa"/>
            <w:vAlign w:val="bottom"/>
          </w:tcPr>
          <w:p>
            <w:pPr>
              <w:ind w:left="20"/>
              <w:spacing w:after="0"/>
              <w:rPr>
                <w:sz w:val="20"/>
                <w:szCs w:val="20"/>
                <w:color w:val="auto"/>
              </w:rPr>
            </w:pPr>
            <w:r>
              <w:rPr>
                <w:rFonts w:ascii="Arial" w:cs="Arial" w:eastAsia="Arial" w:hAnsi="Arial"/>
                <w:sz w:val="14"/>
                <w:szCs w:val="14"/>
                <w:color w:val="auto"/>
              </w:rPr>
              <w:t>9:00 a.m. CDT</w:t>
            </w:r>
          </w:p>
        </w:tc>
        <w:tc>
          <w:tcPr>
            <w:tcW w:w="1840" w:type="dxa"/>
            <w:vAlign w:val="bottom"/>
          </w:tcPr>
          <w:p>
            <w:pPr>
              <w:jc w:val="center"/>
              <w:spacing w:after="0"/>
              <w:rPr>
                <w:sz w:val="20"/>
                <w:szCs w:val="20"/>
                <w:color w:val="auto"/>
              </w:rPr>
            </w:pPr>
            <w:r>
              <w:rPr>
                <w:rFonts w:ascii="Arial" w:cs="Arial" w:eastAsia="Arial" w:hAnsi="Arial"/>
                <w:sz w:val="14"/>
                <w:szCs w:val="14"/>
                <w:color w:val="auto"/>
              </w:rPr>
              <w:t>The Annual Meeting will</w:t>
            </w:r>
          </w:p>
        </w:tc>
        <w:tc>
          <w:tcPr>
            <w:tcW w:w="1140" w:type="dxa"/>
            <w:vAlign w:val="bottom"/>
          </w:tcPr>
          <w:p>
            <w:pPr>
              <w:jc w:val="center"/>
              <w:spacing w:after="0"/>
              <w:rPr>
                <w:sz w:val="20"/>
                <w:szCs w:val="20"/>
                <w:color w:val="auto"/>
              </w:rPr>
            </w:pPr>
            <w:r>
              <w:rPr>
                <w:rFonts w:ascii="Arial" w:cs="Arial" w:eastAsia="Arial" w:hAnsi="Arial"/>
                <w:sz w:val="14"/>
                <w:szCs w:val="14"/>
                <w:color w:val="auto"/>
              </w:rPr>
              <w:t>Record Date</w:t>
            </w:r>
          </w:p>
        </w:tc>
        <w:tc>
          <w:tcPr>
            <w:tcW w:w="1760" w:type="dxa"/>
            <w:vAlign w:val="bottom"/>
          </w:tcPr>
          <w:p>
            <w:pPr>
              <w:jc w:val="center"/>
              <w:ind w:left="108"/>
              <w:spacing w:after="0"/>
              <w:rPr>
                <w:sz w:val="20"/>
                <w:szCs w:val="20"/>
                <w:color w:val="auto"/>
              </w:rPr>
            </w:pPr>
            <w:r>
              <w:rPr>
                <w:rFonts w:ascii="Arial" w:cs="Arial" w:eastAsia="Arial" w:hAnsi="Arial"/>
                <w:sz w:val="14"/>
                <w:szCs w:val="14"/>
                <w:color w:val="auto"/>
              </w:rPr>
              <w:t>Each outstanding share</w:t>
            </w:r>
          </w:p>
        </w:tc>
      </w:tr>
      <w:tr>
        <w:trPr>
          <w:trHeight w:val="175"/>
        </w:trPr>
        <w:tc>
          <w:tcPr>
            <w:tcW w:w="1100" w:type="dxa"/>
            <w:vAlign w:val="bottom"/>
          </w:tcPr>
          <w:p>
            <w:pPr>
              <w:spacing w:after="0"/>
              <w:rPr>
                <w:sz w:val="20"/>
                <w:szCs w:val="20"/>
                <w:color w:val="auto"/>
              </w:rPr>
            </w:pPr>
            <w:r>
              <w:rPr>
                <w:rFonts w:ascii="Arial" w:cs="Arial" w:eastAsia="Arial" w:hAnsi="Arial"/>
                <w:sz w:val="14"/>
                <w:szCs w:val="14"/>
                <w:color w:val="auto"/>
              </w:rPr>
              <w:t>on Wednesday,</w:t>
            </w:r>
          </w:p>
        </w:tc>
        <w:tc>
          <w:tcPr>
            <w:tcW w:w="1840" w:type="dxa"/>
            <w:vAlign w:val="bottom"/>
          </w:tcPr>
          <w:p>
            <w:pPr>
              <w:jc w:val="center"/>
              <w:spacing w:after="0"/>
              <w:rPr>
                <w:sz w:val="20"/>
                <w:szCs w:val="20"/>
                <w:color w:val="auto"/>
              </w:rPr>
            </w:pPr>
            <w:r>
              <w:rPr>
                <w:rFonts w:ascii="Arial" w:cs="Arial" w:eastAsia="Arial" w:hAnsi="Arial"/>
                <w:sz w:val="14"/>
                <w:szCs w:val="14"/>
                <w:color w:val="auto"/>
              </w:rPr>
              <w:t>be a virtual meeting of</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March 11,</w:t>
            </w:r>
          </w:p>
        </w:tc>
        <w:tc>
          <w:tcPr>
            <w:tcW w:w="1760" w:type="dxa"/>
            <w:vAlign w:val="bottom"/>
          </w:tcPr>
          <w:p>
            <w:pPr>
              <w:jc w:val="center"/>
              <w:ind w:left="128"/>
              <w:spacing w:after="0"/>
              <w:rPr>
                <w:sz w:val="20"/>
                <w:szCs w:val="20"/>
                <w:color w:val="auto"/>
              </w:rPr>
            </w:pPr>
            <w:r>
              <w:rPr>
                <w:rFonts w:ascii="Arial" w:cs="Arial" w:eastAsia="Arial" w:hAnsi="Arial"/>
                <w:sz w:val="14"/>
                <w:szCs w:val="14"/>
                <w:color w:val="auto"/>
              </w:rPr>
              <w:t>of Class A Common</w:t>
            </w:r>
          </w:p>
        </w:tc>
      </w:tr>
      <w:tr>
        <w:trPr>
          <w:trHeight w:val="189"/>
        </w:trPr>
        <w:tc>
          <w:tcPr>
            <w:tcW w:w="1100" w:type="dxa"/>
            <w:vAlign w:val="bottom"/>
          </w:tcPr>
          <w:p>
            <w:pPr>
              <w:ind w:left="40"/>
              <w:spacing w:after="0"/>
              <w:rPr>
                <w:sz w:val="20"/>
                <w:szCs w:val="20"/>
                <w:color w:val="auto"/>
              </w:rPr>
            </w:pPr>
            <w:r>
              <w:rPr>
                <w:rFonts w:ascii="Arial" w:cs="Arial" w:eastAsia="Arial" w:hAnsi="Arial"/>
                <w:sz w:val="14"/>
                <w:szCs w:val="14"/>
                <w:color w:val="auto"/>
              </w:rPr>
              <w:t>May 20, 2026.</w:t>
            </w:r>
          </w:p>
        </w:tc>
        <w:tc>
          <w:tcPr>
            <w:tcW w:w="1840" w:type="dxa"/>
            <w:vAlign w:val="bottom"/>
          </w:tcPr>
          <w:p>
            <w:pPr>
              <w:jc w:val="center"/>
              <w:spacing w:after="0"/>
              <w:rPr>
                <w:sz w:val="20"/>
                <w:szCs w:val="20"/>
                <w:color w:val="auto"/>
              </w:rPr>
            </w:pPr>
            <w:r>
              <w:rPr>
                <w:rFonts w:ascii="Arial" w:cs="Arial" w:eastAsia="Arial" w:hAnsi="Arial"/>
                <w:sz w:val="14"/>
                <w:szCs w:val="14"/>
                <w:color w:val="auto"/>
              </w:rPr>
              <w:t>shareholders</w:t>
            </w:r>
          </w:p>
        </w:tc>
        <w:tc>
          <w:tcPr>
            <w:tcW w:w="1140" w:type="dxa"/>
            <w:vAlign w:val="bottom"/>
          </w:tcPr>
          <w:p>
            <w:pPr>
              <w:jc w:val="center"/>
              <w:spacing w:after="0"/>
              <w:rPr>
                <w:sz w:val="20"/>
                <w:szCs w:val="20"/>
                <w:color w:val="auto"/>
              </w:rPr>
            </w:pPr>
            <w:r>
              <w:rPr>
                <w:rFonts w:ascii="Arial" w:cs="Arial" w:eastAsia="Arial" w:hAnsi="Arial"/>
                <w:sz w:val="14"/>
                <w:szCs w:val="14"/>
                <w:color w:val="auto"/>
              </w:rPr>
              <w:t>2026.</w:t>
            </w:r>
          </w:p>
        </w:tc>
        <w:tc>
          <w:tcPr>
            <w:tcW w:w="1760" w:type="dxa"/>
            <w:vAlign w:val="bottom"/>
          </w:tcPr>
          <w:p>
            <w:pPr>
              <w:jc w:val="center"/>
              <w:ind w:left="108"/>
              <w:spacing w:after="0"/>
              <w:rPr>
                <w:sz w:val="20"/>
                <w:szCs w:val="20"/>
                <w:color w:val="auto"/>
              </w:rPr>
            </w:pPr>
            <w:r>
              <w:rPr>
                <w:rFonts w:ascii="Arial" w:cs="Arial" w:eastAsia="Arial" w:hAnsi="Arial"/>
                <w:sz w:val="14"/>
                <w:szCs w:val="14"/>
                <w:color w:val="auto"/>
              </w:rPr>
              <w:t>Stock (“Common Stock”)</w:t>
            </w:r>
          </w:p>
        </w:tc>
      </w:tr>
      <w:tr>
        <w:trPr>
          <w:trHeight w:val="189"/>
        </w:trPr>
        <w:tc>
          <w:tcPr>
            <w:tcW w:w="11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conducted</w:t>
            </w:r>
          </w:p>
        </w:tc>
        <w:tc>
          <w:tcPr>
            <w:tcW w:w="1140" w:type="dxa"/>
            <w:vAlign w:val="bottom"/>
          </w:tcPr>
          <w:p>
            <w:pPr>
              <w:spacing w:after="0"/>
              <w:rPr>
                <w:sz w:val="16"/>
                <w:szCs w:val="16"/>
                <w:color w:val="auto"/>
              </w:rPr>
            </w:pPr>
          </w:p>
        </w:tc>
        <w:tc>
          <w:tcPr>
            <w:tcW w:w="1760" w:type="dxa"/>
            <w:vAlign w:val="bottom"/>
          </w:tcPr>
          <w:p>
            <w:pPr>
              <w:jc w:val="center"/>
              <w:ind w:left="128"/>
              <w:spacing w:after="0"/>
              <w:rPr>
                <w:sz w:val="20"/>
                <w:szCs w:val="20"/>
                <w:color w:val="auto"/>
              </w:rPr>
            </w:pPr>
            <w:r>
              <w:rPr>
                <w:rFonts w:ascii="Arial" w:cs="Arial" w:eastAsia="Arial" w:hAnsi="Arial"/>
                <w:sz w:val="14"/>
                <w:szCs w:val="14"/>
                <w:color w:val="auto"/>
              </w:rPr>
              <w:t>is entitled to one vote</w:t>
            </w:r>
          </w:p>
        </w:tc>
      </w:tr>
      <w:tr>
        <w:trPr>
          <w:trHeight w:val="189"/>
        </w:trPr>
        <w:tc>
          <w:tcPr>
            <w:tcW w:w="11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via webcast.</w:t>
            </w:r>
          </w:p>
        </w:tc>
        <w:tc>
          <w:tcPr>
            <w:tcW w:w="1140" w:type="dxa"/>
            <w:vAlign w:val="bottom"/>
          </w:tcPr>
          <w:p>
            <w:pPr>
              <w:spacing w:after="0"/>
              <w:rPr>
                <w:sz w:val="16"/>
                <w:szCs w:val="16"/>
                <w:color w:val="auto"/>
              </w:rPr>
            </w:pPr>
          </w:p>
        </w:tc>
        <w:tc>
          <w:tcPr>
            <w:tcW w:w="1760" w:type="dxa"/>
            <w:vAlign w:val="bottom"/>
          </w:tcPr>
          <w:p>
            <w:pPr>
              <w:jc w:val="center"/>
              <w:ind w:left="128"/>
              <w:spacing w:after="0"/>
              <w:rPr>
                <w:sz w:val="20"/>
                <w:szCs w:val="20"/>
                <w:color w:val="auto"/>
              </w:rPr>
            </w:pPr>
            <w:r>
              <w:rPr>
                <w:rFonts w:ascii="Arial" w:cs="Arial" w:eastAsia="Arial" w:hAnsi="Arial"/>
                <w:sz w:val="14"/>
                <w:szCs w:val="14"/>
                <w:color w:val="auto"/>
              </w:rPr>
              <w:t>on each matter to be</w:t>
            </w:r>
          </w:p>
        </w:tc>
      </w:tr>
      <w:tr>
        <w:trPr>
          <w:trHeight w:val="189"/>
        </w:trPr>
        <w:tc>
          <w:tcPr>
            <w:tcW w:w="1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60" w:type="dxa"/>
            <w:vAlign w:val="bottom"/>
          </w:tcPr>
          <w:p>
            <w:pPr>
              <w:jc w:val="center"/>
              <w:ind w:left="108"/>
              <w:spacing w:after="0"/>
              <w:rPr>
                <w:sz w:val="20"/>
                <w:szCs w:val="20"/>
                <w:color w:val="auto"/>
              </w:rPr>
            </w:pPr>
            <w:r>
              <w:rPr>
                <w:rFonts w:ascii="Arial" w:cs="Arial" w:eastAsia="Arial" w:hAnsi="Arial"/>
                <w:sz w:val="14"/>
                <w:szCs w:val="14"/>
                <w:color w:val="auto"/>
              </w:rPr>
              <w:t>voted upon at the</w:t>
            </w:r>
          </w:p>
        </w:tc>
      </w:tr>
      <w:tr>
        <w:trPr>
          <w:trHeight w:val="190"/>
        </w:trPr>
        <w:tc>
          <w:tcPr>
            <w:tcW w:w="1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60" w:type="dxa"/>
            <w:vAlign w:val="bottom"/>
          </w:tcPr>
          <w:p>
            <w:pPr>
              <w:jc w:val="center"/>
              <w:ind w:left="128"/>
              <w:spacing w:after="0"/>
              <w:rPr>
                <w:sz w:val="20"/>
                <w:szCs w:val="20"/>
                <w:color w:val="auto"/>
              </w:rPr>
            </w:pPr>
            <w:r>
              <w:rPr>
                <w:rFonts w:ascii="Arial" w:cs="Arial" w:eastAsia="Arial" w:hAnsi="Arial"/>
                <w:sz w:val="14"/>
                <w:szCs w:val="14"/>
                <w:color w:val="auto"/>
              </w:rPr>
              <w:t>Annual Meeting.</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Shareholders must register to attend the</w:t>
      </w:r>
    </w:p>
    <w:p>
      <w:pPr>
        <w:spacing w:after="0" w:line="29"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 xml:space="preserve">meeting, vote, and submit questions by visiting </w:t>
      </w:r>
      <w:r>
        <w:rPr>
          <w:rFonts w:ascii="Arial" w:cs="Arial" w:eastAsia="Arial" w:hAnsi="Arial"/>
          <w:sz w:val="17"/>
          <w:szCs w:val="17"/>
          <w:b w:val="1"/>
          <w:bCs w:val="1"/>
          <w:i w:val="1"/>
          <w:iCs w:val="1"/>
          <w:color w:val="582C83"/>
        </w:rPr>
        <w:t>www.proxydocs.com/MDLZ</w:t>
      </w:r>
    </w:p>
    <w:p>
      <w:pPr>
        <w:spacing w:after="0" w:line="1" w:lineRule="exact"/>
        <w:rPr>
          <w:sz w:val="20"/>
          <w:szCs w:val="20"/>
          <w:color w:val="auto"/>
        </w:rPr>
      </w:pPr>
    </w:p>
    <w:p>
      <w:pPr>
        <w:ind w:right="160"/>
        <w:spacing w:after="0" w:line="303" w:lineRule="auto"/>
        <w:rPr>
          <w:sz w:val="20"/>
          <w:szCs w:val="20"/>
          <w:color w:val="auto"/>
        </w:rPr>
      </w:pPr>
      <w:r>
        <w:rPr>
          <w:rFonts w:ascii="Arial" w:cs="Arial" w:eastAsia="Arial" w:hAnsi="Arial"/>
          <w:sz w:val="14"/>
          <w:szCs w:val="14"/>
          <w:color w:val="auto"/>
        </w:rPr>
        <w:t>and using the control number shown on their Notice of Internet Availability of Proxy Materials, Proxy Card, or VIF.</w:t>
      </w:r>
    </w:p>
    <w:p>
      <w:pPr>
        <w:spacing w:after="0" w:line="306" w:lineRule="exact"/>
        <w:rPr>
          <w:sz w:val="20"/>
          <w:szCs w:val="20"/>
          <w:color w:val="auto"/>
        </w:rPr>
      </w:pPr>
    </w:p>
    <w:p>
      <w:pPr>
        <w:sectPr>
          <w:pgSz w:w="11900" w:h="16838" w:orient="portrait"/>
          <w:cols w:equalWidth="0" w:num="2">
            <w:col w:w="5920" w:space="260"/>
            <w:col w:w="2860"/>
          </w:cols>
          <w:pgMar w:left="1420" w:top="1440" w:right="1439" w:bottom="1440" w:gutter="0" w:footer="0" w:header="0"/>
          <w:type w:val="continuous"/>
        </w:sectPr>
      </w:pPr>
    </w:p>
    <w:p>
      <w:pPr>
        <w:spacing w:after="0" w:line="192"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HOW TO VOTE IN ADVANCE OF THE MEETING</w:t>
      </w:r>
    </w:p>
    <w:p>
      <w:pPr>
        <w:spacing w:after="0" w:line="205"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 xml:space="preserve">Even if you plan to attend the Annual Meeting, please vote in advance. If you are voting via the Internet, with your mobile device or by telephone (where available), be sure to have your Notice of Internet Availability of Proxy Materials, </w:t>
      </w:r>
      <w:r>
        <w:rPr>
          <w:rFonts w:ascii="Arial" w:cs="Arial" w:eastAsia="Arial" w:hAnsi="Arial"/>
          <w:sz w:val="17"/>
          <w:szCs w:val="17"/>
          <w:color w:val="auto"/>
          <w:highlight w:val="white"/>
        </w:rPr>
        <w:t xml:space="preserve">Proxy Card, or </w:t>
      </w:r>
      <w:r>
        <w:rPr>
          <w:rFonts w:ascii="Arial" w:cs="Arial" w:eastAsia="Arial" w:hAnsi="Arial"/>
          <w:sz w:val="17"/>
          <w:szCs w:val="17"/>
          <w:color w:val="auto"/>
        </w:rPr>
        <w:t>VIF in hand and follow the instructions. You can vote in advance of the meeting any of four ways: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098"/>
        </w:trPr>
        <w:tc>
          <w:tcPr>
            <w:tcW w:w="2260" w:type="dxa"/>
            <w:vAlign w:val="bottom"/>
            <w:tcBorders>
              <w:top w:val="single" w:sz="8" w:color="582C83"/>
              <w:left w:val="single" w:sz="8" w:color="582C83"/>
            </w:tcBorders>
          </w:tcPr>
          <w:p>
            <w:pPr>
              <w:jc w:val="center"/>
              <w:ind w:left="8"/>
              <w:spacing w:after="0"/>
              <w:rPr>
                <w:sz w:val="20"/>
                <w:szCs w:val="20"/>
                <w:color w:val="auto"/>
              </w:rPr>
            </w:pPr>
            <w:r>
              <w:rPr>
                <w:rFonts w:ascii="Arial" w:cs="Arial" w:eastAsia="Arial" w:hAnsi="Arial"/>
                <w:sz w:val="14"/>
                <w:szCs w:val="14"/>
                <w:b w:val="1"/>
                <w:bCs w:val="1"/>
                <w:color w:val="auto"/>
              </w:rPr>
              <w:t>VIA THE</w:t>
            </w:r>
          </w:p>
        </w:tc>
        <w:tc>
          <w:tcPr>
            <w:tcW w:w="2260" w:type="dxa"/>
            <w:vAlign w:val="bottom"/>
            <w:tcBorders>
              <w:top w:val="single" w:sz="8" w:color="582C83"/>
            </w:tcBorders>
          </w:tcPr>
          <w:p>
            <w:pPr>
              <w:jc w:val="center"/>
              <w:spacing w:after="0"/>
              <w:rPr>
                <w:sz w:val="20"/>
                <w:szCs w:val="20"/>
                <w:color w:val="auto"/>
              </w:rPr>
            </w:pPr>
            <w:r>
              <w:rPr>
                <w:rFonts w:ascii="Arial" w:cs="Arial" w:eastAsia="Arial" w:hAnsi="Arial"/>
                <w:sz w:val="14"/>
                <w:szCs w:val="14"/>
                <w:b w:val="1"/>
                <w:bCs w:val="1"/>
                <w:color w:val="auto"/>
              </w:rPr>
              <w:t>WITH YOUR</w:t>
            </w:r>
          </w:p>
        </w:tc>
        <w:tc>
          <w:tcPr>
            <w:tcW w:w="2200" w:type="dxa"/>
            <w:vAlign w:val="bottom"/>
            <w:tcBorders>
              <w:top w:val="single" w:sz="8" w:color="582C83"/>
            </w:tcBorders>
          </w:tcPr>
          <w:p>
            <w:pPr>
              <w:ind w:left="600"/>
              <w:spacing w:after="0"/>
              <w:rPr>
                <w:sz w:val="20"/>
                <w:szCs w:val="20"/>
                <w:color w:val="auto"/>
              </w:rPr>
            </w:pPr>
            <w:r>
              <w:rPr>
                <w:rFonts w:ascii="Arial" w:cs="Arial" w:eastAsia="Arial" w:hAnsi="Arial"/>
                <w:sz w:val="14"/>
                <w:szCs w:val="14"/>
                <w:b w:val="1"/>
                <w:bCs w:val="1"/>
                <w:color w:val="auto"/>
              </w:rPr>
              <w:t>BY TELEPHONE</w:t>
            </w:r>
          </w:p>
        </w:tc>
        <w:tc>
          <w:tcPr>
            <w:tcW w:w="2340" w:type="dxa"/>
            <w:vAlign w:val="bottom"/>
            <w:tcBorders>
              <w:top w:val="single" w:sz="8" w:color="582C83"/>
              <w:right w:val="single" w:sz="8" w:color="582C83"/>
            </w:tcBorders>
          </w:tcPr>
          <w:p>
            <w:pPr>
              <w:jc w:val="center"/>
              <w:spacing w:after="0"/>
              <w:rPr>
                <w:sz w:val="20"/>
                <w:szCs w:val="20"/>
                <w:color w:val="auto"/>
              </w:rPr>
            </w:pPr>
            <w:r>
              <w:rPr>
                <w:rFonts w:ascii="Arial" w:cs="Arial" w:eastAsia="Arial" w:hAnsi="Arial"/>
                <w:sz w:val="14"/>
                <w:szCs w:val="14"/>
                <w:b w:val="1"/>
                <w:bCs w:val="1"/>
                <w:color w:val="auto"/>
              </w:rPr>
              <w:t>BY MAIL</w:t>
            </w:r>
          </w:p>
        </w:tc>
      </w:tr>
      <w:tr>
        <w:trPr>
          <w:trHeight w:val="189"/>
        </w:trPr>
        <w:tc>
          <w:tcPr>
            <w:tcW w:w="2260" w:type="dxa"/>
            <w:vAlign w:val="bottom"/>
            <w:tcBorders>
              <w:left w:val="single" w:sz="8" w:color="582C83"/>
            </w:tcBorders>
          </w:tcPr>
          <w:p>
            <w:pPr>
              <w:jc w:val="center"/>
              <w:ind w:left="28"/>
              <w:spacing w:after="0"/>
              <w:rPr>
                <w:sz w:val="20"/>
                <w:szCs w:val="20"/>
                <w:color w:val="auto"/>
              </w:rPr>
            </w:pPr>
            <w:r>
              <w:rPr>
                <w:rFonts w:ascii="Arial" w:cs="Arial" w:eastAsia="Arial" w:hAnsi="Arial"/>
                <w:sz w:val="14"/>
                <w:szCs w:val="14"/>
                <w:b w:val="1"/>
                <w:bCs w:val="1"/>
                <w:color w:val="auto"/>
              </w:rPr>
              <w:t>INTERNET</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MOBILE DEVICE</w:t>
            </w:r>
          </w:p>
        </w:tc>
        <w:tc>
          <w:tcPr>
            <w:tcW w:w="2200" w:type="dxa"/>
            <w:vAlign w:val="bottom"/>
          </w:tcPr>
          <w:p>
            <w:pPr>
              <w:jc w:val="center"/>
              <w:spacing w:after="0"/>
              <w:rPr>
                <w:sz w:val="20"/>
                <w:szCs w:val="20"/>
                <w:color w:val="auto"/>
              </w:rPr>
            </w:pPr>
            <w:r>
              <w:rPr>
                <w:rFonts w:ascii="Arial" w:cs="Arial" w:eastAsia="Arial" w:hAnsi="Arial"/>
                <w:sz w:val="14"/>
                <w:szCs w:val="14"/>
                <w:color w:val="auto"/>
              </w:rPr>
              <w:t>Call the telephone number on</w:t>
            </w:r>
          </w:p>
        </w:tc>
        <w:tc>
          <w:tcPr>
            <w:tcW w:w="2340" w:type="dxa"/>
            <w:vAlign w:val="bottom"/>
            <w:tcBorders>
              <w:right w:val="single" w:sz="8" w:color="582C83"/>
            </w:tcBorders>
          </w:tcPr>
          <w:p>
            <w:pPr>
              <w:jc w:val="center"/>
              <w:spacing w:after="0"/>
              <w:rPr>
                <w:sz w:val="20"/>
                <w:szCs w:val="20"/>
                <w:color w:val="auto"/>
              </w:rPr>
            </w:pPr>
            <w:r>
              <w:rPr>
                <w:rFonts w:ascii="Arial" w:cs="Arial" w:eastAsia="Arial" w:hAnsi="Arial"/>
                <w:sz w:val="14"/>
                <w:szCs w:val="14"/>
                <w:color w:val="auto"/>
              </w:rPr>
              <w:t>If you received paper copies of</w:t>
            </w:r>
          </w:p>
        </w:tc>
      </w:tr>
      <w:tr>
        <w:trPr>
          <w:trHeight w:val="175"/>
        </w:trPr>
        <w:tc>
          <w:tcPr>
            <w:tcW w:w="2260" w:type="dxa"/>
            <w:vAlign w:val="bottom"/>
            <w:tcBorders>
              <w:left w:val="single" w:sz="8" w:color="582C83"/>
            </w:tcBorders>
          </w:tcPr>
          <w:p>
            <w:pPr>
              <w:jc w:val="center"/>
              <w:spacing w:after="0"/>
              <w:rPr>
                <w:sz w:val="20"/>
                <w:szCs w:val="20"/>
                <w:color w:val="auto"/>
              </w:rPr>
            </w:pPr>
            <w:r>
              <w:rPr>
                <w:rFonts w:ascii="Arial" w:cs="Arial" w:eastAsia="Arial" w:hAnsi="Arial"/>
                <w:sz w:val="14"/>
                <w:szCs w:val="14"/>
                <w:color w:val="auto"/>
              </w:rPr>
              <w:t>Visit the website listed on</w:t>
            </w:r>
          </w:p>
        </w:tc>
        <w:tc>
          <w:tcPr>
            <w:tcW w:w="2260" w:type="dxa"/>
            <w:vAlign w:val="bottom"/>
          </w:tcPr>
          <w:p>
            <w:pPr>
              <w:jc w:val="center"/>
              <w:spacing w:after="0"/>
              <w:rPr>
                <w:sz w:val="20"/>
                <w:szCs w:val="20"/>
                <w:color w:val="auto"/>
              </w:rPr>
            </w:pPr>
            <w:r>
              <w:rPr>
                <w:rFonts w:ascii="Arial" w:cs="Arial" w:eastAsia="Arial" w:hAnsi="Arial"/>
                <w:sz w:val="14"/>
                <w:szCs w:val="14"/>
                <w:color w:val="auto"/>
              </w:rPr>
              <w:t>Scan the QR barcode on</w:t>
            </w:r>
          </w:p>
        </w:tc>
        <w:tc>
          <w:tcPr>
            <w:tcW w:w="2200" w:type="dxa"/>
            <w:vAlign w:val="bottom"/>
          </w:tcPr>
          <w:p>
            <w:pPr>
              <w:jc w:val="center"/>
              <w:spacing w:after="0"/>
              <w:rPr>
                <w:sz w:val="20"/>
                <w:szCs w:val="20"/>
                <w:color w:val="auto"/>
              </w:rPr>
            </w:pPr>
            <w:r>
              <w:rPr>
                <w:rFonts w:ascii="Arial" w:cs="Arial" w:eastAsia="Arial" w:hAnsi="Arial"/>
                <w:sz w:val="14"/>
                <w:szCs w:val="14"/>
                <w:color w:val="auto"/>
              </w:rPr>
              <w:t>your Proxy Card or VIF.</w:t>
            </w:r>
          </w:p>
        </w:tc>
        <w:tc>
          <w:tcPr>
            <w:tcW w:w="2340" w:type="dxa"/>
            <w:vAlign w:val="bottom"/>
            <w:tcBorders>
              <w:right w:val="single" w:sz="8" w:color="582C83"/>
            </w:tcBorders>
          </w:tcPr>
          <w:p>
            <w:pPr>
              <w:jc w:val="center"/>
              <w:spacing w:after="0"/>
              <w:rPr>
                <w:sz w:val="20"/>
                <w:szCs w:val="20"/>
                <w:color w:val="auto"/>
              </w:rPr>
            </w:pPr>
            <w:r>
              <w:rPr>
                <w:rFonts w:ascii="Arial" w:cs="Arial" w:eastAsia="Arial" w:hAnsi="Arial"/>
                <w:sz w:val="14"/>
                <w:szCs w:val="14"/>
                <w:color w:val="auto"/>
              </w:rPr>
              <w:t>your Proxy Materials, mark, sign,</w:t>
            </w:r>
          </w:p>
        </w:tc>
      </w:tr>
      <w:tr>
        <w:trPr>
          <w:trHeight w:val="189"/>
        </w:trPr>
        <w:tc>
          <w:tcPr>
            <w:tcW w:w="2260" w:type="dxa"/>
            <w:vAlign w:val="bottom"/>
            <w:tcBorders>
              <w:left w:val="single" w:sz="8" w:color="582C83"/>
            </w:tcBorders>
          </w:tcPr>
          <w:p>
            <w:pPr>
              <w:jc w:val="center"/>
              <w:spacing w:after="0"/>
              <w:rPr>
                <w:sz w:val="20"/>
                <w:szCs w:val="20"/>
                <w:color w:val="auto"/>
              </w:rPr>
            </w:pPr>
            <w:r>
              <w:rPr>
                <w:rFonts w:ascii="Arial" w:cs="Arial" w:eastAsia="Arial" w:hAnsi="Arial"/>
                <w:sz w:val="14"/>
                <w:szCs w:val="14"/>
                <w:color w:val="auto"/>
              </w:rPr>
              <w:t>your Notice of Internet</w:t>
            </w:r>
          </w:p>
        </w:tc>
        <w:tc>
          <w:tcPr>
            <w:tcW w:w="2260" w:type="dxa"/>
            <w:vAlign w:val="bottom"/>
          </w:tcPr>
          <w:p>
            <w:pPr>
              <w:jc w:val="center"/>
              <w:spacing w:after="0"/>
              <w:rPr>
                <w:sz w:val="20"/>
                <w:szCs w:val="20"/>
                <w:color w:val="auto"/>
              </w:rPr>
            </w:pPr>
            <w:r>
              <w:rPr>
                <w:rFonts w:ascii="Arial" w:cs="Arial" w:eastAsia="Arial" w:hAnsi="Arial"/>
                <w:sz w:val="14"/>
                <w:szCs w:val="14"/>
                <w:color w:val="auto"/>
              </w:rPr>
              <w:t>your Notice of Internet</w:t>
            </w:r>
          </w:p>
        </w:tc>
        <w:tc>
          <w:tcPr>
            <w:tcW w:w="2200" w:type="dxa"/>
            <w:vAlign w:val="bottom"/>
          </w:tcPr>
          <w:p>
            <w:pPr>
              <w:spacing w:after="0"/>
              <w:rPr>
                <w:sz w:val="16"/>
                <w:szCs w:val="16"/>
                <w:color w:val="auto"/>
              </w:rPr>
            </w:pPr>
          </w:p>
        </w:tc>
        <w:tc>
          <w:tcPr>
            <w:tcW w:w="2340" w:type="dxa"/>
            <w:vAlign w:val="bottom"/>
            <w:tcBorders>
              <w:right w:val="single" w:sz="8" w:color="582C83"/>
            </w:tcBorders>
          </w:tcPr>
          <w:p>
            <w:pPr>
              <w:jc w:val="center"/>
              <w:spacing w:after="0"/>
              <w:rPr>
                <w:sz w:val="20"/>
                <w:szCs w:val="20"/>
                <w:color w:val="auto"/>
              </w:rPr>
            </w:pPr>
            <w:r>
              <w:rPr>
                <w:rFonts w:ascii="Arial" w:cs="Arial" w:eastAsia="Arial" w:hAnsi="Arial"/>
                <w:sz w:val="14"/>
                <w:szCs w:val="14"/>
                <w:color w:val="auto"/>
              </w:rPr>
              <w:t>date, and return the Proxy Card</w:t>
            </w:r>
          </w:p>
        </w:tc>
      </w:tr>
      <w:tr>
        <w:trPr>
          <w:trHeight w:val="189"/>
        </w:trPr>
        <w:tc>
          <w:tcPr>
            <w:tcW w:w="2260" w:type="dxa"/>
            <w:vAlign w:val="bottom"/>
            <w:tcBorders>
              <w:left w:val="single" w:sz="8" w:color="582C83"/>
            </w:tcBorders>
          </w:tcPr>
          <w:p>
            <w:pPr>
              <w:jc w:val="center"/>
              <w:spacing w:after="0"/>
              <w:rPr>
                <w:sz w:val="20"/>
                <w:szCs w:val="20"/>
                <w:color w:val="auto"/>
              </w:rPr>
            </w:pPr>
            <w:r>
              <w:rPr>
                <w:rFonts w:ascii="Arial" w:cs="Arial" w:eastAsia="Arial" w:hAnsi="Arial"/>
                <w:sz w:val="14"/>
                <w:szCs w:val="14"/>
                <w:color w:val="auto"/>
              </w:rPr>
              <w:t>Availability of Proxy</w:t>
            </w:r>
          </w:p>
        </w:tc>
        <w:tc>
          <w:tcPr>
            <w:tcW w:w="2260" w:type="dxa"/>
            <w:vAlign w:val="bottom"/>
          </w:tcPr>
          <w:p>
            <w:pPr>
              <w:jc w:val="center"/>
              <w:spacing w:after="0"/>
              <w:rPr>
                <w:sz w:val="20"/>
                <w:szCs w:val="20"/>
                <w:color w:val="auto"/>
              </w:rPr>
            </w:pPr>
            <w:r>
              <w:rPr>
                <w:rFonts w:ascii="Arial" w:cs="Arial" w:eastAsia="Arial" w:hAnsi="Arial"/>
                <w:sz w:val="14"/>
                <w:szCs w:val="14"/>
                <w:color w:val="auto"/>
              </w:rPr>
              <w:t>Availability of Proxy Materials,</w:t>
            </w:r>
          </w:p>
        </w:tc>
        <w:tc>
          <w:tcPr>
            <w:tcW w:w="2200" w:type="dxa"/>
            <w:vAlign w:val="bottom"/>
          </w:tcPr>
          <w:p>
            <w:pPr>
              <w:spacing w:after="0"/>
              <w:rPr>
                <w:sz w:val="16"/>
                <w:szCs w:val="16"/>
                <w:color w:val="auto"/>
              </w:rPr>
            </w:pPr>
          </w:p>
        </w:tc>
        <w:tc>
          <w:tcPr>
            <w:tcW w:w="2340" w:type="dxa"/>
            <w:vAlign w:val="bottom"/>
            <w:tcBorders>
              <w:right w:val="single" w:sz="8" w:color="582C83"/>
            </w:tcBorders>
          </w:tcPr>
          <w:p>
            <w:pPr>
              <w:jc w:val="center"/>
              <w:spacing w:after="0"/>
              <w:rPr>
                <w:sz w:val="20"/>
                <w:szCs w:val="20"/>
                <w:color w:val="auto"/>
              </w:rPr>
            </w:pPr>
            <w:r>
              <w:rPr>
                <w:rFonts w:ascii="Arial" w:cs="Arial" w:eastAsia="Arial" w:hAnsi="Arial"/>
                <w:sz w:val="14"/>
                <w:szCs w:val="14"/>
                <w:color w:val="auto"/>
              </w:rPr>
              <w:t>in the envelope provided.</w:t>
            </w:r>
          </w:p>
        </w:tc>
      </w:tr>
      <w:tr>
        <w:trPr>
          <w:trHeight w:val="190"/>
        </w:trPr>
        <w:tc>
          <w:tcPr>
            <w:tcW w:w="2260" w:type="dxa"/>
            <w:vAlign w:val="bottom"/>
            <w:tcBorders>
              <w:left w:val="single" w:sz="8" w:color="582C83"/>
            </w:tcBorders>
          </w:tcPr>
          <w:p>
            <w:pPr>
              <w:jc w:val="center"/>
              <w:spacing w:after="0"/>
              <w:rPr>
                <w:sz w:val="20"/>
                <w:szCs w:val="20"/>
                <w:color w:val="auto"/>
              </w:rPr>
            </w:pPr>
            <w:r>
              <w:rPr>
                <w:rFonts w:ascii="Arial" w:cs="Arial" w:eastAsia="Arial" w:hAnsi="Arial"/>
                <w:sz w:val="14"/>
                <w:szCs w:val="14"/>
                <w:color w:val="auto"/>
              </w:rPr>
              <w:t>Materials, Proxy Card, or VIF.</w:t>
            </w:r>
          </w:p>
        </w:tc>
        <w:tc>
          <w:tcPr>
            <w:tcW w:w="2260" w:type="dxa"/>
            <w:vAlign w:val="bottom"/>
          </w:tcPr>
          <w:p>
            <w:pPr>
              <w:jc w:val="center"/>
              <w:spacing w:after="0"/>
              <w:rPr>
                <w:sz w:val="20"/>
                <w:szCs w:val="20"/>
                <w:color w:val="auto"/>
              </w:rPr>
            </w:pPr>
            <w:r>
              <w:rPr>
                <w:rFonts w:ascii="Arial" w:cs="Arial" w:eastAsia="Arial" w:hAnsi="Arial"/>
                <w:sz w:val="14"/>
                <w:szCs w:val="14"/>
                <w:color w:val="auto"/>
              </w:rPr>
              <w:t>Proxy Card, or VIF.</w:t>
            </w:r>
          </w:p>
        </w:tc>
        <w:tc>
          <w:tcPr>
            <w:tcW w:w="2200" w:type="dxa"/>
            <w:vAlign w:val="bottom"/>
          </w:tcPr>
          <w:p>
            <w:pPr>
              <w:spacing w:after="0"/>
              <w:rPr>
                <w:sz w:val="16"/>
                <w:szCs w:val="16"/>
                <w:color w:val="auto"/>
              </w:rPr>
            </w:pPr>
          </w:p>
        </w:tc>
        <w:tc>
          <w:tcPr>
            <w:tcW w:w="2340" w:type="dxa"/>
            <w:vAlign w:val="bottom"/>
            <w:tcBorders>
              <w:right w:val="single" w:sz="8" w:color="582C83"/>
            </w:tcBorders>
          </w:tcPr>
          <w:p>
            <w:pPr>
              <w:spacing w:after="0"/>
              <w:rPr>
                <w:sz w:val="16"/>
                <w:szCs w:val="16"/>
                <w:color w:val="auto"/>
              </w:rPr>
            </w:pPr>
          </w:p>
        </w:tc>
      </w:tr>
      <w:tr>
        <w:trPr>
          <w:trHeight w:val="210"/>
        </w:trPr>
        <w:tc>
          <w:tcPr>
            <w:tcW w:w="2260" w:type="dxa"/>
            <w:vAlign w:val="bottom"/>
            <w:tcBorders>
              <w:left w:val="single" w:sz="8" w:color="582C83"/>
              <w:bottom w:val="single" w:sz="8" w:color="582C83"/>
            </w:tcBorders>
          </w:tcPr>
          <w:p>
            <w:pPr>
              <w:spacing w:after="0"/>
              <w:rPr>
                <w:sz w:val="18"/>
                <w:szCs w:val="18"/>
                <w:color w:val="auto"/>
              </w:rPr>
            </w:pPr>
          </w:p>
        </w:tc>
        <w:tc>
          <w:tcPr>
            <w:tcW w:w="2260" w:type="dxa"/>
            <w:vAlign w:val="bottom"/>
            <w:tcBorders>
              <w:bottom w:val="single" w:sz="8" w:color="582C83"/>
            </w:tcBorders>
          </w:tcPr>
          <w:p>
            <w:pPr>
              <w:spacing w:after="0"/>
              <w:rPr>
                <w:sz w:val="18"/>
                <w:szCs w:val="18"/>
                <w:color w:val="auto"/>
              </w:rPr>
            </w:pPr>
          </w:p>
        </w:tc>
        <w:tc>
          <w:tcPr>
            <w:tcW w:w="2200" w:type="dxa"/>
            <w:vAlign w:val="bottom"/>
            <w:tcBorders>
              <w:bottom w:val="single" w:sz="8" w:color="582C83"/>
            </w:tcBorders>
          </w:tcPr>
          <w:p>
            <w:pPr>
              <w:spacing w:after="0"/>
              <w:rPr>
                <w:sz w:val="18"/>
                <w:szCs w:val="18"/>
                <w:color w:val="auto"/>
              </w:rPr>
            </w:pPr>
          </w:p>
        </w:tc>
        <w:tc>
          <w:tcPr>
            <w:tcW w:w="2340" w:type="dxa"/>
            <w:vAlign w:val="bottom"/>
            <w:tcBorders>
              <w:bottom w:val="single" w:sz="8" w:color="582C83"/>
              <w:right w:val="single" w:sz="8" w:color="582C83"/>
            </w:tcBorders>
          </w:tcPr>
          <w:p>
            <w:pPr>
              <w:spacing w:after="0"/>
              <w:rPr>
                <w:sz w:val="18"/>
                <w:szCs w:val="18"/>
                <w:color w:val="auto"/>
              </w:rPr>
            </w:pPr>
          </w:p>
        </w:tc>
      </w:tr>
    </w:tbl>
    <w:p>
      <w:pPr>
        <w:sectPr>
          <w:pgSz w:w="11900" w:h="16838" w:orient="portrait"/>
          <w:cols w:equalWidth="0" w:num="1">
            <w:col w:w="9040"/>
          </w:cols>
          <w:pgMar w:left="1420" w:top="1440" w:right="1439"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4"/>
          <w:szCs w:val="14"/>
          <w:b w:val="1"/>
          <w:bCs w:val="1"/>
          <w:color w:val="582C83"/>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50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10375" cy="550545"/>
                    </a:xfrm>
                    <a:prstGeom prst="rect">
                      <a:avLst/>
                    </a:prstGeom>
                    <a:noFill/>
                  </pic:spPr>
                </pic:pic>
              </a:graphicData>
            </a:graphic>
          </wp:anchor>
        </w:drawing>
        <w:t>10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867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700"/>
        <w:spacing w:after="0"/>
        <w:rPr>
          <w:sz w:val="20"/>
          <w:szCs w:val="20"/>
          <w:color w:val="auto"/>
        </w:rPr>
      </w:pPr>
      <w:r>
        <w:rPr>
          <w:rFonts w:ascii="Arial" w:cs="Arial" w:eastAsia="Arial" w:hAnsi="Arial"/>
          <w:sz w:val="21"/>
          <w:szCs w:val="21"/>
          <w:b w:val="1"/>
          <w:bCs w:val="1"/>
          <w:color w:val="auto"/>
        </w:rPr>
        <w:t>PROXY STATEMENT SUMMARY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Borders>
              <w:bottom w:val="single" w:sz="8" w:color="592B82"/>
            </w:tcBorders>
          </w:tcPr>
          <w:p>
            <w:pPr>
              <w:spacing w:after="0"/>
              <w:rPr>
                <w:sz w:val="14"/>
                <w:szCs w:val="14"/>
                <w:color w:val="auto"/>
              </w:rPr>
            </w:pPr>
          </w:p>
        </w:tc>
        <w:tc>
          <w:tcPr>
            <w:tcW w:w="4240" w:type="dxa"/>
            <w:vAlign w:val="bottom"/>
            <w:tcBorders>
              <w:bottom w:val="single" w:sz="8" w:color="592B82"/>
            </w:tcBorders>
          </w:tcPr>
          <w:p>
            <w:pPr>
              <w:spacing w:after="0"/>
              <w:rPr>
                <w:sz w:val="14"/>
                <w:szCs w:val="14"/>
                <w:color w:val="auto"/>
              </w:rPr>
            </w:pPr>
          </w:p>
        </w:tc>
        <w:tc>
          <w:tcPr>
            <w:tcW w:w="1660" w:type="dxa"/>
            <w:vAlign w:val="bottom"/>
            <w:tcBorders>
              <w:bottom w:val="single" w:sz="8" w:color="592B82"/>
            </w:tcBorders>
          </w:tcPr>
          <w:p>
            <w:pPr>
              <w:spacing w:after="0"/>
              <w:rPr>
                <w:sz w:val="14"/>
                <w:szCs w:val="14"/>
                <w:color w:val="auto"/>
              </w:rPr>
            </w:pPr>
          </w:p>
        </w:tc>
        <w:tc>
          <w:tcPr>
            <w:tcW w:w="1300" w:type="dxa"/>
            <w:vAlign w:val="bottom"/>
            <w:tcBorders>
              <w:bottom w:val="single" w:sz="8" w:color="592B82"/>
            </w:tcBorders>
          </w:tcPr>
          <w:p>
            <w:pPr>
              <w:spacing w:after="0"/>
              <w:rPr>
                <w:sz w:val="14"/>
                <w:szCs w:val="14"/>
                <w:color w:val="auto"/>
              </w:rPr>
            </w:pPr>
          </w:p>
        </w:tc>
        <w:tc>
          <w:tcPr>
            <w:tcW w:w="1200" w:type="dxa"/>
            <w:vAlign w:val="bottom"/>
            <w:tcBorders>
              <w:bottom w:val="single" w:sz="8" w:color="592B82"/>
            </w:tcBorders>
          </w:tcPr>
          <w:p>
            <w:pPr>
              <w:ind w:left="20"/>
              <w:spacing w:after="0"/>
              <w:rPr>
                <w:sz w:val="20"/>
                <w:szCs w:val="20"/>
                <w:color w:val="auto"/>
              </w:rPr>
            </w:pPr>
            <w:r>
              <w:rPr>
                <w:rFonts w:ascii="Arial" w:cs="Arial" w:eastAsia="Arial" w:hAnsi="Arial"/>
                <w:sz w:val="14"/>
                <w:szCs w:val="14"/>
                <w:color w:val="auto"/>
              </w:rPr>
              <w:t>Items of Business</w:t>
            </w:r>
          </w:p>
        </w:tc>
      </w:tr>
      <w:tr>
        <w:trPr>
          <w:trHeight w:val="910"/>
        </w:trPr>
        <w:tc>
          <w:tcPr>
            <w:tcW w:w="4880" w:type="dxa"/>
            <w:vAlign w:val="bottom"/>
            <w:gridSpan w:val="2"/>
          </w:tcPr>
          <w:p>
            <w:pPr>
              <w:ind w:left="440"/>
              <w:spacing w:after="0"/>
              <w:rPr>
                <w:sz w:val="20"/>
                <w:szCs w:val="20"/>
                <w:color w:val="auto"/>
              </w:rPr>
            </w:pPr>
            <w:r>
              <w:rPr>
                <w:rFonts w:ascii="Arial" w:cs="Arial" w:eastAsia="Arial" w:hAnsi="Arial"/>
                <w:sz w:val="29"/>
                <w:szCs w:val="29"/>
                <w:b w:val="1"/>
                <w:bCs w:val="1"/>
                <w:color w:val="auto"/>
              </w:rPr>
              <w:t>ITEMS OF BUSINESS</w:t>
            </w: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0"/>
        </w:trPr>
        <w:tc>
          <w:tcPr>
            <w:tcW w:w="6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ind w:left="40"/>
              <w:spacing w:after="0"/>
              <w:rPr>
                <w:sz w:val="20"/>
                <w:szCs w:val="20"/>
                <w:color w:val="auto"/>
              </w:rPr>
            </w:pPr>
            <w:r>
              <w:rPr>
                <w:rFonts w:ascii="Arial" w:cs="Arial" w:eastAsia="Arial" w:hAnsi="Arial"/>
                <w:sz w:val="14"/>
                <w:szCs w:val="14"/>
                <w:b w:val="1"/>
                <w:bCs w:val="1"/>
                <w:color w:val="auto"/>
              </w:rPr>
              <w:t>Board’s Voting</w:t>
            </w:r>
          </w:p>
        </w:tc>
        <w:tc>
          <w:tcPr>
            <w:tcW w:w="1200" w:type="dxa"/>
            <w:vAlign w:val="bottom"/>
          </w:tcPr>
          <w:p>
            <w:pPr>
              <w:ind w:left="160"/>
              <w:spacing w:after="0"/>
              <w:rPr>
                <w:sz w:val="20"/>
                <w:szCs w:val="20"/>
                <w:color w:val="auto"/>
              </w:rPr>
            </w:pPr>
            <w:r>
              <w:rPr>
                <w:rFonts w:ascii="Arial" w:cs="Arial" w:eastAsia="Arial" w:hAnsi="Arial"/>
                <w:sz w:val="14"/>
                <w:szCs w:val="14"/>
                <w:b w:val="1"/>
                <w:bCs w:val="1"/>
                <w:color w:val="auto"/>
              </w:rPr>
              <w:t>More</w:t>
            </w:r>
          </w:p>
        </w:tc>
      </w:tr>
      <w:tr>
        <w:trPr>
          <w:trHeight w:val="165"/>
        </w:trPr>
        <w:tc>
          <w:tcPr>
            <w:tcW w:w="640" w:type="dxa"/>
            <w:vAlign w:val="bottom"/>
            <w:tcBorders>
              <w:bottom w:val="single" w:sz="8" w:color="582C83"/>
            </w:tcBorders>
          </w:tcPr>
          <w:p>
            <w:pPr>
              <w:ind w:left="60"/>
              <w:spacing w:after="0" w:line="158" w:lineRule="exact"/>
              <w:rPr>
                <w:sz w:val="20"/>
                <w:szCs w:val="20"/>
                <w:color w:val="auto"/>
              </w:rPr>
            </w:pPr>
            <w:r>
              <w:rPr>
                <w:rFonts w:ascii="Arial" w:cs="Arial" w:eastAsia="Arial" w:hAnsi="Arial"/>
                <w:sz w:val="14"/>
                <w:szCs w:val="14"/>
                <w:b w:val="1"/>
                <w:bCs w:val="1"/>
                <w:color w:val="auto"/>
              </w:rPr>
              <w:t>Item</w:t>
            </w:r>
          </w:p>
        </w:tc>
        <w:tc>
          <w:tcPr>
            <w:tcW w:w="4240" w:type="dxa"/>
            <w:vAlign w:val="bottom"/>
            <w:tcBorders>
              <w:bottom w:val="single" w:sz="8" w:color="582C83"/>
            </w:tcBorders>
          </w:tcPr>
          <w:p>
            <w:pPr>
              <w:spacing w:after="0"/>
              <w:rPr>
                <w:sz w:val="14"/>
                <w:szCs w:val="14"/>
                <w:color w:val="auto"/>
              </w:rPr>
            </w:pPr>
          </w:p>
        </w:tc>
        <w:tc>
          <w:tcPr>
            <w:tcW w:w="1660" w:type="dxa"/>
            <w:vAlign w:val="bottom"/>
            <w:tcBorders>
              <w:bottom w:val="single" w:sz="8" w:color="582C83"/>
            </w:tcBorders>
          </w:tcPr>
          <w:p>
            <w:pPr>
              <w:ind w:left="60"/>
              <w:spacing w:after="0" w:line="158" w:lineRule="exact"/>
              <w:rPr>
                <w:sz w:val="20"/>
                <w:szCs w:val="20"/>
                <w:color w:val="auto"/>
              </w:rPr>
            </w:pPr>
            <w:r>
              <w:rPr>
                <w:rFonts w:ascii="Arial" w:cs="Arial" w:eastAsia="Arial" w:hAnsi="Arial"/>
                <w:sz w:val="14"/>
                <w:szCs w:val="14"/>
                <w:b w:val="1"/>
                <w:bCs w:val="1"/>
                <w:color w:val="auto"/>
              </w:rPr>
              <w:t>Voting Choices</w:t>
            </w:r>
          </w:p>
        </w:tc>
        <w:tc>
          <w:tcPr>
            <w:tcW w:w="1300" w:type="dxa"/>
            <w:vAlign w:val="bottom"/>
            <w:tcBorders>
              <w:bottom w:val="single" w:sz="8" w:color="582C83"/>
            </w:tcBorders>
          </w:tcPr>
          <w:p>
            <w:pPr>
              <w:ind w:left="40"/>
              <w:spacing w:after="0" w:line="158" w:lineRule="exact"/>
              <w:rPr>
                <w:sz w:val="20"/>
                <w:szCs w:val="20"/>
                <w:color w:val="auto"/>
              </w:rPr>
            </w:pPr>
            <w:r>
              <w:rPr>
                <w:rFonts w:ascii="Arial" w:cs="Arial" w:eastAsia="Arial" w:hAnsi="Arial"/>
                <w:sz w:val="14"/>
                <w:szCs w:val="14"/>
                <w:b w:val="1"/>
                <w:bCs w:val="1"/>
                <w:color w:val="auto"/>
              </w:rPr>
              <w:t>Recommendation</w:t>
            </w:r>
          </w:p>
        </w:tc>
        <w:tc>
          <w:tcPr>
            <w:tcW w:w="1200" w:type="dxa"/>
            <w:vAlign w:val="bottom"/>
            <w:tcBorders>
              <w:bottom w:val="single" w:sz="8" w:color="582C83"/>
            </w:tcBorders>
          </w:tcPr>
          <w:p>
            <w:pPr>
              <w:ind w:left="160"/>
              <w:spacing w:after="0" w:line="158" w:lineRule="exact"/>
              <w:rPr>
                <w:sz w:val="20"/>
                <w:szCs w:val="20"/>
                <w:color w:val="auto"/>
              </w:rPr>
            </w:pPr>
            <w:r>
              <w:rPr>
                <w:rFonts w:ascii="Arial" w:cs="Arial" w:eastAsia="Arial" w:hAnsi="Arial"/>
                <w:sz w:val="14"/>
                <w:szCs w:val="14"/>
                <w:b w:val="1"/>
                <w:bCs w:val="1"/>
                <w:color w:val="auto"/>
              </w:rPr>
              <w:t>Information</w:t>
            </w:r>
          </w:p>
        </w:tc>
      </w:tr>
      <w:tr>
        <w:trPr>
          <w:trHeight w:val="268"/>
        </w:trPr>
        <w:tc>
          <w:tcPr>
            <w:tcW w:w="4880" w:type="dxa"/>
            <w:vAlign w:val="bottom"/>
            <w:gridSpan w:val="2"/>
          </w:tcPr>
          <w:p>
            <w:pPr>
              <w:ind w:left="60"/>
              <w:spacing w:after="0"/>
              <w:rPr>
                <w:sz w:val="20"/>
                <w:szCs w:val="20"/>
                <w:color w:val="auto"/>
              </w:rPr>
            </w:pPr>
            <w:r>
              <w:rPr>
                <w:rFonts w:ascii="Arial" w:cs="Arial" w:eastAsia="Arial" w:hAnsi="Arial"/>
                <w:sz w:val="14"/>
                <w:szCs w:val="14"/>
                <w:b w:val="1"/>
                <w:bCs w:val="1"/>
                <w:color w:val="auto"/>
              </w:rPr>
              <w:t>Company Proposals:</w:t>
            </w:r>
          </w:p>
        </w:tc>
        <w:tc>
          <w:tcPr>
            <w:tcW w:w="16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43"/>
        </w:trPr>
        <w:tc>
          <w:tcPr>
            <w:tcW w:w="640" w:type="dxa"/>
            <w:vAlign w:val="bottom"/>
            <w:tcBorders>
              <w:bottom w:val="single" w:sz="8" w:color="582C83"/>
            </w:tcBorders>
          </w:tcPr>
          <w:p>
            <w:pPr>
              <w:spacing w:after="0"/>
              <w:rPr>
                <w:sz w:val="3"/>
                <w:szCs w:val="3"/>
                <w:color w:val="auto"/>
              </w:rPr>
            </w:pPr>
          </w:p>
        </w:tc>
        <w:tc>
          <w:tcPr>
            <w:tcW w:w="4240" w:type="dxa"/>
            <w:vAlign w:val="bottom"/>
            <w:tcBorders>
              <w:bottom w:val="single" w:sz="8" w:color="582C83"/>
            </w:tcBorders>
          </w:tcPr>
          <w:p>
            <w:pPr>
              <w:spacing w:after="0"/>
              <w:rPr>
                <w:sz w:val="3"/>
                <w:szCs w:val="3"/>
                <w:color w:val="auto"/>
              </w:rPr>
            </w:pPr>
          </w:p>
        </w:tc>
        <w:tc>
          <w:tcPr>
            <w:tcW w:w="1660" w:type="dxa"/>
            <w:vAlign w:val="bottom"/>
            <w:tcBorders>
              <w:bottom w:val="single" w:sz="8" w:color="582C83"/>
            </w:tcBorders>
          </w:tcPr>
          <w:p>
            <w:pPr>
              <w:spacing w:after="0"/>
              <w:rPr>
                <w:sz w:val="3"/>
                <w:szCs w:val="3"/>
                <w:color w:val="auto"/>
              </w:rPr>
            </w:pPr>
          </w:p>
        </w:tc>
        <w:tc>
          <w:tcPr>
            <w:tcW w:w="1300" w:type="dxa"/>
            <w:vAlign w:val="bottom"/>
            <w:tcBorders>
              <w:bottom w:val="single" w:sz="8" w:color="582C83"/>
            </w:tcBorders>
          </w:tcPr>
          <w:p>
            <w:pPr>
              <w:spacing w:after="0"/>
              <w:rPr>
                <w:sz w:val="3"/>
                <w:szCs w:val="3"/>
                <w:color w:val="auto"/>
              </w:rPr>
            </w:pPr>
          </w:p>
        </w:tc>
        <w:tc>
          <w:tcPr>
            <w:tcW w:w="1200" w:type="dxa"/>
            <w:vAlign w:val="bottom"/>
            <w:tcBorders>
              <w:bottom w:val="single" w:sz="8" w:color="582C83"/>
            </w:tcBorders>
          </w:tcPr>
          <w:p>
            <w:pPr>
              <w:spacing w:after="0"/>
              <w:rPr>
                <w:sz w:val="3"/>
                <w:szCs w:val="3"/>
                <w:color w:val="auto"/>
              </w:rPr>
            </w:pPr>
          </w:p>
        </w:tc>
      </w:tr>
      <w:tr>
        <w:trPr>
          <w:trHeight w:val="214"/>
        </w:trPr>
        <w:tc>
          <w:tcPr>
            <w:tcW w:w="640" w:type="dxa"/>
            <w:vAlign w:val="bottom"/>
            <w:shd w:val="clear" w:color="auto" w:fill="E0DBEA"/>
          </w:tcPr>
          <w:p>
            <w:pPr>
              <w:ind w:left="60"/>
              <w:spacing w:after="0"/>
              <w:rPr>
                <w:sz w:val="20"/>
                <w:szCs w:val="20"/>
                <w:color w:val="auto"/>
              </w:rPr>
            </w:pPr>
            <w:r>
              <w:rPr>
                <w:rFonts w:ascii="Arial" w:cs="Arial" w:eastAsia="Arial" w:hAnsi="Arial"/>
                <w:sz w:val="14"/>
                <w:szCs w:val="14"/>
                <w:color w:val="auto"/>
              </w:rPr>
              <w:t>Item 1.</w:t>
            </w:r>
          </w:p>
        </w:tc>
        <w:tc>
          <w:tcPr>
            <w:tcW w:w="4240" w:type="dxa"/>
            <w:vAlign w:val="bottom"/>
            <w:shd w:val="clear" w:color="auto" w:fill="E0DBEA"/>
          </w:tcPr>
          <w:p>
            <w:pPr>
              <w:ind w:left="40"/>
              <w:spacing w:after="0"/>
              <w:rPr>
                <w:sz w:val="20"/>
                <w:szCs w:val="20"/>
                <w:color w:val="auto"/>
              </w:rPr>
            </w:pPr>
            <w:r>
              <w:rPr>
                <w:rFonts w:ascii="Arial" w:cs="Arial" w:eastAsia="Arial" w:hAnsi="Arial"/>
                <w:sz w:val="14"/>
                <w:szCs w:val="14"/>
                <w:color w:val="auto"/>
              </w:rPr>
              <w:t>Election of 10 director nominees named in the Proxy Statement</w:t>
            </w:r>
          </w:p>
        </w:tc>
        <w:tc>
          <w:tcPr>
            <w:tcW w:w="1660" w:type="dxa"/>
            <w:vAlign w:val="bottom"/>
            <w:shd w:val="clear" w:color="auto" w:fill="E0DBEA"/>
          </w:tcPr>
          <w:p>
            <w:pPr>
              <w:ind w:left="60"/>
              <w:spacing w:after="0"/>
              <w:rPr>
                <w:sz w:val="20"/>
                <w:szCs w:val="20"/>
                <w:color w:val="auto"/>
              </w:rPr>
            </w:pPr>
            <w:r>
              <w:rPr>
                <w:rFonts w:ascii="Arial" w:cs="Arial" w:eastAsia="Arial" w:hAnsi="Arial"/>
                <w:sz w:val="14"/>
                <w:szCs w:val="14"/>
                <w:color w:val="auto"/>
              </w:rPr>
              <w:t>With respect</w:t>
            </w:r>
          </w:p>
        </w:tc>
        <w:tc>
          <w:tcPr>
            <w:tcW w:w="1300" w:type="dxa"/>
            <w:vAlign w:val="bottom"/>
            <w:shd w:val="clear" w:color="auto" w:fill="E0DBEA"/>
          </w:tcPr>
          <w:p>
            <w:pPr>
              <w:ind w:left="40"/>
              <w:spacing w:after="0"/>
              <w:rPr>
                <w:sz w:val="20"/>
                <w:szCs w:val="20"/>
                <w:color w:val="auto"/>
              </w:rPr>
            </w:pPr>
            <w:r>
              <w:rPr>
                <w:rFonts w:ascii="Arial" w:cs="Arial" w:eastAsia="Arial" w:hAnsi="Arial"/>
                <w:sz w:val="14"/>
                <w:szCs w:val="14"/>
                <w:b w:val="1"/>
                <w:bCs w:val="1"/>
                <w:color w:val="582C83"/>
              </w:rPr>
              <w:t>FOR</w:t>
            </w:r>
          </w:p>
        </w:tc>
        <w:tc>
          <w:tcPr>
            <w:tcW w:w="1200" w:type="dxa"/>
            <w:vAlign w:val="bottom"/>
            <w:shd w:val="clear" w:color="auto" w:fill="E0DBEA"/>
          </w:tcPr>
          <w:p>
            <w:pPr>
              <w:ind w:left="160"/>
              <w:spacing w:after="0"/>
              <w:rPr>
                <w:sz w:val="20"/>
                <w:szCs w:val="20"/>
                <w:color w:val="auto"/>
              </w:rPr>
            </w:pPr>
            <w:r>
              <w:rPr>
                <w:rFonts w:ascii="Arial" w:cs="Arial" w:eastAsia="Arial" w:hAnsi="Arial"/>
                <w:sz w:val="14"/>
                <w:szCs w:val="14"/>
                <w:color w:val="auto"/>
              </w:rPr>
              <w:t>Page 18</w:t>
            </w:r>
          </w:p>
        </w:tc>
      </w:tr>
      <w:tr>
        <w:trPr>
          <w:trHeight w:val="175"/>
        </w:trPr>
        <w:tc>
          <w:tcPr>
            <w:tcW w:w="640" w:type="dxa"/>
            <w:vAlign w:val="bottom"/>
            <w:shd w:val="clear" w:color="auto" w:fill="E0DBEA"/>
          </w:tcPr>
          <w:p>
            <w:pPr>
              <w:spacing w:after="0"/>
              <w:rPr>
                <w:sz w:val="15"/>
                <w:szCs w:val="15"/>
                <w:color w:val="auto"/>
              </w:rPr>
            </w:pPr>
          </w:p>
        </w:tc>
        <w:tc>
          <w:tcPr>
            <w:tcW w:w="4240" w:type="dxa"/>
            <w:vAlign w:val="bottom"/>
            <w:shd w:val="clear" w:color="auto" w:fill="E0DBEA"/>
          </w:tcPr>
          <w:p>
            <w:pPr>
              <w:spacing w:after="0"/>
              <w:rPr>
                <w:sz w:val="15"/>
                <w:szCs w:val="15"/>
                <w:color w:val="auto"/>
              </w:rPr>
            </w:pPr>
          </w:p>
        </w:tc>
        <w:tc>
          <w:tcPr>
            <w:tcW w:w="1660" w:type="dxa"/>
            <w:vAlign w:val="bottom"/>
            <w:shd w:val="clear" w:color="auto" w:fill="E0DBEA"/>
          </w:tcPr>
          <w:p>
            <w:pPr>
              <w:ind w:left="60"/>
              <w:spacing w:after="0"/>
              <w:rPr>
                <w:sz w:val="20"/>
                <w:szCs w:val="20"/>
                <w:color w:val="auto"/>
              </w:rPr>
            </w:pPr>
            <w:r>
              <w:rPr>
                <w:rFonts w:ascii="Arial" w:cs="Arial" w:eastAsia="Arial" w:hAnsi="Arial"/>
                <w:sz w:val="14"/>
                <w:szCs w:val="14"/>
                <w:color w:val="auto"/>
              </w:rPr>
              <w:t>to each nominee:</w:t>
            </w:r>
          </w:p>
        </w:tc>
        <w:tc>
          <w:tcPr>
            <w:tcW w:w="1300" w:type="dxa"/>
            <w:vAlign w:val="bottom"/>
            <w:shd w:val="clear" w:color="auto" w:fill="E0DBEA"/>
          </w:tcPr>
          <w:p>
            <w:pPr>
              <w:ind w:left="40"/>
              <w:spacing w:after="0"/>
              <w:rPr>
                <w:sz w:val="20"/>
                <w:szCs w:val="20"/>
                <w:color w:val="auto"/>
              </w:rPr>
            </w:pPr>
            <w:r>
              <w:rPr>
                <w:rFonts w:ascii="Arial" w:cs="Arial" w:eastAsia="Arial" w:hAnsi="Arial"/>
                <w:sz w:val="14"/>
                <w:szCs w:val="14"/>
                <w:b w:val="1"/>
                <w:bCs w:val="1"/>
                <w:color w:val="582C83"/>
              </w:rPr>
              <w:t>All Nominees</w:t>
            </w:r>
          </w:p>
        </w:tc>
        <w:tc>
          <w:tcPr>
            <w:tcW w:w="1200" w:type="dxa"/>
            <w:vAlign w:val="bottom"/>
            <w:shd w:val="clear" w:color="auto" w:fill="E0DBEA"/>
          </w:tcPr>
          <w:p>
            <w:pPr>
              <w:spacing w:after="0"/>
              <w:rPr>
                <w:sz w:val="15"/>
                <w:szCs w:val="15"/>
                <w:color w:val="auto"/>
              </w:rPr>
            </w:pPr>
          </w:p>
        </w:tc>
      </w:tr>
      <w:tr>
        <w:trPr>
          <w:trHeight w:val="162"/>
        </w:trPr>
        <w:tc>
          <w:tcPr>
            <w:tcW w:w="640" w:type="dxa"/>
            <w:vAlign w:val="bottom"/>
            <w:shd w:val="clear" w:color="auto" w:fill="E0DBEA"/>
          </w:tcPr>
          <w:p>
            <w:pPr>
              <w:spacing w:after="0"/>
              <w:rPr>
                <w:sz w:val="14"/>
                <w:szCs w:val="14"/>
                <w:color w:val="auto"/>
              </w:rPr>
            </w:pPr>
          </w:p>
        </w:tc>
        <w:tc>
          <w:tcPr>
            <w:tcW w:w="4240" w:type="dxa"/>
            <w:vAlign w:val="bottom"/>
            <w:shd w:val="clear" w:color="auto" w:fill="E0DBEA"/>
          </w:tcPr>
          <w:p>
            <w:pPr>
              <w:spacing w:after="0"/>
              <w:rPr>
                <w:sz w:val="14"/>
                <w:szCs w:val="14"/>
                <w:color w:val="auto"/>
              </w:rPr>
            </w:pPr>
          </w:p>
        </w:tc>
        <w:tc>
          <w:tcPr>
            <w:tcW w:w="1660" w:type="dxa"/>
            <w:vAlign w:val="bottom"/>
            <w:shd w:val="clear" w:color="auto" w:fill="E0DBEA"/>
          </w:tcPr>
          <w:p>
            <w:pPr>
              <w:ind w:left="60"/>
              <w:spacing w:after="0"/>
              <w:rPr>
                <w:sz w:val="20"/>
                <w:szCs w:val="20"/>
                <w:color w:val="auto"/>
              </w:rPr>
            </w:pPr>
            <w:r>
              <w:rPr>
                <w:rFonts w:ascii="Arial" w:cs="Arial" w:eastAsia="Arial" w:hAnsi="Arial"/>
                <w:sz w:val="14"/>
                <w:szCs w:val="14"/>
                <w:color w:val="auto"/>
              </w:rPr>
              <w:t>For</w:t>
            </w:r>
          </w:p>
        </w:tc>
        <w:tc>
          <w:tcPr>
            <w:tcW w:w="1300" w:type="dxa"/>
            <w:vAlign w:val="bottom"/>
            <w:shd w:val="clear" w:color="auto" w:fill="E0DBEA"/>
          </w:tcPr>
          <w:p>
            <w:pPr>
              <w:spacing w:after="0"/>
              <w:rPr>
                <w:sz w:val="14"/>
                <w:szCs w:val="14"/>
                <w:color w:val="auto"/>
              </w:rPr>
            </w:pPr>
          </w:p>
        </w:tc>
        <w:tc>
          <w:tcPr>
            <w:tcW w:w="1200" w:type="dxa"/>
            <w:vAlign w:val="bottom"/>
            <w:shd w:val="clear" w:color="auto" w:fill="E0DBEA"/>
          </w:tcPr>
          <w:p>
            <w:pPr>
              <w:spacing w:after="0"/>
              <w:rPr>
                <w:sz w:val="14"/>
                <w:szCs w:val="14"/>
                <w:color w:val="auto"/>
              </w:rPr>
            </w:pPr>
          </w:p>
        </w:tc>
      </w:tr>
      <w:tr>
        <w:trPr>
          <w:trHeight w:val="162"/>
        </w:trPr>
        <w:tc>
          <w:tcPr>
            <w:tcW w:w="640" w:type="dxa"/>
            <w:vAlign w:val="bottom"/>
            <w:shd w:val="clear" w:color="auto" w:fill="E0DBEA"/>
          </w:tcPr>
          <w:p>
            <w:pPr>
              <w:spacing w:after="0"/>
              <w:rPr>
                <w:sz w:val="14"/>
                <w:szCs w:val="14"/>
                <w:color w:val="auto"/>
              </w:rPr>
            </w:pPr>
          </w:p>
        </w:tc>
        <w:tc>
          <w:tcPr>
            <w:tcW w:w="4240" w:type="dxa"/>
            <w:vAlign w:val="bottom"/>
            <w:shd w:val="clear" w:color="auto" w:fill="E0DBEA"/>
          </w:tcPr>
          <w:p>
            <w:pPr>
              <w:spacing w:after="0"/>
              <w:rPr>
                <w:sz w:val="14"/>
                <w:szCs w:val="14"/>
                <w:color w:val="auto"/>
              </w:rPr>
            </w:pPr>
          </w:p>
        </w:tc>
        <w:tc>
          <w:tcPr>
            <w:tcW w:w="1660" w:type="dxa"/>
            <w:vAlign w:val="bottom"/>
            <w:shd w:val="clear" w:color="auto" w:fill="E0DBEA"/>
          </w:tcPr>
          <w:p>
            <w:pPr>
              <w:ind w:left="60"/>
              <w:spacing w:after="0"/>
              <w:rPr>
                <w:sz w:val="20"/>
                <w:szCs w:val="20"/>
                <w:color w:val="auto"/>
              </w:rPr>
            </w:pPr>
            <w:r>
              <w:rPr>
                <w:rFonts w:ascii="Arial" w:cs="Arial" w:eastAsia="Arial" w:hAnsi="Arial"/>
                <w:sz w:val="14"/>
                <w:szCs w:val="14"/>
                <w:color w:val="auto"/>
              </w:rPr>
              <w:t>Against</w:t>
            </w:r>
          </w:p>
        </w:tc>
        <w:tc>
          <w:tcPr>
            <w:tcW w:w="1300" w:type="dxa"/>
            <w:vAlign w:val="bottom"/>
            <w:shd w:val="clear" w:color="auto" w:fill="E0DBEA"/>
          </w:tcPr>
          <w:p>
            <w:pPr>
              <w:spacing w:after="0"/>
              <w:rPr>
                <w:sz w:val="14"/>
                <w:szCs w:val="14"/>
                <w:color w:val="auto"/>
              </w:rPr>
            </w:pPr>
          </w:p>
        </w:tc>
        <w:tc>
          <w:tcPr>
            <w:tcW w:w="1200" w:type="dxa"/>
            <w:vAlign w:val="bottom"/>
            <w:shd w:val="clear" w:color="auto" w:fill="E0DBEA"/>
          </w:tcPr>
          <w:p>
            <w:pPr>
              <w:spacing w:after="0"/>
              <w:rPr>
                <w:sz w:val="14"/>
                <w:szCs w:val="14"/>
                <w:color w:val="auto"/>
              </w:rPr>
            </w:pPr>
          </w:p>
        </w:tc>
      </w:tr>
      <w:tr>
        <w:trPr>
          <w:trHeight w:val="190"/>
        </w:trPr>
        <w:tc>
          <w:tcPr>
            <w:tcW w:w="640" w:type="dxa"/>
            <w:vAlign w:val="bottom"/>
            <w:shd w:val="clear" w:color="auto" w:fill="E0DBEA"/>
          </w:tcPr>
          <w:p>
            <w:pPr>
              <w:spacing w:after="0"/>
              <w:rPr>
                <w:sz w:val="16"/>
                <w:szCs w:val="16"/>
                <w:color w:val="auto"/>
              </w:rPr>
            </w:pPr>
          </w:p>
        </w:tc>
        <w:tc>
          <w:tcPr>
            <w:tcW w:w="4240" w:type="dxa"/>
            <w:vAlign w:val="bottom"/>
            <w:shd w:val="clear" w:color="auto" w:fill="E0DBEA"/>
          </w:tcPr>
          <w:p>
            <w:pPr>
              <w:spacing w:after="0"/>
              <w:rPr>
                <w:sz w:val="16"/>
                <w:szCs w:val="16"/>
                <w:color w:val="auto"/>
              </w:rPr>
            </w:pPr>
          </w:p>
        </w:tc>
        <w:tc>
          <w:tcPr>
            <w:tcW w:w="1660" w:type="dxa"/>
            <w:vAlign w:val="bottom"/>
            <w:shd w:val="clear" w:color="auto" w:fill="E0DBEA"/>
          </w:tcPr>
          <w:p>
            <w:pPr>
              <w:ind w:left="60"/>
              <w:spacing w:after="0"/>
              <w:rPr>
                <w:sz w:val="20"/>
                <w:szCs w:val="20"/>
                <w:color w:val="auto"/>
              </w:rPr>
            </w:pPr>
            <w:r>
              <w:rPr>
                <w:rFonts w:ascii="Arial" w:cs="Arial" w:eastAsia="Arial" w:hAnsi="Arial"/>
                <w:sz w:val="14"/>
                <w:szCs w:val="14"/>
                <w:color w:val="auto"/>
              </w:rPr>
              <w:t>Abstain</w:t>
            </w:r>
          </w:p>
        </w:tc>
        <w:tc>
          <w:tcPr>
            <w:tcW w:w="1300" w:type="dxa"/>
            <w:vAlign w:val="bottom"/>
            <w:shd w:val="clear" w:color="auto" w:fill="E0DBEA"/>
          </w:tcPr>
          <w:p>
            <w:pPr>
              <w:spacing w:after="0"/>
              <w:rPr>
                <w:sz w:val="16"/>
                <w:szCs w:val="16"/>
                <w:color w:val="auto"/>
              </w:rPr>
            </w:pPr>
          </w:p>
        </w:tc>
        <w:tc>
          <w:tcPr>
            <w:tcW w:w="1200" w:type="dxa"/>
            <w:vAlign w:val="bottom"/>
            <w:shd w:val="clear" w:color="auto" w:fill="E0DBEA"/>
          </w:tcPr>
          <w:p>
            <w:pPr>
              <w:spacing w:after="0"/>
              <w:rPr>
                <w:sz w:val="16"/>
                <w:szCs w:val="16"/>
                <w:color w:val="auto"/>
              </w:rPr>
            </w:pPr>
          </w:p>
        </w:tc>
      </w:tr>
      <w:tr>
        <w:trPr>
          <w:trHeight w:val="62"/>
        </w:trPr>
        <w:tc>
          <w:tcPr>
            <w:tcW w:w="640" w:type="dxa"/>
            <w:vAlign w:val="bottom"/>
            <w:tcBorders>
              <w:bottom w:val="single" w:sz="8" w:color="582C83"/>
            </w:tcBorders>
            <w:shd w:val="clear" w:color="auto" w:fill="E0DBEA"/>
          </w:tcPr>
          <w:p>
            <w:pPr>
              <w:spacing w:after="0"/>
              <w:rPr>
                <w:sz w:val="5"/>
                <w:szCs w:val="5"/>
                <w:color w:val="auto"/>
              </w:rPr>
            </w:pPr>
          </w:p>
        </w:tc>
        <w:tc>
          <w:tcPr>
            <w:tcW w:w="4240" w:type="dxa"/>
            <w:vAlign w:val="bottom"/>
            <w:tcBorders>
              <w:bottom w:val="single" w:sz="8" w:color="582C83"/>
            </w:tcBorders>
            <w:shd w:val="clear" w:color="auto" w:fill="E0DBEA"/>
          </w:tcPr>
          <w:p>
            <w:pPr>
              <w:spacing w:after="0"/>
              <w:rPr>
                <w:sz w:val="5"/>
                <w:szCs w:val="5"/>
                <w:color w:val="auto"/>
              </w:rPr>
            </w:pPr>
          </w:p>
        </w:tc>
        <w:tc>
          <w:tcPr>
            <w:tcW w:w="1660" w:type="dxa"/>
            <w:vAlign w:val="bottom"/>
            <w:tcBorders>
              <w:bottom w:val="single" w:sz="8" w:color="582C83"/>
            </w:tcBorders>
            <w:shd w:val="clear" w:color="auto" w:fill="E0DBEA"/>
          </w:tcPr>
          <w:p>
            <w:pPr>
              <w:spacing w:after="0"/>
              <w:rPr>
                <w:sz w:val="5"/>
                <w:szCs w:val="5"/>
                <w:color w:val="auto"/>
              </w:rPr>
            </w:pPr>
          </w:p>
        </w:tc>
        <w:tc>
          <w:tcPr>
            <w:tcW w:w="1300" w:type="dxa"/>
            <w:vAlign w:val="bottom"/>
            <w:tcBorders>
              <w:bottom w:val="single" w:sz="8" w:color="582C83"/>
            </w:tcBorders>
            <w:shd w:val="clear" w:color="auto" w:fill="E0DBEA"/>
          </w:tcPr>
          <w:p>
            <w:pPr>
              <w:spacing w:after="0"/>
              <w:rPr>
                <w:sz w:val="5"/>
                <w:szCs w:val="5"/>
                <w:color w:val="auto"/>
              </w:rPr>
            </w:pPr>
          </w:p>
        </w:tc>
        <w:tc>
          <w:tcPr>
            <w:tcW w:w="1200" w:type="dxa"/>
            <w:vAlign w:val="bottom"/>
            <w:tcBorders>
              <w:bottom w:val="single" w:sz="8" w:color="582C83"/>
            </w:tcBorders>
            <w:shd w:val="clear" w:color="auto" w:fill="E0DBEA"/>
          </w:tcPr>
          <w:p>
            <w:pPr>
              <w:spacing w:after="0"/>
              <w:rPr>
                <w:sz w:val="5"/>
                <w:szCs w:val="5"/>
                <w:color w:val="auto"/>
              </w:rPr>
            </w:pPr>
          </w:p>
        </w:tc>
      </w:tr>
      <w:tr>
        <w:trPr>
          <w:trHeight w:val="214"/>
        </w:trPr>
        <w:tc>
          <w:tcPr>
            <w:tcW w:w="640" w:type="dxa"/>
            <w:vAlign w:val="bottom"/>
          </w:tcPr>
          <w:p>
            <w:pPr>
              <w:ind w:left="60"/>
              <w:spacing w:after="0"/>
              <w:rPr>
                <w:sz w:val="20"/>
                <w:szCs w:val="20"/>
                <w:color w:val="auto"/>
              </w:rPr>
            </w:pPr>
            <w:r>
              <w:rPr>
                <w:rFonts w:ascii="Arial" w:cs="Arial" w:eastAsia="Arial" w:hAnsi="Arial"/>
                <w:sz w:val="14"/>
                <w:szCs w:val="14"/>
                <w:color w:val="auto"/>
              </w:rPr>
              <w:t>Item 2.</w:t>
            </w:r>
          </w:p>
        </w:tc>
        <w:tc>
          <w:tcPr>
            <w:tcW w:w="4240" w:type="dxa"/>
            <w:vAlign w:val="bottom"/>
          </w:tcPr>
          <w:p>
            <w:pPr>
              <w:ind w:left="40"/>
              <w:spacing w:after="0"/>
              <w:rPr>
                <w:sz w:val="20"/>
                <w:szCs w:val="20"/>
                <w:color w:val="auto"/>
              </w:rPr>
            </w:pPr>
            <w:r>
              <w:rPr>
                <w:rFonts w:ascii="Arial" w:cs="Arial" w:eastAsia="Arial" w:hAnsi="Arial"/>
                <w:sz w:val="14"/>
                <w:szCs w:val="14"/>
                <w:color w:val="auto"/>
              </w:rPr>
              <w:t>Advisory vote to approve executive compensation</w:t>
            </w:r>
          </w:p>
        </w:tc>
        <w:tc>
          <w:tcPr>
            <w:tcW w:w="1660" w:type="dxa"/>
            <w:vAlign w:val="bottom"/>
          </w:tcPr>
          <w:p>
            <w:pPr>
              <w:ind w:left="60"/>
              <w:spacing w:after="0"/>
              <w:rPr>
                <w:sz w:val="20"/>
                <w:szCs w:val="20"/>
                <w:color w:val="auto"/>
              </w:rPr>
            </w:pPr>
            <w:r>
              <w:rPr>
                <w:rFonts w:ascii="Arial" w:cs="Arial" w:eastAsia="Arial" w:hAnsi="Arial"/>
                <w:sz w:val="14"/>
                <w:szCs w:val="14"/>
                <w:color w:val="auto"/>
              </w:rPr>
              <w:t>For</w:t>
            </w:r>
          </w:p>
        </w:tc>
        <w:tc>
          <w:tcPr>
            <w:tcW w:w="1300" w:type="dxa"/>
            <w:vAlign w:val="bottom"/>
          </w:tcPr>
          <w:p>
            <w:pPr>
              <w:ind w:left="40"/>
              <w:spacing w:after="0"/>
              <w:rPr>
                <w:sz w:val="20"/>
                <w:szCs w:val="20"/>
                <w:color w:val="auto"/>
              </w:rPr>
            </w:pPr>
            <w:r>
              <w:rPr>
                <w:rFonts w:ascii="Arial" w:cs="Arial" w:eastAsia="Arial" w:hAnsi="Arial"/>
                <w:sz w:val="14"/>
                <w:szCs w:val="14"/>
                <w:b w:val="1"/>
                <w:bCs w:val="1"/>
                <w:color w:val="582C83"/>
              </w:rPr>
              <w:t>FOR</w:t>
            </w:r>
          </w:p>
        </w:tc>
        <w:tc>
          <w:tcPr>
            <w:tcW w:w="1200" w:type="dxa"/>
            <w:vAlign w:val="bottom"/>
          </w:tcPr>
          <w:p>
            <w:pPr>
              <w:ind w:left="160"/>
              <w:spacing w:after="0"/>
              <w:rPr>
                <w:sz w:val="20"/>
                <w:szCs w:val="20"/>
                <w:color w:val="auto"/>
              </w:rPr>
            </w:pPr>
            <w:r>
              <w:rPr>
                <w:rFonts w:ascii="Arial" w:cs="Arial" w:eastAsia="Arial" w:hAnsi="Arial"/>
                <w:sz w:val="14"/>
                <w:szCs w:val="14"/>
                <w:color w:val="auto"/>
              </w:rPr>
              <w:t>Page 105</w:t>
            </w:r>
          </w:p>
        </w:tc>
      </w:tr>
      <w:tr>
        <w:trPr>
          <w:trHeight w:val="176"/>
        </w:trPr>
        <w:tc>
          <w:tcPr>
            <w:tcW w:w="6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660" w:type="dxa"/>
            <w:vAlign w:val="bottom"/>
          </w:tcPr>
          <w:p>
            <w:pPr>
              <w:ind w:left="60"/>
              <w:spacing w:after="0"/>
              <w:rPr>
                <w:sz w:val="20"/>
                <w:szCs w:val="20"/>
                <w:color w:val="auto"/>
              </w:rPr>
            </w:pPr>
            <w:r>
              <w:rPr>
                <w:rFonts w:ascii="Arial" w:cs="Arial" w:eastAsia="Arial" w:hAnsi="Arial"/>
                <w:sz w:val="14"/>
                <w:szCs w:val="14"/>
                <w:color w:val="auto"/>
              </w:rPr>
              <w:t>Against</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0"/>
        </w:trPr>
        <w:tc>
          <w:tcPr>
            <w:tcW w:w="6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660" w:type="dxa"/>
            <w:vAlign w:val="bottom"/>
          </w:tcPr>
          <w:p>
            <w:pPr>
              <w:ind w:left="60"/>
              <w:spacing w:after="0"/>
              <w:rPr>
                <w:sz w:val="20"/>
                <w:szCs w:val="20"/>
                <w:color w:val="auto"/>
              </w:rPr>
            </w:pPr>
            <w:r>
              <w:rPr>
                <w:rFonts w:ascii="Arial" w:cs="Arial" w:eastAsia="Arial" w:hAnsi="Arial"/>
                <w:sz w:val="14"/>
                <w:szCs w:val="14"/>
                <w:color w:val="auto"/>
              </w:rPr>
              <w:t>Abstain</w:t>
            </w: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43"/>
        </w:trPr>
        <w:tc>
          <w:tcPr>
            <w:tcW w:w="4880" w:type="dxa"/>
            <w:vAlign w:val="bottom"/>
            <w:tcBorders>
              <w:bottom w:val="single" w:sz="8" w:color="582C83"/>
            </w:tcBorders>
            <w:gridSpan w:val="2"/>
          </w:tcPr>
          <w:p>
            <w:pPr>
              <w:spacing w:after="0"/>
              <w:rPr>
                <w:sz w:val="12"/>
                <w:szCs w:val="12"/>
                <w:color w:val="auto"/>
              </w:rPr>
            </w:pPr>
          </w:p>
        </w:tc>
        <w:tc>
          <w:tcPr>
            <w:tcW w:w="1660" w:type="dxa"/>
            <w:vAlign w:val="bottom"/>
            <w:tcBorders>
              <w:bottom w:val="single" w:sz="8" w:color="582C83"/>
            </w:tcBorders>
          </w:tcPr>
          <w:p>
            <w:pPr>
              <w:spacing w:after="0"/>
              <w:rPr>
                <w:sz w:val="12"/>
                <w:szCs w:val="12"/>
                <w:color w:val="auto"/>
              </w:rPr>
            </w:pPr>
          </w:p>
        </w:tc>
        <w:tc>
          <w:tcPr>
            <w:tcW w:w="1300" w:type="dxa"/>
            <w:vAlign w:val="bottom"/>
            <w:tcBorders>
              <w:bottom w:val="single" w:sz="8" w:color="582C83"/>
            </w:tcBorders>
          </w:tcPr>
          <w:p>
            <w:pPr>
              <w:spacing w:after="0"/>
              <w:rPr>
                <w:sz w:val="12"/>
                <w:szCs w:val="12"/>
                <w:color w:val="auto"/>
              </w:rPr>
            </w:pPr>
          </w:p>
        </w:tc>
        <w:tc>
          <w:tcPr>
            <w:tcW w:w="1200" w:type="dxa"/>
            <w:vAlign w:val="bottom"/>
            <w:tcBorders>
              <w:bottom w:val="single" w:sz="8" w:color="582C83"/>
            </w:tcBorders>
          </w:tcPr>
          <w:p>
            <w:pPr>
              <w:spacing w:after="0"/>
              <w:rPr>
                <w:sz w:val="12"/>
                <w:szCs w:val="12"/>
                <w:color w:val="auto"/>
              </w:rPr>
            </w:pPr>
          </w:p>
        </w:tc>
      </w:tr>
      <w:tr>
        <w:trPr>
          <w:trHeight w:val="214"/>
        </w:trPr>
        <w:tc>
          <w:tcPr>
            <w:tcW w:w="640" w:type="dxa"/>
            <w:vAlign w:val="bottom"/>
            <w:shd w:val="clear" w:color="auto" w:fill="E0DBEA"/>
          </w:tcPr>
          <w:p>
            <w:pPr>
              <w:ind w:left="60"/>
              <w:spacing w:after="0"/>
              <w:rPr>
                <w:sz w:val="20"/>
                <w:szCs w:val="20"/>
                <w:color w:val="auto"/>
              </w:rPr>
            </w:pPr>
            <w:r>
              <w:rPr>
                <w:rFonts w:ascii="Arial" w:cs="Arial" w:eastAsia="Arial" w:hAnsi="Arial"/>
                <w:sz w:val="14"/>
                <w:szCs w:val="14"/>
                <w:color w:val="auto"/>
              </w:rPr>
              <w:t>Item 3.</w:t>
            </w:r>
          </w:p>
        </w:tc>
        <w:tc>
          <w:tcPr>
            <w:tcW w:w="4240" w:type="dxa"/>
            <w:vAlign w:val="bottom"/>
            <w:shd w:val="clear" w:color="auto" w:fill="E0DBEA"/>
          </w:tcPr>
          <w:p>
            <w:pPr>
              <w:ind w:left="40"/>
              <w:spacing w:after="0"/>
              <w:rPr>
                <w:sz w:val="20"/>
                <w:szCs w:val="20"/>
                <w:color w:val="auto"/>
              </w:rPr>
            </w:pPr>
            <w:r>
              <w:rPr>
                <w:rFonts w:ascii="Arial" w:cs="Arial" w:eastAsia="Arial" w:hAnsi="Arial"/>
                <w:sz w:val="14"/>
                <w:szCs w:val="14"/>
                <w:color w:val="auto"/>
              </w:rPr>
              <w:t>Ratification of the selection of PricewaterhouseCoopers LLP as</w:t>
            </w:r>
          </w:p>
        </w:tc>
        <w:tc>
          <w:tcPr>
            <w:tcW w:w="1660" w:type="dxa"/>
            <w:vAlign w:val="bottom"/>
            <w:shd w:val="clear" w:color="auto" w:fill="E0DBEA"/>
          </w:tcPr>
          <w:p>
            <w:pPr>
              <w:ind w:left="60"/>
              <w:spacing w:after="0"/>
              <w:rPr>
                <w:sz w:val="20"/>
                <w:szCs w:val="20"/>
                <w:color w:val="auto"/>
              </w:rPr>
            </w:pPr>
            <w:r>
              <w:rPr>
                <w:rFonts w:ascii="Arial" w:cs="Arial" w:eastAsia="Arial" w:hAnsi="Arial"/>
                <w:sz w:val="14"/>
                <w:szCs w:val="14"/>
                <w:color w:val="auto"/>
              </w:rPr>
              <w:t>For</w:t>
            </w:r>
          </w:p>
        </w:tc>
        <w:tc>
          <w:tcPr>
            <w:tcW w:w="1300" w:type="dxa"/>
            <w:vAlign w:val="bottom"/>
            <w:shd w:val="clear" w:color="auto" w:fill="E0DBEA"/>
          </w:tcPr>
          <w:p>
            <w:pPr>
              <w:ind w:left="40"/>
              <w:spacing w:after="0"/>
              <w:rPr>
                <w:sz w:val="20"/>
                <w:szCs w:val="20"/>
                <w:color w:val="auto"/>
              </w:rPr>
            </w:pPr>
            <w:r>
              <w:rPr>
                <w:rFonts w:ascii="Arial" w:cs="Arial" w:eastAsia="Arial" w:hAnsi="Arial"/>
                <w:sz w:val="14"/>
                <w:szCs w:val="14"/>
                <w:b w:val="1"/>
                <w:bCs w:val="1"/>
                <w:color w:val="582C83"/>
              </w:rPr>
              <w:t>FOR</w:t>
            </w:r>
          </w:p>
        </w:tc>
        <w:tc>
          <w:tcPr>
            <w:tcW w:w="1200" w:type="dxa"/>
            <w:vAlign w:val="bottom"/>
            <w:shd w:val="clear" w:color="auto" w:fill="E0DBEA"/>
          </w:tcPr>
          <w:p>
            <w:pPr>
              <w:ind w:left="160"/>
              <w:spacing w:after="0"/>
              <w:rPr>
                <w:sz w:val="20"/>
                <w:szCs w:val="20"/>
                <w:color w:val="auto"/>
              </w:rPr>
            </w:pPr>
            <w:r>
              <w:rPr>
                <w:rFonts w:ascii="Arial" w:cs="Arial" w:eastAsia="Arial" w:hAnsi="Arial"/>
                <w:sz w:val="14"/>
                <w:szCs w:val="14"/>
                <w:color w:val="auto"/>
              </w:rPr>
              <w:t>Page 106</w:t>
            </w:r>
          </w:p>
        </w:tc>
      </w:tr>
      <w:tr>
        <w:trPr>
          <w:trHeight w:val="176"/>
        </w:trPr>
        <w:tc>
          <w:tcPr>
            <w:tcW w:w="640" w:type="dxa"/>
            <w:vAlign w:val="bottom"/>
            <w:shd w:val="clear" w:color="auto" w:fill="E0DBEA"/>
          </w:tcPr>
          <w:p>
            <w:pPr>
              <w:spacing w:after="0"/>
              <w:rPr>
                <w:sz w:val="15"/>
                <w:szCs w:val="15"/>
                <w:color w:val="auto"/>
              </w:rPr>
            </w:pPr>
          </w:p>
        </w:tc>
        <w:tc>
          <w:tcPr>
            <w:tcW w:w="4240" w:type="dxa"/>
            <w:vAlign w:val="bottom"/>
            <w:shd w:val="clear" w:color="auto" w:fill="E0DBEA"/>
          </w:tcPr>
          <w:p>
            <w:pPr>
              <w:ind w:left="40"/>
              <w:spacing w:after="0"/>
              <w:rPr>
                <w:sz w:val="20"/>
                <w:szCs w:val="20"/>
                <w:color w:val="auto"/>
              </w:rPr>
            </w:pPr>
            <w:r>
              <w:rPr>
                <w:rFonts w:ascii="Arial" w:cs="Arial" w:eastAsia="Arial" w:hAnsi="Arial"/>
                <w:sz w:val="14"/>
                <w:szCs w:val="14"/>
                <w:color w:val="auto"/>
              </w:rPr>
              <w:t>independent registered public accountants for the fiscal year</w:t>
            </w:r>
          </w:p>
        </w:tc>
        <w:tc>
          <w:tcPr>
            <w:tcW w:w="1660" w:type="dxa"/>
            <w:vAlign w:val="bottom"/>
            <w:shd w:val="clear" w:color="auto" w:fill="E0DBEA"/>
          </w:tcPr>
          <w:p>
            <w:pPr>
              <w:ind w:left="60"/>
              <w:spacing w:after="0"/>
              <w:rPr>
                <w:sz w:val="20"/>
                <w:szCs w:val="20"/>
                <w:color w:val="auto"/>
              </w:rPr>
            </w:pPr>
            <w:r>
              <w:rPr>
                <w:rFonts w:ascii="Arial" w:cs="Arial" w:eastAsia="Arial" w:hAnsi="Arial"/>
                <w:sz w:val="14"/>
                <w:szCs w:val="14"/>
                <w:color w:val="auto"/>
              </w:rPr>
              <w:t>Against</w:t>
            </w:r>
          </w:p>
        </w:tc>
        <w:tc>
          <w:tcPr>
            <w:tcW w:w="1300" w:type="dxa"/>
            <w:vAlign w:val="bottom"/>
            <w:shd w:val="clear" w:color="auto" w:fill="E0DBEA"/>
          </w:tcPr>
          <w:p>
            <w:pPr>
              <w:spacing w:after="0"/>
              <w:rPr>
                <w:sz w:val="15"/>
                <w:szCs w:val="15"/>
                <w:color w:val="auto"/>
              </w:rPr>
            </w:pPr>
          </w:p>
        </w:tc>
        <w:tc>
          <w:tcPr>
            <w:tcW w:w="1200" w:type="dxa"/>
            <w:vAlign w:val="bottom"/>
            <w:shd w:val="clear" w:color="auto" w:fill="E0DBEA"/>
          </w:tcPr>
          <w:p>
            <w:pPr>
              <w:spacing w:after="0"/>
              <w:rPr>
                <w:sz w:val="15"/>
                <w:szCs w:val="15"/>
                <w:color w:val="auto"/>
              </w:rPr>
            </w:pPr>
          </w:p>
        </w:tc>
      </w:tr>
      <w:tr>
        <w:trPr>
          <w:trHeight w:val="231"/>
        </w:trPr>
        <w:tc>
          <w:tcPr>
            <w:tcW w:w="640" w:type="dxa"/>
            <w:vAlign w:val="bottom"/>
            <w:shd w:val="clear" w:color="auto" w:fill="E0DBEA"/>
          </w:tcPr>
          <w:p>
            <w:pPr>
              <w:spacing w:after="0"/>
              <w:rPr>
                <w:sz w:val="20"/>
                <w:szCs w:val="20"/>
                <w:color w:val="auto"/>
              </w:rPr>
            </w:pPr>
          </w:p>
        </w:tc>
        <w:tc>
          <w:tcPr>
            <w:tcW w:w="4240" w:type="dxa"/>
            <w:vAlign w:val="bottom"/>
            <w:shd w:val="clear" w:color="auto" w:fill="E0DBEA"/>
          </w:tcPr>
          <w:p>
            <w:pPr>
              <w:ind w:left="40"/>
              <w:spacing w:after="0"/>
              <w:rPr>
                <w:sz w:val="20"/>
                <w:szCs w:val="20"/>
                <w:color w:val="auto"/>
              </w:rPr>
            </w:pPr>
            <w:r>
              <w:rPr>
                <w:rFonts w:ascii="Arial" w:cs="Arial" w:eastAsia="Arial" w:hAnsi="Arial"/>
                <w:sz w:val="14"/>
                <w:szCs w:val="14"/>
                <w:color w:val="auto"/>
              </w:rPr>
              <w:t>ending December 31, 2026</w:t>
            </w:r>
          </w:p>
        </w:tc>
        <w:tc>
          <w:tcPr>
            <w:tcW w:w="1660" w:type="dxa"/>
            <w:vAlign w:val="bottom"/>
            <w:shd w:val="clear" w:color="auto" w:fill="E0DBEA"/>
          </w:tcPr>
          <w:p>
            <w:pPr>
              <w:ind w:left="60"/>
              <w:spacing w:after="0"/>
              <w:rPr>
                <w:sz w:val="20"/>
                <w:szCs w:val="20"/>
                <w:color w:val="auto"/>
              </w:rPr>
            </w:pPr>
            <w:r>
              <w:rPr>
                <w:rFonts w:ascii="Arial" w:cs="Arial" w:eastAsia="Arial" w:hAnsi="Arial"/>
                <w:sz w:val="14"/>
                <w:szCs w:val="14"/>
                <w:color w:val="auto"/>
              </w:rPr>
              <w:t>Abstain</w:t>
            </w:r>
          </w:p>
        </w:tc>
        <w:tc>
          <w:tcPr>
            <w:tcW w:w="1300" w:type="dxa"/>
            <w:vAlign w:val="bottom"/>
            <w:shd w:val="clear" w:color="auto" w:fill="E0DBEA"/>
          </w:tcPr>
          <w:p>
            <w:pPr>
              <w:spacing w:after="0"/>
              <w:rPr>
                <w:sz w:val="20"/>
                <w:szCs w:val="20"/>
                <w:color w:val="auto"/>
              </w:rPr>
            </w:pPr>
          </w:p>
        </w:tc>
        <w:tc>
          <w:tcPr>
            <w:tcW w:w="1200" w:type="dxa"/>
            <w:vAlign w:val="bottom"/>
            <w:shd w:val="clear" w:color="auto" w:fill="E0DBEA"/>
          </w:tcPr>
          <w:p>
            <w:pPr>
              <w:spacing w:after="0"/>
              <w:rPr>
                <w:sz w:val="20"/>
                <w:szCs w:val="20"/>
                <w:color w:val="auto"/>
              </w:rPr>
            </w:pPr>
          </w:p>
        </w:tc>
      </w:tr>
      <w:tr>
        <w:trPr>
          <w:trHeight w:val="76"/>
        </w:trPr>
        <w:tc>
          <w:tcPr>
            <w:tcW w:w="640" w:type="dxa"/>
            <w:vAlign w:val="bottom"/>
            <w:tcBorders>
              <w:bottom w:val="single" w:sz="8" w:color="582C83"/>
            </w:tcBorders>
            <w:shd w:val="clear" w:color="auto" w:fill="E0DBEA"/>
          </w:tcPr>
          <w:p>
            <w:pPr>
              <w:spacing w:after="0"/>
              <w:rPr>
                <w:sz w:val="6"/>
                <w:szCs w:val="6"/>
                <w:color w:val="auto"/>
              </w:rPr>
            </w:pPr>
          </w:p>
        </w:tc>
        <w:tc>
          <w:tcPr>
            <w:tcW w:w="4240" w:type="dxa"/>
            <w:vAlign w:val="bottom"/>
            <w:tcBorders>
              <w:bottom w:val="single" w:sz="8" w:color="582C83"/>
            </w:tcBorders>
            <w:shd w:val="clear" w:color="auto" w:fill="E0DBEA"/>
          </w:tcPr>
          <w:p>
            <w:pPr>
              <w:spacing w:after="0"/>
              <w:rPr>
                <w:sz w:val="6"/>
                <w:szCs w:val="6"/>
                <w:color w:val="auto"/>
              </w:rPr>
            </w:pPr>
          </w:p>
        </w:tc>
        <w:tc>
          <w:tcPr>
            <w:tcW w:w="1660" w:type="dxa"/>
            <w:vAlign w:val="bottom"/>
            <w:tcBorders>
              <w:bottom w:val="single" w:sz="8" w:color="582C83"/>
            </w:tcBorders>
            <w:shd w:val="clear" w:color="auto" w:fill="E0DBEA"/>
          </w:tcPr>
          <w:p>
            <w:pPr>
              <w:spacing w:after="0"/>
              <w:rPr>
                <w:sz w:val="6"/>
                <w:szCs w:val="6"/>
                <w:color w:val="auto"/>
              </w:rPr>
            </w:pPr>
          </w:p>
        </w:tc>
        <w:tc>
          <w:tcPr>
            <w:tcW w:w="1300" w:type="dxa"/>
            <w:vAlign w:val="bottom"/>
            <w:tcBorders>
              <w:bottom w:val="single" w:sz="8" w:color="582C83"/>
            </w:tcBorders>
            <w:shd w:val="clear" w:color="auto" w:fill="E0DBEA"/>
          </w:tcPr>
          <w:p>
            <w:pPr>
              <w:spacing w:after="0"/>
              <w:rPr>
                <w:sz w:val="6"/>
                <w:szCs w:val="6"/>
                <w:color w:val="auto"/>
              </w:rPr>
            </w:pPr>
          </w:p>
        </w:tc>
        <w:tc>
          <w:tcPr>
            <w:tcW w:w="1200" w:type="dxa"/>
            <w:vAlign w:val="bottom"/>
            <w:tcBorders>
              <w:bottom w:val="single" w:sz="8" w:color="582C83"/>
            </w:tcBorders>
            <w:shd w:val="clear" w:color="auto" w:fill="E0DBEA"/>
          </w:tcPr>
          <w:p>
            <w:pPr>
              <w:spacing w:after="0"/>
              <w:rPr>
                <w:sz w:val="6"/>
                <w:szCs w:val="6"/>
                <w:color w:val="auto"/>
              </w:rPr>
            </w:pPr>
          </w:p>
        </w:tc>
      </w:tr>
      <w:tr>
        <w:trPr>
          <w:trHeight w:val="248"/>
        </w:trPr>
        <w:tc>
          <w:tcPr>
            <w:tcW w:w="488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Shareholder Proposals:</w:t>
            </w:r>
          </w:p>
        </w:tc>
        <w:tc>
          <w:tcPr>
            <w:tcW w:w="16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69"/>
        </w:trPr>
        <w:tc>
          <w:tcPr>
            <w:tcW w:w="640" w:type="dxa"/>
            <w:vAlign w:val="bottom"/>
            <w:tcBorders>
              <w:bottom w:val="single" w:sz="8" w:color="582C83"/>
            </w:tcBorders>
          </w:tcPr>
          <w:p>
            <w:pPr>
              <w:spacing w:after="0"/>
              <w:rPr>
                <w:sz w:val="6"/>
                <w:szCs w:val="6"/>
                <w:color w:val="auto"/>
              </w:rPr>
            </w:pPr>
          </w:p>
        </w:tc>
        <w:tc>
          <w:tcPr>
            <w:tcW w:w="4240" w:type="dxa"/>
            <w:vAlign w:val="bottom"/>
            <w:tcBorders>
              <w:bottom w:val="single" w:sz="8" w:color="582C83"/>
            </w:tcBorders>
          </w:tcPr>
          <w:p>
            <w:pPr>
              <w:spacing w:after="0"/>
              <w:rPr>
                <w:sz w:val="6"/>
                <w:szCs w:val="6"/>
                <w:color w:val="auto"/>
              </w:rPr>
            </w:pPr>
          </w:p>
        </w:tc>
        <w:tc>
          <w:tcPr>
            <w:tcW w:w="1660" w:type="dxa"/>
            <w:vAlign w:val="bottom"/>
            <w:tcBorders>
              <w:bottom w:val="single" w:sz="8" w:color="582C83"/>
            </w:tcBorders>
          </w:tcPr>
          <w:p>
            <w:pPr>
              <w:spacing w:after="0"/>
              <w:rPr>
                <w:sz w:val="6"/>
                <w:szCs w:val="6"/>
                <w:color w:val="auto"/>
              </w:rPr>
            </w:pPr>
          </w:p>
        </w:tc>
        <w:tc>
          <w:tcPr>
            <w:tcW w:w="1300" w:type="dxa"/>
            <w:vAlign w:val="bottom"/>
            <w:tcBorders>
              <w:bottom w:val="single" w:sz="8" w:color="582C83"/>
            </w:tcBorders>
          </w:tcPr>
          <w:p>
            <w:pPr>
              <w:spacing w:after="0"/>
              <w:rPr>
                <w:sz w:val="6"/>
                <w:szCs w:val="6"/>
                <w:color w:val="auto"/>
              </w:rPr>
            </w:pPr>
          </w:p>
        </w:tc>
        <w:tc>
          <w:tcPr>
            <w:tcW w:w="1200" w:type="dxa"/>
            <w:vAlign w:val="bottom"/>
            <w:tcBorders>
              <w:bottom w:val="single" w:sz="8" w:color="582C83"/>
            </w:tcBorders>
          </w:tcPr>
          <w:p>
            <w:pPr>
              <w:spacing w:after="0"/>
              <w:rPr>
                <w:sz w:val="6"/>
                <w:szCs w:val="6"/>
                <w:color w:val="auto"/>
              </w:rPr>
            </w:pPr>
          </w:p>
        </w:tc>
      </w:tr>
      <w:tr>
        <w:trPr>
          <w:trHeight w:val="268"/>
        </w:trPr>
        <w:tc>
          <w:tcPr>
            <w:tcW w:w="640" w:type="dxa"/>
            <w:vAlign w:val="bottom"/>
            <w:shd w:val="clear" w:color="auto" w:fill="E0DBEA"/>
          </w:tcPr>
          <w:p>
            <w:pPr>
              <w:ind w:left="60"/>
              <w:spacing w:after="0"/>
              <w:rPr>
                <w:sz w:val="20"/>
                <w:szCs w:val="20"/>
                <w:color w:val="auto"/>
              </w:rPr>
            </w:pPr>
            <w:r>
              <w:rPr>
                <w:rFonts w:ascii="Arial" w:cs="Arial" w:eastAsia="Arial" w:hAnsi="Arial"/>
                <w:sz w:val="14"/>
                <w:szCs w:val="14"/>
                <w:color w:val="auto"/>
              </w:rPr>
              <w:t>Item 4.</w:t>
            </w:r>
          </w:p>
        </w:tc>
        <w:tc>
          <w:tcPr>
            <w:tcW w:w="4240" w:type="dxa"/>
            <w:vAlign w:val="bottom"/>
            <w:shd w:val="clear" w:color="auto" w:fill="E0DBEA"/>
          </w:tcPr>
          <w:p>
            <w:pPr>
              <w:ind w:left="40"/>
              <w:spacing w:after="0"/>
              <w:rPr>
                <w:sz w:val="20"/>
                <w:szCs w:val="20"/>
                <w:color w:val="auto"/>
              </w:rPr>
            </w:pPr>
            <w:r>
              <w:rPr>
                <w:rFonts w:ascii="Arial" w:cs="Arial" w:eastAsia="Arial" w:hAnsi="Arial"/>
                <w:sz w:val="14"/>
                <w:szCs w:val="14"/>
                <w:color w:val="auto"/>
              </w:rPr>
              <w:t>Report on objective evaluation of plastics packaging policies</w:t>
            </w:r>
          </w:p>
        </w:tc>
        <w:tc>
          <w:tcPr>
            <w:tcW w:w="1660" w:type="dxa"/>
            <w:vAlign w:val="bottom"/>
            <w:shd w:val="clear" w:color="auto" w:fill="E0DBEA"/>
          </w:tcPr>
          <w:p>
            <w:pPr>
              <w:ind w:left="60"/>
              <w:spacing w:after="0"/>
              <w:rPr>
                <w:sz w:val="20"/>
                <w:szCs w:val="20"/>
                <w:color w:val="auto"/>
              </w:rPr>
            </w:pPr>
            <w:r>
              <w:rPr>
                <w:rFonts w:ascii="Arial" w:cs="Arial" w:eastAsia="Arial" w:hAnsi="Arial"/>
                <w:sz w:val="14"/>
                <w:szCs w:val="14"/>
                <w:color w:val="auto"/>
              </w:rPr>
              <w:t>For</w:t>
            </w:r>
          </w:p>
        </w:tc>
        <w:tc>
          <w:tcPr>
            <w:tcW w:w="1300" w:type="dxa"/>
            <w:vAlign w:val="bottom"/>
            <w:shd w:val="clear" w:color="auto" w:fill="E0DBEA"/>
          </w:tcPr>
          <w:p>
            <w:pPr>
              <w:ind w:left="40"/>
              <w:spacing w:after="0"/>
              <w:rPr>
                <w:sz w:val="20"/>
                <w:szCs w:val="20"/>
                <w:color w:val="auto"/>
              </w:rPr>
            </w:pPr>
            <w:r>
              <w:rPr>
                <w:rFonts w:ascii="Arial" w:cs="Arial" w:eastAsia="Arial" w:hAnsi="Arial"/>
                <w:sz w:val="14"/>
                <w:szCs w:val="14"/>
                <w:b w:val="1"/>
                <w:bCs w:val="1"/>
                <w:color w:val="582C83"/>
              </w:rPr>
              <w:t>AGAINST</w:t>
            </w:r>
          </w:p>
        </w:tc>
        <w:tc>
          <w:tcPr>
            <w:tcW w:w="1200" w:type="dxa"/>
            <w:vAlign w:val="bottom"/>
            <w:shd w:val="clear" w:color="auto" w:fill="E0DBEA"/>
          </w:tcPr>
          <w:p>
            <w:pPr>
              <w:ind w:left="160"/>
              <w:spacing w:after="0"/>
              <w:rPr>
                <w:sz w:val="20"/>
                <w:szCs w:val="20"/>
                <w:color w:val="auto"/>
              </w:rPr>
            </w:pPr>
            <w:r>
              <w:rPr>
                <w:rFonts w:ascii="Arial" w:cs="Arial" w:eastAsia="Arial" w:hAnsi="Arial"/>
                <w:sz w:val="14"/>
                <w:szCs w:val="14"/>
                <w:color w:val="auto"/>
              </w:rPr>
              <w:t>Page 109</w:t>
            </w:r>
          </w:p>
        </w:tc>
      </w:tr>
      <w:tr>
        <w:trPr>
          <w:trHeight w:val="175"/>
        </w:trPr>
        <w:tc>
          <w:tcPr>
            <w:tcW w:w="640" w:type="dxa"/>
            <w:vAlign w:val="bottom"/>
            <w:shd w:val="clear" w:color="auto" w:fill="E0DBEA"/>
          </w:tcPr>
          <w:p>
            <w:pPr>
              <w:spacing w:after="0"/>
              <w:rPr>
                <w:sz w:val="15"/>
                <w:szCs w:val="15"/>
                <w:color w:val="auto"/>
              </w:rPr>
            </w:pPr>
          </w:p>
        </w:tc>
        <w:tc>
          <w:tcPr>
            <w:tcW w:w="4240" w:type="dxa"/>
            <w:vAlign w:val="bottom"/>
            <w:shd w:val="clear" w:color="auto" w:fill="E0DBEA"/>
          </w:tcPr>
          <w:p>
            <w:pPr>
              <w:spacing w:after="0"/>
              <w:rPr>
                <w:sz w:val="15"/>
                <w:szCs w:val="15"/>
                <w:color w:val="auto"/>
              </w:rPr>
            </w:pPr>
          </w:p>
        </w:tc>
        <w:tc>
          <w:tcPr>
            <w:tcW w:w="1660" w:type="dxa"/>
            <w:vAlign w:val="bottom"/>
            <w:shd w:val="clear" w:color="auto" w:fill="E0DBEA"/>
          </w:tcPr>
          <w:p>
            <w:pPr>
              <w:ind w:left="60"/>
              <w:spacing w:after="0"/>
              <w:rPr>
                <w:sz w:val="20"/>
                <w:szCs w:val="20"/>
                <w:color w:val="auto"/>
              </w:rPr>
            </w:pPr>
            <w:r>
              <w:rPr>
                <w:rFonts w:ascii="Arial" w:cs="Arial" w:eastAsia="Arial" w:hAnsi="Arial"/>
                <w:sz w:val="14"/>
                <w:szCs w:val="14"/>
                <w:color w:val="auto"/>
              </w:rPr>
              <w:t>Against</w:t>
            </w:r>
          </w:p>
        </w:tc>
        <w:tc>
          <w:tcPr>
            <w:tcW w:w="1300" w:type="dxa"/>
            <w:vAlign w:val="bottom"/>
            <w:shd w:val="clear" w:color="auto" w:fill="E0DBEA"/>
          </w:tcPr>
          <w:p>
            <w:pPr>
              <w:spacing w:after="0"/>
              <w:rPr>
                <w:sz w:val="15"/>
                <w:szCs w:val="15"/>
                <w:color w:val="auto"/>
              </w:rPr>
            </w:pPr>
          </w:p>
        </w:tc>
        <w:tc>
          <w:tcPr>
            <w:tcW w:w="1200" w:type="dxa"/>
            <w:vAlign w:val="bottom"/>
            <w:shd w:val="clear" w:color="auto" w:fill="E0DBEA"/>
          </w:tcPr>
          <w:p>
            <w:pPr>
              <w:spacing w:after="0"/>
              <w:rPr>
                <w:sz w:val="15"/>
                <w:szCs w:val="15"/>
                <w:color w:val="auto"/>
              </w:rPr>
            </w:pPr>
          </w:p>
        </w:tc>
      </w:tr>
      <w:tr>
        <w:trPr>
          <w:trHeight w:val="190"/>
        </w:trPr>
        <w:tc>
          <w:tcPr>
            <w:tcW w:w="640" w:type="dxa"/>
            <w:vAlign w:val="bottom"/>
            <w:shd w:val="clear" w:color="auto" w:fill="E0DBEA"/>
          </w:tcPr>
          <w:p>
            <w:pPr>
              <w:spacing w:after="0"/>
              <w:rPr>
                <w:sz w:val="16"/>
                <w:szCs w:val="16"/>
                <w:color w:val="auto"/>
              </w:rPr>
            </w:pPr>
          </w:p>
        </w:tc>
        <w:tc>
          <w:tcPr>
            <w:tcW w:w="4240" w:type="dxa"/>
            <w:vAlign w:val="bottom"/>
            <w:shd w:val="clear" w:color="auto" w:fill="E0DBEA"/>
          </w:tcPr>
          <w:p>
            <w:pPr>
              <w:spacing w:after="0"/>
              <w:rPr>
                <w:sz w:val="16"/>
                <w:szCs w:val="16"/>
                <w:color w:val="auto"/>
              </w:rPr>
            </w:pPr>
          </w:p>
        </w:tc>
        <w:tc>
          <w:tcPr>
            <w:tcW w:w="1660" w:type="dxa"/>
            <w:vAlign w:val="bottom"/>
            <w:shd w:val="clear" w:color="auto" w:fill="E0DBEA"/>
          </w:tcPr>
          <w:p>
            <w:pPr>
              <w:ind w:left="60"/>
              <w:spacing w:after="0"/>
              <w:rPr>
                <w:sz w:val="20"/>
                <w:szCs w:val="20"/>
                <w:color w:val="auto"/>
              </w:rPr>
            </w:pPr>
            <w:r>
              <w:rPr>
                <w:rFonts w:ascii="Arial" w:cs="Arial" w:eastAsia="Arial" w:hAnsi="Arial"/>
                <w:sz w:val="14"/>
                <w:szCs w:val="14"/>
                <w:color w:val="auto"/>
              </w:rPr>
              <w:t>Abstain</w:t>
            </w:r>
          </w:p>
        </w:tc>
        <w:tc>
          <w:tcPr>
            <w:tcW w:w="1300" w:type="dxa"/>
            <w:vAlign w:val="bottom"/>
            <w:shd w:val="clear" w:color="auto" w:fill="E0DBEA"/>
          </w:tcPr>
          <w:p>
            <w:pPr>
              <w:spacing w:after="0"/>
              <w:rPr>
                <w:sz w:val="16"/>
                <w:szCs w:val="16"/>
                <w:color w:val="auto"/>
              </w:rPr>
            </w:pPr>
          </w:p>
        </w:tc>
        <w:tc>
          <w:tcPr>
            <w:tcW w:w="1200" w:type="dxa"/>
            <w:vAlign w:val="bottom"/>
            <w:shd w:val="clear" w:color="auto" w:fill="E0DBEA"/>
          </w:tcPr>
          <w:p>
            <w:pPr>
              <w:spacing w:after="0"/>
              <w:rPr>
                <w:sz w:val="16"/>
                <w:szCs w:val="16"/>
                <w:color w:val="auto"/>
              </w:rPr>
            </w:pPr>
          </w:p>
        </w:tc>
      </w:tr>
      <w:tr>
        <w:trPr>
          <w:trHeight w:val="197"/>
        </w:trPr>
        <w:tc>
          <w:tcPr>
            <w:tcW w:w="640" w:type="dxa"/>
            <w:vAlign w:val="bottom"/>
            <w:tcBorders>
              <w:bottom w:val="single" w:sz="8" w:color="582C83"/>
            </w:tcBorders>
            <w:shd w:val="clear" w:color="auto" w:fill="E0DBEA"/>
          </w:tcPr>
          <w:p>
            <w:pPr>
              <w:spacing w:after="0"/>
              <w:rPr>
                <w:sz w:val="17"/>
                <w:szCs w:val="17"/>
                <w:color w:val="auto"/>
              </w:rPr>
            </w:pPr>
          </w:p>
        </w:tc>
        <w:tc>
          <w:tcPr>
            <w:tcW w:w="4240" w:type="dxa"/>
            <w:vAlign w:val="bottom"/>
            <w:tcBorders>
              <w:bottom w:val="single" w:sz="8" w:color="582C83"/>
            </w:tcBorders>
            <w:shd w:val="clear" w:color="auto" w:fill="E0DBEA"/>
          </w:tcPr>
          <w:p>
            <w:pPr>
              <w:spacing w:after="0"/>
              <w:rPr>
                <w:sz w:val="17"/>
                <w:szCs w:val="17"/>
                <w:color w:val="auto"/>
              </w:rPr>
            </w:pPr>
          </w:p>
        </w:tc>
        <w:tc>
          <w:tcPr>
            <w:tcW w:w="1660" w:type="dxa"/>
            <w:vAlign w:val="bottom"/>
            <w:tcBorders>
              <w:bottom w:val="single" w:sz="8" w:color="582C83"/>
            </w:tcBorders>
            <w:shd w:val="clear" w:color="auto" w:fill="E0DBEA"/>
          </w:tcPr>
          <w:p>
            <w:pPr>
              <w:spacing w:after="0"/>
              <w:rPr>
                <w:sz w:val="17"/>
                <w:szCs w:val="17"/>
                <w:color w:val="auto"/>
              </w:rPr>
            </w:pPr>
          </w:p>
        </w:tc>
        <w:tc>
          <w:tcPr>
            <w:tcW w:w="1300" w:type="dxa"/>
            <w:vAlign w:val="bottom"/>
            <w:tcBorders>
              <w:bottom w:val="single" w:sz="8" w:color="582C83"/>
            </w:tcBorders>
            <w:shd w:val="clear" w:color="auto" w:fill="E0DBEA"/>
          </w:tcPr>
          <w:p>
            <w:pPr>
              <w:spacing w:after="0"/>
              <w:rPr>
                <w:sz w:val="17"/>
                <w:szCs w:val="17"/>
                <w:color w:val="auto"/>
              </w:rPr>
            </w:pPr>
          </w:p>
        </w:tc>
        <w:tc>
          <w:tcPr>
            <w:tcW w:w="1200" w:type="dxa"/>
            <w:vAlign w:val="bottom"/>
            <w:tcBorders>
              <w:bottom w:val="single" w:sz="8" w:color="582C83"/>
            </w:tcBorders>
            <w:shd w:val="clear" w:color="auto" w:fill="E0DBEA"/>
          </w:tcPr>
          <w:p>
            <w:pPr>
              <w:spacing w:after="0"/>
              <w:rPr>
                <w:sz w:val="17"/>
                <w:szCs w:val="17"/>
                <w:color w:val="auto"/>
              </w:rPr>
            </w:pPr>
          </w:p>
        </w:tc>
      </w:tr>
      <w:tr>
        <w:trPr>
          <w:trHeight w:val="227"/>
        </w:trPr>
        <w:tc>
          <w:tcPr>
            <w:tcW w:w="640" w:type="dxa"/>
            <w:vAlign w:val="bottom"/>
          </w:tcPr>
          <w:p>
            <w:pPr>
              <w:ind w:left="60"/>
              <w:spacing w:after="0"/>
              <w:rPr>
                <w:sz w:val="20"/>
                <w:szCs w:val="20"/>
                <w:color w:val="auto"/>
              </w:rPr>
            </w:pPr>
            <w:r>
              <w:rPr>
                <w:rFonts w:ascii="Arial" w:cs="Arial" w:eastAsia="Arial" w:hAnsi="Arial"/>
                <w:sz w:val="14"/>
                <w:szCs w:val="14"/>
                <w:color w:val="auto"/>
              </w:rPr>
              <w:t>Item 5.</w:t>
            </w:r>
          </w:p>
        </w:tc>
        <w:tc>
          <w:tcPr>
            <w:tcW w:w="4240" w:type="dxa"/>
            <w:vAlign w:val="bottom"/>
          </w:tcPr>
          <w:p>
            <w:pPr>
              <w:ind w:left="40"/>
              <w:spacing w:after="0"/>
              <w:rPr>
                <w:sz w:val="20"/>
                <w:szCs w:val="20"/>
                <w:color w:val="auto"/>
              </w:rPr>
            </w:pPr>
            <w:r>
              <w:rPr>
                <w:rFonts w:ascii="Arial" w:cs="Arial" w:eastAsia="Arial" w:hAnsi="Arial"/>
                <w:sz w:val="14"/>
                <w:szCs w:val="14"/>
                <w:color w:val="auto"/>
              </w:rPr>
              <w:t>Adopt independent board chairman policy</w:t>
            </w:r>
          </w:p>
        </w:tc>
        <w:tc>
          <w:tcPr>
            <w:tcW w:w="1660" w:type="dxa"/>
            <w:vAlign w:val="bottom"/>
          </w:tcPr>
          <w:p>
            <w:pPr>
              <w:ind w:left="60"/>
              <w:spacing w:after="0"/>
              <w:rPr>
                <w:sz w:val="20"/>
                <w:szCs w:val="20"/>
                <w:color w:val="auto"/>
              </w:rPr>
            </w:pPr>
            <w:r>
              <w:rPr>
                <w:rFonts w:ascii="Arial" w:cs="Arial" w:eastAsia="Arial" w:hAnsi="Arial"/>
                <w:sz w:val="14"/>
                <w:szCs w:val="14"/>
                <w:color w:val="auto"/>
              </w:rPr>
              <w:t>For</w:t>
            </w:r>
          </w:p>
        </w:tc>
        <w:tc>
          <w:tcPr>
            <w:tcW w:w="1300" w:type="dxa"/>
            <w:vAlign w:val="bottom"/>
          </w:tcPr>
          <w:p>
            <w:pPr>
              <w:ind w:left="40"/>
              <w:spacing w:after="0"/>
              <w:rPr>
                <w:sz w:val="20"/>
                <w:szCs w:val="20"/>
                <w:color w:val="auto"/>
              </w:rPr>
            </w:pPr>
            <w:r>
              <w:rPr>
                <w:rFonts w:ascii="Arial" w:cs="Arial" w:eastAsia="Arial" w:hAnsi="Arial"/>
                <w:sz w:val="14"/>
                <w:szCs w:val="14"/>
                <w:b w:val="1"/>
                <w:bCs w:val="1"/>
                <w:color w:val="582C83"/>
              </w:rPr>
              <w:t>AGAINST</w:t>
            </w:r>
          </w:p>
        </w:tc>
        <w:tc>
          <w:tcPr>
            <w:tcW w:w="1200" w:type="dxa"/>
            <w:vAlign w:val="bottom"/>
          </w:tcPr>
          <w:p>
            <w:pPr>
              <w:ind w:left="160"/>
              <w:spacing w:after="0"/>
              <w:rPr>
                <w:sz w:val="20"/>
                <w:szCs w:val="20"/>
                <w:color w:val="auto"/>
              </w:rPr>
            </w:pPr>
            <w:r>
              <w:rPr>
                <w:rFonts w:ascii="Arial" w:cs="Arial" w:eastAsia="Arial" w:hAnsi="Arial"/>
                <w:sz w:val="14"/>
                <w:szCs w:val="14"/>
                <w:color w:val="auto"/>
              </w:rPr>
              <w:t>Page 112</w:t>
            </w:r>
          </w:p>
        </w:tc>
      </w:tr>
      <w:tr>
        <w:trPr>
          <w:trHeight w:val="175"/>
        </w:trPr>
        <w:tc>
          <w:tcPr>
            <w:tcW w:w="6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660" w:type="dxa"/>
            <w:vAlign w:val="bottom"/>
          </w:tcPr>
          <w:p>
            <w:pPr>
              <w:ind w:left="60"/>
              <w:spacing w:after="0"/>
              <w:rPr>
                <w:sz w:val="20"/>
                <w:szCs w:val="20"/>
                <w:color w:val="auto"/>
              </w:rPr>
            </w:pPr>
            <w:r>
              <w:rPr>
                <w:rFonts w:ascii="Arial" w:cs="Arial" w:eastAsia="Arial" w:hAnsi="Arial"/>
                <w:sz w:val="14"/>
                <w:szCs w:val="14"/>
                <w:color w:val="auto"/>
              </w:rPr>
              <w:t>Against</w:t>
            </w: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0"/>
        </w:trPr>
        <w:tc>
          <w:tcPr>
            <w:tcW w:w="6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660" w:type="dxa"/>
            <w:vAlign w:val="bottom"/>
          </w:tcPr>
          <w:p>
            <w:pPr>
              <w:ind w:left="60"/>
              <w:spacing w:after="0"/>
              <w:rPr>
                <w:sz w:val="20"/>
                <w:szCs w:val="20"/>
                <w:color w:val="auto"/>
              </w:rPr>
            </w:pPr>
            <w:r>
              <w:rPr>
                <w:rFonts w:ascii="Arial" w:cs="Arial" w:eastAsia="Arial" w:hAnsi="Arial"/>
                <w:sz w:val="14"/>
                <w:szCs w:val="14"/>
                <w:color w:val="auto"/>
              </w:rPr>
              <w:t>Abstain</w:t>
            </w: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Transact any other business properly presented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933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10375" cy="93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PROXY STATEMENT SUMMARY</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About Mondelēz International</w:t>
      </w:r>
    </w:p>
    <w:p>
      <w:pPr>
        <w:sectPr>
          <w:pgSz w:w="11900" w:h="16838" w:orient="portrait"/>
          <w:cols w:equalWidth="0" w:num="1">
            <w:col w:w="9040"/>
          </w:cols>
          <w:pgMar w:left="1420" w:top="427" w:right="1439" w:bottom="0" w:gutter="0" w:footer="0" w:header="0"/>
        </w:sectPr>
      </w:pPr>
    </w:p>
    <w:bookmarkStart w:id="12" w:name="page13"/>
    <w:bookmarkEnd w:id="12"/>
    <w:p>
      <w:pPr>
        <w:ind w:left="6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922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10375" cy="7922895"/>
                    </a:xfrm>
                    <a:prstGeom prst="rect">
                      <a:avLst/>
                    </a:prstGeom>
                    <a:noFill/>
                  </pic:spPr>
                </pic:pic>
              </a:graphicData>
            </a:graphic>
          </wp:anchor>
        </w:drawing>
        <w:drawing>
          <wp:inline distT="0" distB="0" distL="0" distR="0">
            <wp:extent cx="162560" cy="16319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ABOUT MONDELĒZ INTERNATIONAL</w:t>
      </w:r>
    </w:p>
    <w:p>
      <w:pPr>
        <w:spacing w:after="0" w:line="205" w:lineRule="exact"/>
        <w:rPr>
          <w:sz w:val="20"/>
          <w:szCs w:val="20"/>
          <w:color w:val="auto"/>
        </w:rPr>
      </w:pPr>
    </w:p>
    <w:p>
      <w:pPr>
        <w:ind w:right="199"/>
        <w:spacing w:after="0" w:line="282" w:lineRule="auto"/>
        <w:rPr>
          <w:sz w:val="20"/>
          <w:szCs w:val="20"/>
          <w:color w:val="auto"/>
        </w:rPr>
      </w:pPr>
      <w:r>
        <w:rPr>
          <w:rFonts w:ascii="Arial" w:cs="Arial" w:eastAsia="Arial" w:hAnsi="Arial"/>
          <w:sz w:val="17"/>
          <w:szCs w:val="17"/>
          <w:color w:val="auto"/>
        </w:rPr>
        <w:t xml:space="preserve">Mondelēz International empowers people to snack right around the world. With global net revenues of $38.5 billion in 2025, we are leading the future of snacking with iconic global and local brands such as </w:t>
      </w:r>
      <w:r>
        <w:rPr>
          <w:rFonts w:ascii="Arial" w:cs="Arial" w:eastAsia="Arial" w:hAnsi="Arial"/>
          <w:sz w:val="17"/>
          <w:szCs w:val="17"/>
          <w:i w:val="1"/>
          <w:iCs w:val="1"/>
          <w:color w:val="auto"/>
        </w:rPr>
        <w:t>Oreo, Ritz, LU, CLIF Bar,</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Tate’s Bake Shop </w:t>
      </w:r>
      <w:r>
        <w:rPr>
          <w:rFonts w:ascii="Arial" w:cs="Arial" w:eastAsia="Arial" w:hAnsi="Arial"/>
          <w:sz w:val="17"/>
          <w:szCs w:val="17"/>
          <w:color w:val="auto"/>
        </w:rPr>
        <w:t>biscuits and baked snacks, as well as</w:t>
      </w:r>
      <w:r>
        <w:rPr>
          <w:rFonts w:ascii="Arial" w:cs="Arial" w:eastAsia="Arial" w:hAnsi="Arial"/>
          <w:sz w:val="17"/>
          <w:szCs w:val="17"/>
          <w:i w:val="1"/>
          <w:iCs w:val="1"/>
          <w:color w:val="auto"/>
        </w:rPr>
        <w:t xml:space="preserve"> Cadbury Dairy Milk, Milka, </w:t>
      </w:r>
      <w:r>
        <w:rPr>
          <w:rFonts w:ascii="Arial" w:cs="Arial" w:eastAsia="Arial" w:hAnsi="Arial"/>
          <w:sz w:val="17"/>
          <w:szCs w:val="17"/>
          <w:color w:val="auto"/>
        </w:rPr>
        <w:t>and</w:t>
      </w:r>
      <w:r>
        <w:rPr>
          <w:rFonts w:ascii="Arial" w:cs="Arial" w:eastAsia="Arial" w:hAnsi="Arial"/>
          <w:sz w:val="17"/>
          <w:szCs w:val="17"/>
          <w:i w:val="1"/>
          <w:iCs w:val="1"/>
          <w:color w:val="auto"/>
        </w:rPr>
        <w:t xml:space="preserve"> Toblerone </w:t>
      </w:r>
      <w:r>
        <w:rPr>
          <w:rFonts w:ascii="Arial" w:cs="Arial" w:eastAsia="Arial" w:hAnsi="Arial"/>
          <w:sz w:val="17"/>
          <w:szCs w:val="17"/>
          <w:color w:val="auto"/>
        </w:rPr>
        <w:t>chocolate. Our</w:t>
      </w:r>
      <w:r>
        <w:rPr>
          <w:rFonts w:ascii="Arial" w:cs="Arial" w:eastAsia="Arial" w:hAnsi="Arial"/>
          <w:sz w:val="17"/>
          <w:szCs w:val="17"/>
          <w:i w:val="1"/>
          <w:iCs w:val="1"/>
          <w:color w:val="auto"/>
        </w:rPr>
        <w:t xml:space="preserve"> </w:t>
      </w:r>
      <w:r>
        <w:rPr>
          <w:rFonts w:ascii="Arial" w:cs="Arial" w:eastAsia="Arial" w:hAnsi="Arial"/>
          <w:sz w:val="17"/>
          <w:szCs w:val="17"/>
          <w:color w:val="auto"/>
        </w:rPr>
        <w:t>mission is to provide the right snack, for the right moment, made the right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3400" w:type="dxa"/>
            <w:vAlign w:val="bottom"/>
          </w:tcPr>
          <w:p>
            <w:pPr>
              <w:ind w:left="2040"/>
              <w:spacing w:after="0"/>
              <w:rPr>
                <w:sz w:val="20"/>
                <w:szCs w:val="20"/>
                <w:color w:val="auto"/>
              </w:rPr>
            </w:pPr>
            <w:r>
              <w:rPr>
                <w:rFonts w:ascii="Wingdings" w:cs="Wingdings" w:eastAsia="Wingdings" w:hAnsi="Wingdings"/>
                <w:sz w:val="17"/>
                <w:szCs w:val="17"/>
                <w:b w:val="1"/>
                <w:bCs w:val="1"/>
                <w:color w:val="592B83"/>
              </w:rPr>
              <w:t xml:space="preserve">n </w:t>
            </w:r>
            <w:r>
              <w:rPr>
                <w:rFonts w:ascii="Arial" w:cs="Arial" w:eastAsia="Arial" w:hAnsi="Arial"/>
                <w:sz w:val="14"/>
                <w:szCs w:val="14"/>
                <w:color w:val="000000"/>
              </w:rPr>
              <w:t>Biscuits &amp;</w:t>
            </w:r>
          </w:p>
        </w:tc>
      </w:tr>
      <w:tr>
        <w:trPr>
          <w:trHeight w:val="193"/>
        </w:trPr>
        <w:tc>
          <w:tcPr>
            <w:tcW w:w="4680" w:type="dxa"/>
            <w:vAlign w:val="bottom"/>
          </w:tcPr>
          <w:p>
            <w:pPr>
              <w:jc w:val="center"/>
              <w:ind w:right="1944"/>
              <w:spacing w:after="0"/>
              <w:rPr>
                <w:sz w:val="20"/>
                <w:szCs w:val="20"/>
                <w:color w:val="auto"/>
              </w:rPr>
            </w:pPr>
            <w:r>
              <w:rPr>
                <w:rFonts w:ascii="Arial" w:cs="Arial" w:eastAsia="Arial" w:hAnsi="Arial"/>
                <w:sz w:val="15"/>
                <w:szCs w:val="15"/>
                <w:b w:val="1"/>
                <w:bCs w:val="1"/>
                <w:color w:val="auto"/>
              </w:rPr>
              <w:t xml:space="preserve">APPROXIMATELY </w:t>
            </w:r>
            <w:r>
              <w:rPr>
                <w:rFonts w:ascii="Arial" w:cs="Arial" w:eastAsia="Arial" w:hAnsi="Arial"/>
                <w:sz w:val="15"/>
                <w:szCs w:val="15"/>
                <w:b w:val="1"/>
                <w:bCs w:val="1"/>
                <w:color w:val="582C83"/>
              </w:rPr>
              <w:t>91,000</w:t>
            </w:r>
          </w:p>
        </w:tc>
        <w:tc>
          <w:tcPr>
            <w:tcW w:w="3400" w:type="dxa"/>
            <w:vAlign w:val="bottom"/>
          </w:tcPr>
          <w:p>
            <w:pPr>
              <w:ind w:left="2220"/>
              <w:spacing w:after="0"/>
              <w:rPr>
                <w:sz w:val="20"/>
                <w:szCs w:val="20"/>
                <w:color w:val="auto"/>
              </w:rPr>
            </w:pPr>
            <w:r>
              <w:rPr>
                <w:rFonts w:ascii="Arial" w:cs="Arial" w:eastAsia="Arial" w:hAnsi="Arial"/>
                <w:sz w:val="14"/>
                <w:szCs w:val="14"/>
                <w:color w:val="auto"/>
              </w:rPr>
              <w:t>Baked Snacks</w:t>
            </w:r>
          </w:p>
        </w:tc>
      </w:tr>
      <w:tr>
        <w:trPr>
          <w:trHeight w:val="229"/>
        </w:trPr>
        <w:tc>
          <w:tcPr>
            <w:tcW w:w="4680" w:type="dxa"/>
            <w:vAlign w:val="bottom"/>
          </w:tcPr>
          <w:p>
            <w:pPr>
              <w:jc w:val="center"/>
              <w:ind w:right="1964"/>
              <w:spacing w:after="0"/>
              <w:rPr>
                <w:sz w:val="20"/>
                <w:szCs w:val="20"/>
                <w:color w:val="auto"/>
              </w:rPr>
            </w:pPr>
            <w:r>
              <w:rPr>
                <w:rFonts w:ascii="Arial" w:cs="Arial" w:eastAsia="Arial" w:hAnsi="Arial"/>
                <w:sz w:val="15"/>
                <w:szCs w:val="15"/>
                <w:b w:val="1"/>
                <w:bCs w:val="1"/>
                <w:color w:val="582C83"/>
              </w:rPr>
              <w:t xml:space="preserve">EMPLOYEES </w:t>
            </w:r>
            <w:r>
              <w:rPr>
                <w:rFonts w:ascii="Arial" w:cs="Arial" w:eastAsia="Arial" w:hAnsi="Arial"/>
                <w:sz w:val="15"/>
                <w:szCs w:val="15"/>
                <w:b w:val="1"/>
                <w:bCs w:val="1"/>
                <w:color w:val="000000"/>
              </w:rPr>
              <w:t>BRING OUR BRANDS</w:t>
            </w:r>
          </w:p>
        </w:tc>
        <w:tc>
          <w:tcPr>
            <w:tcW w:w="3400" w:type="dxa"/>
            <w:vAlign w:val="bottom"/>
          </w:tcPr>
          <w:p>
            <w:pPr>
              <w:ind w:left="2040"/>
              <w:spacing w:after="0"/>
              <w:rPr>
                <w:sz w:val="20"/>
                <w:szCs w:val="20"/>
                <w:color w:val="auto"/>
              </w:rPr>
            </w:pPr>
            <w:r>
              <w:rPr>
                <w:rFonts w:ascii="Wingdings" w:cs="Wingdings" w:eastAsia="Wingdings" w:hAnsi="Wingdings"/>
                <w:sz w:val="17"/>
                <w:szCs w:val="17"/>
                <w:b w:val="1"/>
                <w:bCs w:val="1"/>
                <w:color w:val="9F9F9F"/>
              </w:rPr>
              <w:t xml:space="preserve">n </w:t>
            </w:r>
            <w:r>
              <w:rPr>
                <w:rFonts w:ascii="Arial" w:cs="Arial" w:eastAsia="Arial" w:hAnsi="Arial"/>
                <w:sz w:val="14"/>
                <w:szCs w:val="14"/>
                <w:color w:val="000000"/>
              </w:rPr>
              <w:t>Chocolate</w:t>
            </w:r>
          </w:p>
        </w:tc>
      </w:tr>
      <w:tr>
        <w:trPr>
          <w:trHeight w:val="203"/>
        </w:trPr>
        <w:tc>
          <w:tcPr>
            <w:tcW w:w="4680" w:type="dxa"/>
            <w:vAlign w:val="bottom"/>
          </w:tcPr>
          <w:p>
            <w:pPr>
              <w:jc w:val="center"/>
              <w:ind w:right="1964"/>
              <w:spacing w:after="0"/>
              <w:rPr>
                <w:sz w:val="20"/>
                <w:szCs w:val="20"/>
                <w:color w:val="auto"/>
              </w:rPr>
            </w:pPr>
            <w:r>
              <w:rPr>
                <w:rFonts w:ascii="Arial" w:cs="Arial" w:eastAsia="Arial" w:hAnsi="Arial"/>
                <w:sz w:val="15"/>
                <w:szCs w:val="15"/>
                <w:b w:val="1"/>
                <w:bCs w:val="1"/>
                <w:color w:val="auto"/>
              </w:rPr>
              <w:t>TO LIFE MAKING AND BAKING OUR</w:t>
            </w:r>
          </w:p>
        </w:tc>
        <w:tc>
          <w:tcPr>
            <w:tcW w:w="3400" w:type="dxa"/>
            <w:vAlign w:val="bottom"/>
          </w:tcPr>
          <w:p>
            <w:pPr>
              <w:ind w:left="2040"/>
              <w:spacing w:after="0"/>
              <w:rPr>
                <w:sz w:val="20"/>
                <w:szCs w:val="20"/>
                <w:color w:val="auto"/>
              </w:rPr>
            </w:pPr>
            <w:r>
              <w:rPr>
                <w:rFonts w:ascii="Wingdings" w:cs="Wingdings" w:eastAsia="Wingdings" w:hAnsi="Wingdings"/>
                <w:sz w:val="17"/>
                <w:szCs w:val="17"/>
                <w:b w:val="1"/>
                <w:bCs w:val="1"/>
                <w:color w:val="9B80B5"/>
              </w:rPr>
              <w:t xml:space="preserve">n </w:t>
            </w:r>
            <w:r>
              <w:rPr>
                <w:rFonts w:ascii="Arial" w:cs="Arial" w:eastAsia="Arial" w:hAnsi="Arial"/>
                <w:sz w:val="14"/>
                <w:szCs w:val="14"/>
                <w:color w:val="000000"/>
              </w:rPr>
              <w:t>Gum &amp; Candy</w:t>
            </w:r>
          </w:p>
        </w:tc>
      </w:tr>
      <w:tr>
        <w:trPr>
          <w:trHeight w:val="241"/>
        </w:trPr>
        <w:tc>
          <w:tcPr>
            <w:tcW w:w="4680" w:type="dxa"/>
            <w:vAlign w:val="bottom"/>
          </w:tcPr>
          <w:p>
            <w:pPr>
              <w:jc w:val="center"/>
              <w:ind w:right="1944"/>
              <w:spacing w:after="0"/>
              <w:rPr>
                <w:sz w:val="20"/>
                <w:szCs w:val="20"/>
                <w:color w:val="auto"/>
              </w:rPr>
            </w:pPr>
            <w:r>
              <w:rPr>
                <w:rFonts w:ascii="Arial" w:cs="Arial" w:eastAsia="Arial" w:hAnsi="Arial"/>
                <w:sz w:val="15"/>
                <w:szCs w:val="15"/>
                <w:b w:val="1"/>
                <w:bCs w:val="1"/>
                <w:color w:val="auto"/>
              </w:rPr>
              <w:t>DELICIOUS PRODUCTS</w:t>
            </w:r>
          </w:p>
        </w:tc>
        <w:tc>
          <w:tcPr>
            <w:tcW w:w="3400" w:type="dxa"/>
            <w:vAlign w:val="bottom"/>
          </w:tcPr>
          <w:p>
            <w:pPr>
              <w:ind w:left="2040"/>
              <w:spacing w:after="0"/>
              <w:rPr>
                <w:sz w:val="20"/>
                <w:szCs w:val="20"/>
                <w:color w:val="auto"/>
              </w:rPr>
            </w:pPr>
            <w:r>
              <w:rPr>
                <w:rFonts w:ascii="Wingdings" w:cs="Wingdings" w:eastAsia="Wingdings" w:hAnsi="Wingdings"/>
                <w:sz w:val="17"/>
                <w:szCs w:val="17"/>
                <w:b w:val="1"/>
                <w:bCs w:val="1"/>
                <w:color w:val="4D4D4D"/>
                <w:w w:val="92"/>
              </w:rPr>
              <w:t xml:space="preserve">n </w:t>
            </w:r>
            <w:r>
              <w:rPr>
                <w:rFonts w:ascii="Arial" w:cs="Arial" w:eastAsia="Arial" w:hAnsi="Arial"/>
                <w:sz w:val="14"/>
                <w:szCs w:val="14"/>
                <w:color w:val="000000"/>
                <w:w w:val="92"/>
              </w:rPr>
              <w:t>Cheese &amp; Grocery</w:t>
            </w:r>
          </w:p>
        </w:tc>
      </w:tr>
      <w:tr>
        <w:trPr>
          <w:trHeight w:val="229"/>
        </w:trPr>
        <w:tc>
          <w:tcPr>
            <w:tcW w:w="4680" w:type="dxa"/>
            <w:vAlign w:val="bottom"/>
          </w:tcPr>
          <w:p>
            <w:pPr>
              <w:spacing w:after="0"/>
              <w:rPr>
                <w:sz w:val="19"/>
                <w:szCs w:val="19"/>
                <w:color w:val="auto"/>
              </w:rPr>
            </w:pPr>
          </w:p>
        </w:tc>
        <w:tc>
          <w:tcPr>
            <w:tcW w:w="3400" w:type="dxa"/>
            <w:vAlign w:val="bottom"/>
          </w:tcPr>
          <w:p>
            <w:pPr>
              <w:ind w:left="2040"/>
              <w:spacing w:after="0"/>
              <w:rPr>
                <w:sz w:val="20"/>
                <w:szCs w:val="20"/>
                <w:color w:val="auto"/>
              </w:rPr>
            </w:pPr>
            <w:r>
              <w:rPr>
                <w:rFonts w:ascii="Wingdings" w:cs="Wingdings" w:eastAsia="Wingdings" w:hAnsi="Wingdings"/>
                <w:sz w:val="17"/>
                <w:szCs w:val="17"/>
                <w:b w:val="1"/>
                <w:bCs w:val="1"/>
                <w:color w:val="DAD1E4"/>
              </w:rPr>
              <w:t xml:space="preserve">n </w:t>
            </w:r>
            <w:r>
              <w:rPr>
                <w:rFonts w:ascii="Arial" w:cs="Arial" w:eastAsia="Arial" w:hAnsi="Arial"/>
                <w:sz w:val="14"/>
                <w:szCs w:val="14"/>
                <w:color w:val="000000"/>
              </w:rPr>
              <w:t>Beverages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62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3400" w:type="dxa"/>
            <w:vAlign w:val="bottom"/>
          </w:tcPr>
          <w:p>
            <w:pPr>
              <w:ind w:left="2100"/>
              <w:spacing w:after="0"/>
              <w:rPr>
                <w:sz w:val="20"/>
                <w:szCs w:val="20"/>
                <w:color w:val="auto"/>
              </w:rPr>
            </w:pPr>
            <w:r>
              <w:rPr>
                <w:rFonts w:ascii="Wingdings" w:cs="Wingdings" w:eastAsia="Wingdings" w:hAnsi="Wingdings"/>
                <w:sz w:val="17"/>
                <w:szCs w:val="17"/>
                <w:b w:val="1"/>
                <w:bCs w:val="1"/>
                <w:color w:val="582C83"/>
                <w:w w:val="92"/>
              </w:rPr>
              <w:t xml:space="preserve">n </w:t>
            </w:r>
            <w:r>
              <w:rPr>
                <w:rFonts w:ascii="Arial" w:cs="Arial" w:eastAsia="Arial" w:hAnsi="Arial"/>
                <w:sz w:val="14"/>
                <w:szCs w:val="14"/>
                <w:color w:val="000000"/>
                <w:w w:val="92"/>
              </w:rPr>
              <w:t>Asia, Middle East</w:t>
            </w:r>
          </w:p>
        </w:tc>
      </w:tr>
      <w:tr>
        <w:trPr>
          <w:trHeight w:val="190"/>
        </w:trPr>
        <w:tc>
          <w:tcPr>
            <w:tcW w:w="4500" w:type="dxa"/>
            <w:vAlign w:val="bottom"/>
          </w:tcPr>
          <w:p>
            <w:pPr>
              <w:spacing w:after="0"/>
              <w:rPr>
                <w:sz w:val="16"/>
                <w:szCs w:val="16"/>
                <w:color w:val="auto"/>
              </w:rPr>
            </w:pPr>
          </w:p>
        </w:tc>
        <w:tc>
          <w:tcPr>
            <w:tcW w:w="3400" w:type="dxa"/>
            <w:vAlign w:val="bottom"/>
          </w:tcPr>
          <w:p>
            <w:pPr>
              <w:ind w:left="2280"/>
              <w:spacing w:after="0"/>
              <w:rPr>
                <w:sz w:val="20"/>
                <w:szCs w:val="20"/>
                <w:color w:val="auto"/>
              </w:rPr>
            </w:pPr>
            <w:r>
              <w:rPr>
                <w:rFonts w:ascii="Arial" w:cs="Arial" w:eastAsia="Arial" w:hAnsi="Arial"/>
                <w:sz w:val="14"/>
                <w:szCs w:val="14"/>
                <w:color w:val="auto"/>
              </w:rPr>
              <w:t>and Africa</w:t>
            </w:r>
          </w:p>
        </w:tc>
      </w:tr>
      <w:tr>
        <w:trPr>
          <w:trHeight w:val="219"/>
        </w:trPr>
        <w:tc>
          <w:tcPr>
            <w:tcW w:w="4500" w:type="dxa"/>
            <w:vAlign w:val="bottom"/>
          </w:tcPr>
          <w:p>
            <w:pPr>
              <w:jc w:val="center"/>
              <w:ind w:right="2044"/>
              <w:spacing w:after="0"/>
              <w:rPr>
                <w:sz w:val="20"/>
                <w:szCs w:val="20"/>
                <w:color w:val="auto"/>
              </w:rPr>
            </w:pPr>
            <w:r>
              <w:rPr>
                <w:rFonts w:ascii="Arial" w:cs="Arial" w:eastAsia="Arial" w:hAnsi="Arial"/>
                <w:sz w:val="15"/>
                <w:szCs w:val="15"/>
                <w:b w:val="1"/>
                <w:bCs w:val="1"/>
                <w:color w:val="auto"/>
              </w:rPr>
              <w:t>OUR PRODUCTS ARE ENJOYED</w:t>
            </w:r>
          </w:p>
        </w:tc>
        <w:tc>
          <w:tcPr>
            <w:tcW w:w="3400" w:type="dxa"/>
            <w:vAlign w:val="bottom"/>
          </w:tcPr>
          <w:p>
            <w:pPr>
              <w:ind w:left="2100"/>
              <w:spacing w:after="0"/>
              <w:rPr>
                <w:sz w:val="20"/>
                <w:szCs w:val="20"/>
                <w:color w:val="auto"/>
              </w:rPr>
            </w:pPr>
            <w:r>
              <w:rPr>
                <w:rFonts w:ascii="Wingdings" w:cs="Wingdings" w:eastAsia="Wingdings" w:hAnsi="Wingdings"/>
                <w:sz w:val="17"/>
                <w:szCs w:val="17"/>
                <w:b w:val="1"/>
                <w:bCs w:val="1"/>
                <w:color w:val="808080"/>
              </w:rPr>
              <w:t xml:space="preserve">n </w:t>
            </w:r>
            <w:r>
              <w:rPr>
                <w:rFonts w:ascii="Arial" w:cs="Arial" w:eastAsia="Arial" w:hAnsi="Arial"/>
                <w:sz w:val="14"/>
                <w:szCs w:val="14"/>
                <w:color w:val="000000"/>
              </w:rPr>
              <w:t>Europe</w:t>
            </w:r>
          </w:p>
        </w:tc>
      </w:tr>
      <w:tr>
        <w:trPr>
          <w:trHeight w:val="215"/>
        </w:trPr>
        <w:tc>
          <w:tcPr>
            <w:tcW w:w="4500" w:type="dxa"/>
            <w:vAlign w:val="bottom"/>
          </w:tcPr>
          <w:p>
            <w:pPr>
              <w:jc w:val="center"/>
              <w:ind w:right="2064"/>
              <w:spacing w:after="0"/>
              <w:rPr>
                <w:sz w:val="20"/>
                <w:szCs w:val="20"/>
                <w:color w:val="auto"/>
              </w:rPr>
            </w:pPr>
            <w:r>
              <w:rPr>
                <w:rFonts w:ascii="Arial" w:cs="Arial" w:eastAsia="Arial" w:hAnsi="Arial"/>
                <w:sz w:val="15"/>
                <w:szCs w:val="15"/>
                <w:b w:val="1"/>
                <w:bCs w:val="1"/>
                <w:color w:val="auto"/>
              </w:rPr>
              <w:t xml:space="preserve">IN OVER </w:t>
            </w:r>
            <w:r>
              <w:rPr>
                <w:rFonts w:ascii="Arial" w:cs="Arial" w:eastAsia="Arial" w:hAnsi="Arial"/>
                <w:sz w:val="15"/>
                <w:szCs w:val="15"/>
                <w:b w:val="1"/>
                <w:bCs w:val="1"/>
                <w:color w:val="582C83"/>
              </w:rPr>
              <w:t>150+ COUNTRIES</w:t>
            </w:r>
          </w:p>
        </w:tc>
        <w:tc>
          <w:tcPr>
            <w:tcW w:w="3400" w:type="dxa"/>
            <w:vAlign w:val="bottom"/>
          </w:tcPr>
          <w:p>
            <w:pPr>
              <w:ind w:left="2100"/>
              <w:spacing w:after="0"/>
              <w:rPr>
                <w:sz w:val="20"/>
                <w:szCs w:val="20"/>
                <w:color w:val="auto"/>
              </w:rPr>
            </w:pPr>
            <w:r>
              <w:rPr>
                <w:rFonts w:ascii="Wingdings" w:cs="Wingdings" w:eastAsia="Wingdings" w:hAnsi="Wingdings"/>
                <w:sz w:val="17"/>
                <w:szCs w:val="17"/>
                <w:b w:val="1"/>
                <w:bCs w:val="1"/>
                <w:color w:val="9B80B5"/>
              </w:rPr>
              <w:t xml:space="preserve">n </w:t>
            </w:r>
            <w:r>
              <w:rPr>
                <w:rFonts w:ascii="Arial" w:cs="Arial" w:eastAsia="Arial" w:hAnsi="Arial"/>
                <w:sz w:val="14"/>
                <w:szCs w:val="14"/>
                <w:color w:val="000000"/>
              </w:rPr>
              <w:t>North America</w:t>
            </w:r>
          </w:p>
        </w:tc>
      </w:tr>
      <w:tr>
        <w:trPr>
          <w:trHeight w:val="210"/>
        </w:trPr>
        <w:tc>
          <w:tcPr>
            <w:tcW w:w="4500" w:type="dxa"/>
            <w:vAlign w:val="bottom"/>
          </w:tcPr>
          <w:p>
            <w:pPr>
              <w:jc w:val="center"/>
              <w:ind w:right="2064"/>
              <w:spacing w:after="0"/>
              <w:rPr>
                <w:sz w:val="20"/>
                <w:szCs w:val="20"/>
                <w:color w:val="auto"/>
              </w:rPr>
            </w:pPr>
            <w:r>
              <w:rPr>
                <w:rFonts w:ascii="Arial" w:cs="Arial" w:eastAsia="Arial" w:hAnsi="Arial"/>
                <w:sz w:val="15"/>
                <w:szCs w:val="15"/>
                <w:b w:val="1"/>
                <w:bCs w:val="1"/>
                <w:color w:val="auto"/>
              </w:rPr>
              <w:t>AROUND THE WORLD</w:t>
            </w:r>
          </w:p>
        </w:tc>
        <w:tc>
          <w:tcPr>
            <w:tcW w:w="3400" w:type="dxa"/>
            <w:vAlign w:val="bottom"/>
          </w:tcPr>
          <w:p>
            <w:pPr>
              <w:ind w:left="2100"/>
              <w:spacing w:after="0"/>
              <w:rPr>
                <w:sz w:val="20"/>
                <w:szCs w:val="20"/>
                <w:color w:val="auto"/>
              </w:rPr>
            </w:pPr>
            <w:r>
              <w:rPr>
                <w:rFonts w:ascii="Wingdings" w:cs="Wingdings" w:eastAsia="Wingdings" w:hAnsi="Wingdings"/>
                <w:sz w:val="17"/>
                <w:szCs w:val="17"/>
                <w:b w:val="1"/>
                <w:bCs w:val="1"/>
                <w:color w:val="4D4D4D"/>
              </w:rPr>
              <w:t xml:space="preserve">n </w:t>
            </w:r>
            <w:r>
              <w:rPr>
                <w:rFonts w:ascii="Arial" w:cs="Arial" w:eastAsia="Arial" w:hAnsi="Arial"/>
                <w:sz w:val="14"/>
                <w:szCs w:val="14"/>
                <w:color w:val="000000"/>
              </w:rPr>
              <w:t>Latin America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DIRECTOR NOMINEES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ELECTION OF DIRECTORS – NOMINEES</w:t>
      </w:r>
    </w:p>
    <w:p>
      <w:pPr>
        <w:spacing w:after="0" w:line="118" w:lineRule="exact"/>
        <w:rPr>
          <w:sz w:val="20"/>
          <w:szCs w:val="20"/>
          <w:color w:val="auto"/>
        </w:rPr>
      </w:pPr>
    </w:p>
    <w:p>
      <w:pPr>
        <w:jc w:val="both"/>
        <w:ind w:right="79"/>
        <w:spacing w:after="0" w:line="282" w:lineRule="auto"/>
        <w:rPr>
          <w:sz w:val="20"/>
          <w:szCs w:val="20"/>
          <w:color w:val="auto"/>
        </w:rPr>
      </w:pPr>
      <w:r>
        <w:rPr>
          <w:rFonts w:ascii="Arial" w:cs="Arial" w:eastAsia="Arial" w:hAnsi="Arial"/>
          <w:sz w:val="17"/>
          <w:szCs w:val="17"/>
          <w:color w:val="auto"/>
        </w:rPr>
        <w:t>The Board nominated each of the 10 incumbent directors listed here. The Director nominees vary in age from 59 to 70, include four women, and collectively bring a range of professional and life experiences to the Board. Three self-identify as Black and seven self-identify as White. Directors are elected for a term of one year. Additional information about the director nominees is provided under “Director Nominees for Election at the Annual Meeting” on page 23.</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582C83"/>
        </w:rPr>
        <w:t>Director Nominee Tenure and Age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900"/>
        <w:spacing w:after="0"/>
        <w:rPr>
          <w:sz w:val="20"/>
          <w:szCs w:val="20"/>
          <w:color w:val="auto"/>
        </w:rPr>
      </w:pPr>
      <w:r>
        <w:rPr>
          <w:rFonts w:ascii="Arial" w:cs="Arial" w:eastAsia="Arial" w:hAnsi="Arial"/>
          <w:sz w:val="20"/>
          <w:szCs w:val="20"/>
          <w:b w:val="1"/>
          <w:bCs w:val="1"/>
          <w:color w:val="582C83"/>
        </w:rPr>
        <w:t>Global</w:t>
      </w:r>
    </w:p>
    <w:p>
      <w:pPr>
        <w:spacing w:after="0" w:line="20" w:lineRule="exact"/>
        <w:rPr>
          <w:sz w:val="20"/>
          <w:szCs w:val="20"/>
          <w:color w:val="auto"/>
        </w:rPr>
      </w:pPr>
    </w:p>
    <w:p>
      <w:pPr>
        <w:ind w:left="6900"/>
        <w:spacing w:after="0"/>
        <w:rPr>
          <w:sz w:val="20"/>
          <w:szCs w:val="20"/>
          <w:color w:val="auto"/>
        </w:rPr>
      </w:pPr>
      <w:r>
        <w:rPr>
          <w:rFonts w:ascii="Arial" w:cs="Arial" w:eastAsia="Arial" w:hAnsi="Arial"/>
          <w:sz w:val="20"/>
          <w:szCs w:val="20"/>
          <w:b w:val="1"/>
          <w:bCs w:val="1"/>
          <w:color w:val="582C83"/>
        </w:rPr>
        <w:t>Perspective</w:t>
      </w:r>
    </w:p>
    <w:p>
      <w:pPr>
        <w:spacing w:after="0" w:line="177" w:lineRule="exact"/>
        <w:rPr>
          <w:sz w:val="20"/>
          <w:szCs w:val="20"/>
          <w:color w:val="auto"/>
        </w:rPr>
      </w:pPr>
    </w:p>
    <w:p>
      <w:pPr>
        <w:ind w:left="6080" w:right="599" w:hanging="211"/>
        <w:spacing w:after="0" w:line="233" w:lineRule="auto"/>
        <w:rPr>
          <w:sz w:val="20"/>
          <w:szCs w:val="20"/>
          <w:color w:val="auto"/>
        </w:rPr>
      </w:pPr>
      <w:r>
        <w:rPr>
          <w:rFonts w:ascii="Arial" w:cs="Arial" w:eastAsia="Arial" w:hAnsi="Arial"/>
          <w:sz w:val="22"/>
          <w:szCs w:val="22"/>
          <w:b w:val="1"/>
          <w:bCs w:val="1"/>
          <w:color w:val="582C83"/>
        </w:rPr>
        <w:t xml:space="preserve">All 10 </w:t>
      </w:r>
      <w:r>
        <w:rPr>
          <w:rFonts w:ascii="Arial" w:cs="Arial" w:eastAsia="Arial" w:hAnsi="Arial"/>
          <w:sz w:val="14"/>
          <w:szCs w:val="14"/>
          <w:color w:val="000000"/>
        </w:rPr>
        <w:t>directors have global business</w:t>
      </w:r>
      <w:r>
        <w:rPr>
          <w:rFonts w:ascii="Arial" w:cs="Arial" w:eastAsia="Arial" w:hAnsi="Arial"/>
          <w:sz w:val="22"/>
          <w:szCs w:val="22"/>
          <w:b w:val="1"/>
          <w:bCs w:val="1"/>
          <w:color w:val="582C83"/>
        </w:rPr>
        <w:t xml:space="preserve"> </w:t>
      </w:r>
      <w:r>
        <w:rPr>
          <w:rFonts w:ascii="Arial" w:cs="Arial" w:eastAsia="Arial" w:hAnsi="Arial"/>
          <w:sz w:val="14"/>
          <w:szCs w:val="14"/>
          <w:color w:val="000000"/>
        </w:rPr>
        <w:t>and other international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12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25107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10375" cy="2510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79"/>
        <w:spacing w:after="0"/>
        <w:rPr>
          <w:sz w:val="20"/>
          <w:szCs w:val="20"/>
          <w:color w:val="auto"/>
        </w:rPr>
      </w:pPr>
      <w:r>
        <w:rPr>
          <w:rFonts w:ascii="Arial" w:cs="Arial" w:eastAsia="Arial" w:hAnsi="Arial"/>
          <w:sz w:val="22"/>
          <w:szCs w:val="22"/>
          <w:b w:val="1"/>
          <w:bCs w:val="1"/>
          <w:color w:val="auto"/>
        </w:rPr>
        <w:t>PROXY STATEMENT SUMMARY</w:t>
      </w:r>
    </w:p>
    <w:p>
      <w:pPr>
        <w:spacing w:after="0" w:line="37" w:lineRule="exact"/>
        <w:rPr>
          <w:sz w:val="20"/>
          <w:szCs w:val="20"/>
          <w:color w:val="auto"/>
        </w:rPr>
      </w:pPr>
    </w:p>
    <w:p>
      <w:pPr>
        <w:jc w:val="right"/>
        <w:ind w:right="39"/>
        <w:spacing w:after="0"/>
        <w:rPr>
          <w:sz w:val="20"/>
          <w:szCs w:val="20"/>
          <w:color w:val="auto"/>
        </w:rPr>
      </w:pPr>
      <w:r>
        <w:rPr>
          <w:rFonts w:ascii="Arial" w:cs="Arial" w:eastAsia="Arial" w:hAnsi="Arial"/>
          <w:sz w:val="14"/>
          <w:szCs w:val="14"/>
          <w:color w:val="auto"/>
        </w:rPr>
        <w:t>Director Nominees</w:t>
      </w:r>
    </w:p>
    <w:p>
      <w:pPr>
        <w:sectPr>
          <w:pgSz w:w="11900" w:h="16838" w:orient="portrait"/>
          <w:cols w:equalWidth="0" w:num="1">
            <w:col w:w="9039"/>
          </w:cols>
          <w:pgMar w:left="1420" w:top="308" w:right="1440" w:bottom="1440" w:gutter="0" w:footer="0" w:header="0"/>
        </w:sect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 at a Glance</w:t>
      </w:r>
    </w:p>
    <w:p>
      <w:pPr>
        <w:sectPr>
          <w:pgSz w:w="11900" w:h="16838" w:orient="portrait"/>
          <w:cols w:equalWidth="0" w:num="1">
            <w:col w:w="9039"/>
          </w:cols>
          <w:pgMar w:left="1420" w:top="308" w:right="1440" w:bottom="1440" w:gutter="0" w:footer="0" w:header="0"/>
          <w:type w:val="continuous"/>
        </w:sectPr>
      </w:pPr>
    </w:p>
    <w:bookmarkStart w:id="13" w:name="page14"/>
    <w:bookmarkEnd w:id="13"/>
    <w:p>
      <w:pPr>
        <w:spacing w:after="0" w:line="2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3455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10375" cy="6345555"/>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164"/>
        </w:trPr>
        <w:tc>
          <w:tcPr>
            <w:tcW w:w="2180" w:type="dxa"/>
            <w:vAlign w:val="bottom"/>
          </w:tcPr>
          <w:p>
            <w:pPr>
              <w:jc w:val="center"/>
              <w:ind w:right="37"/>
              <w:spacing w:after="0"/>
              <w:rPr>
                <w:sz w:val="20"/>
                <w:szCs w:val="20"/>
                <w:color w:val="auto"/>
              </w:rPr>
            </w:pPr>
            <w:r>
              <w:rPr>
                <w:rFonts w:ascii="Arial" w:cs="Arial" w:eastAsia="Arial" w:hAnsi="Arial"/>
                <w:sz w:val="14"/>
                <w:szCs w:val="14"/>
                <w:b w:val="1"/>
                <w:bCs w:val="1"/>
                <w:color w:val="582C83"/>
              </w:rPr>
              <w:t>Ertharin Cousin</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582C83"/>
              </w:rPr>
              <w:t>Cees ‘t Hart</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7030A0"/>
              </w:rPr>
              <w:t>Nancy McKinstry</w:t>
            </w:r>
          </w:p>
        </w:tc>
        <w:tc>
          <w:tcPr>
            <w:tcW w:w="2200" w:type="dxa"/>
            <w:vAlign w:val="bottom"/>
          </w:tcPr>
          <w:p>
            <w:pPr>
              <w:jc w:val="center"/>
              <w:ind w:left="8"/>
              <w:spacing w:after="0"/>
              <w:rPr>
                <w:sz w:val="20"/>
                <w:szCs w:val="20"/>
                <w:color w:val="auto"/>
              </w:rPr>
            </w:pPr>
            <w:r>
              <w:rPr>
                <w:rFonts w:ascii="Arial" w:cs="Arial" w:eastAsia="Arial" w:hAnsi="Arial"/>
                <w:sz w:val="14"/>
                <w:szCs w:val="14"/>
                <w:b w:val="1"/>
                <w:bCs w:val="1"/>
                <w:color w:val="582C83"/>
              </w:rPr>
              <w:t>Brian J. McNamara</w:t>
            </w:r>
          </w:p>
        </w:tc>
        <w:tc>
          <w:tcPr>
            <w:tcW w:w="0" w:type="dxa"/>
            <w:vAlign w:val="bottom"/>
          </w:tcPr>
          <w:p>
            <w:pPr>
              <w:spacing w:after="0"/>
              <w:rPr>
                <w:sz w:val="1"/>
                <w:szCs w:val="1"/>
                <w:color w:val="auto"/>
              </w:rPr>
            </w:pPr>
          </w:p>
        </w:tc>
      </w:tr>
      <w:tr>
        <w:trPr>
          <w:trHeight w:val="162"/>
        </w:trPr>
        <w:tc>
          <w:tcPr>
            <w:tcW w:w="2180" w:type="dxa"/>
            <w:vAlign w:val="bottom"/>
          </w:tcPr>
          <w:p>
            <w:pPr>
              <w:jc w:val="center"/>
              <w:ind w:right="37"/>
              <w:spacing w:after="0"/>
              <w:rPr>
                <w:sz w:val="20"/>
                <w:szCs w:val="20"/>
                <w:color w:val="auto"/>
              </w:rPr>
            </w:pPr>
            <w:r>
              <w:rPr>
                <w:rFonts w:ascii="Arial" w:cs="Arial" w:eastAsia="Arial" w:hAnsi="Arial"/>
                <w:sz w:val="14"/>
                <w:szCs w:val="14"/>
                <w:i w:val="1"/>
                <w:iCs w:val="1"/>
                <w:color w:val="auto"/>
              </w:rPr>
              <w:t>Founder, President and Chief</w:t>
            </w:r>
          </w:p>
        </w:tc>
        <w:tc>
          <w:tcPr>
            <w:tcW w:w="2220" w:type="dxa"/>
            <w:vAlign w:val="bottom"/>
          </w:tcPr>
          <w:p>
            <w:pPr>
              <w:jc w:val="center"/>
              <w:spacing w:after="0"/>
              <w:rPr>
                <w:sz w:val="20"/>
                <w:szCs w:val="20"/>
                <w:color w:val="auto"/>
              </w:rPr>
            </w:pPr>
            <w:r>
              <w:rPr>
                <w:rFonts w:ascii="Arial" w:cs="Arial" w:eastAsia="Arial" w:hAnsi="Arial"/>
                <w:sz w:val="14"/>
                <w:szCs w:val="14"/>
                <w:i w:val="1"/>
                <w:iCs w:val="1"/>
                <w:color w:val="auto"/>
              </w:rPr>
              <w:t>Former Chief Executive Officer,</w:t>
            </w:r>
          </w:p>
        </w:tc>
        <w:tc>
          <w:tcPr>
            <w:tcW w:w="2260" w:type="dxa"/>
            <w:vAlign w:val="bottom"/>
          </w:tcPr>
          <w:p>
            <w:pPr>
              <w:jc w:val="center"/>
              <w:spacing w:after="0"/>
              <w:rPr>
                <w:sz w:val="20"/>
                <w:szCs w:val="20"/>
                <w:color w:val="auto"/>
              </w:rPr>
            </w:pPr>
            <w:r>
              <w:rPr>
                <w:rFonts w:ascii="Arial" w:cs="Arial" w:eastAsia="Arial" w:hAnsi="Arial"/>
                <w:sz w:val="14"/>
                <w:szCs w:val="14"/>
                <w:i w:val="1"/>
                <w:iCs w:val="1"/>
                <w:color w:val="auto"/>
              </w:rPr>
              <w:t>Former Chief Executive Officer</w:t>
            </w:r>
          </w:p>
        </w:tc>
        <w:tc>
          <w:tcPr>
            <w:tcW w:w="2200" w:type="dxa"/>
            <w:vAlign w:val="bottom"/>
          </w:tcPr>
          <w:p>
            <w:pPr>
              <w:jc w:val="center"/>
              <w:spacing w:after="0"/>
              <w:rPr>
                <w:sz w:val="20"/>
                <w:szCs w:val="20"/>
                <w:color w:val="auto"/>
              </w:rPr>
            </w:pPr>
            <w:r>
              <w:rPr>
                <w:rFonts w:ascii="Arial" w:cs="Arial" w:eastAsia="Arial" w:hAnsi="Arial"/>
                <w:sz w:val="14"/>
                <w:szCs w:val="14"/>
                <w:i w:val="1"/>
                <w:iCs w:val="1"/>
                <w:color w:val="auto"/>
              </w:rPr>
              <w:t>Chief Executive Officer,</w:t>
            </w:r>
          </w:p>
        </w:tc>
        <w:tc>
          <w:tcPr>
            <w:tcW w:w="0" w:type="dxa"/>
            <w:vAlign w:val="bottom"/>
          </w:tcPr>
          <w:p>
            <w:pPr>
              <w:spacing w:after="0"/>
              <w:rPr>
                <w:sz w:val="1"/>
                <w:szCs w:val="1"/>
                <w:color w:val="auto"/>
              </w:rPr>
            </w:pPr>
          </w:p>
        </w:tc>
      </w:tr>
      <w:tr>
        <w:trPr>
          <w:trHeight w:val="161"/>
        </w:trPr>
        <w:tc>
          <w:tcPr>
            <w:tcW w:w="2180" w:type="dxa"/>
            <w:vAlign w:val="bottom"/>
          </w:tcPr>
          <w:p>
            <w:pPr>
              <w:jc w:val="center"/>
              <w:ind w:right="37"/>
              <w:spacing w:after="0"/>
              <w:rPr>
                <w:sz w:val="20"/>
                <w:szCs w:val="20"/>
                <w:color w:val="auto"/>
              </w:rPr>
            </w:pPr>
            <w:r>
              <w:rPr>
                <w:rFonts w:ascii="Arial" w:cs="Arial" w:eastAsia="Arial" w:hAnsi="Arial"/>
                <w:sz w:val="14"/>
                <w:szCs w:val="14"/>
                <w:i w:val="1"/>
                <w:iCs w:val="1"/>
                <w:color w:val="auto"/>
              </w:rPr>
              <w:t>Executive Officer, Food Systems</w:t>
            </w:r>
          </w:p>
        </w:tc>
        <w:tc>
          <w:tcPr>
            <w:tcW w:w="2220" w:type="dxa"/>
            <w:vAlign w:val="bottom"/>
          </w:tcPr>
          <w:p>
            <w:pPr>
              <w:jc w:val="center"/>
              <w:spacing w:after="0"/>
              <w:rPr>
                <w:sz w:val="20"/>
                <w:szCs w:val="20"/>
                <w:color w:val="auto"/>
              </w:rPr>
            </w:pPr>
            <w:r>
              <w:rPr>
                <w:rFonts w:ascii="Arial" w:cs="Arial" w:eastAsia="Arial" w:hAnsi="Arial"/>
                <w:sz w:val="14"/>
                <w:szCs w:val="14"/>
                <w:i w:val="1"/>
                <w:iCs w:val="1"/>
                <w:color w:val="auto"/>
              </w:rPr>
              <w:t>Carlsberg Group</w:t>
            </w:r>
          </w:p>
        </w:tc>
        <w:tc>
          <w:tcPr>
            <w:tcW w:w="2260" w:type="dxa"/>
            <w:vAlign w:val="bottom"/>
          </w:tcPr>
          <w:p>
            <w:pPr>
              <w:jc w:val="center"/>
              <w:spacing w:after="0"/>
              <w:rPr>
                <w:sz w:val="20"/>
                <w:szCs w:val="20"/>
                <w:color w:val="auto"/>
              </w:rPr>
            </w:pPr>
            <w:r>
              <w:rPr>
                <w:rFonts w:ascii="Arial" w:cs="Arial" w:eastAsia="Arial" w:hAnsi="Arial"/>
                <w:sz w:val="14"/>
                <w:szCs w:val="14"/>
                <w:i w:val="1"/>
                <w:iCs w:val="1"/>
                <w:color w:val="auto"/>
              </w:rPr>
              <w:t>and</w:t>
            </w:r>
          </w:p>
        </w:tc>
        <w:tc>
          <w:tcPr>
            <w:tcW w:w="2200" w:type="dxa"/>
            <w:vAlign w:val="bottom"/>
          </w:tcPr>
          <w:p>
            <w:pPr>
              <w:jc w:val="center"/>
              <w:ind w:left="8"/>
              <w:spacing w:after="0"/>
              <w:rPr>
                <w:sz w:val="20"/>
                <w:szCs w:val="20"/>
                <w:color w:val="auto"/>
              </w:rPr>
            </w:pPr>
            <w:r>
              <w:rPr>
                <w:rFonts w:ascii="Arial" w:cs="Arial" w:eastAsia="Arial" w:hAnsi="Arial"/>
                <w:sz w:val="14"/>
                <w:szCs w:val="14"/>
                <w:i w:val="1"/>
                <w:iCs w:val="1"/>
                <w:color w:val="auto"/>
              </w:rPr>
              <w:t>Haleon plc</w:t>
            </w:r>
          </w:p>
        </w:tc>
        <w:tc>
          <w:tcPr>
            <w:tcW w:w="0" w:type="dxa"/>
            <w:vAlign w:val="bottom"/>
          </w:tcPr>
          <w:p>
            <w:pPr>
              <w:spacing w:after="0"/>
              <w:rPr>
                <w:sz w:val="1"/>
                <w:szCs w:val="1"/>
                <w:color w:val="auto"/>
              </w:rPr>
            </w:pPr>
          </w:p>
        </w:tc>
      </w:tr>
      <w:tr>
        <w:trPr>
          <w:trHeight w:val="148"/>
        </w:trPr>
        <w:tc>
          <w:tcPr>
            <w:tcW w:w="2180" w:type="dxa"/>
            <w:vAlign w:val="bottom"/>
          </w:tcPr>
          <w:p>
            <w:pPr>
              <w:jc w:val="center"/>
              <w:ind w:right="17"/>
              <w:spacing w:after="0" w:line="148" w:lineRule="exact"/>
              <w:rPr>
                <w:sz w:val="20"/>
                <w:szCs w:val="20"/>
                <w:color w:val="auto"/>
              </w:rPr>
            </w:pPr>
            <w:r>
              <w:rPr>
                <w:rFonts w:ascii="Arial" w:cs="Arial" w:eastAsia="Arial" w:hAnsi="Arial"/>
                <w:sz w:val="14"/>
                <w:szCs w:val="14"/>
                <w:i w:val="1"/>
                <w:iCs w:val="1"/>
                <w:color w:val="auto"/>
              </w:rPr>
              <w:t>for the Future Institute and</w:t>
            </w:r>
          </w:p>
        </w:tc>
        <w:tc>
          <w:tcPr>
            <w:tcW w:w="2220" w:type="dxa"/>
            <w:vAlign w:val="bottom"/>
          </w:tcPr>
          <w:p>
            <w:pPr>
              <w:jc w:val="center"/>
              <w:spacing w:after="0" w:line="148" w:lineRule="exact"/>
              <w:rPr>
                <w:sz w:val="20"/>
                <w:szCs w:val="20"/>
                <w:color w:val="auto"/>
              </w:rPr>
            </w:pPr>
            <w:r>
              <w:rPr>
                <w:rFonts w:ascii="Arial" w:cs="Arial" w:eastAsia="Arial" w:hAnsi="Arial"/>
                <w:sz w:val="14"/>
                <w:szCs w:val="14"/>
                <w:color w:val="auto"/>
              </w:rPr>
              <w:t>Director since 2023</w:t>
            </w:r>
          </w:p>
        </w:tc>
        <w:tc>
          <w:tcPr>
            <w:tcW w:w="226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Chair of the Executive Board,</w:t>
            </w:r>
          </w:p>
        </w:tc>
        <w:tc>
          <w:tcPr>
            <w:tcW w:w="2200" w:type="dxa"/>
            <w:vAlign w:val="bottom"/>
          </w:tcPr>
          <w:p>
            <w:pPr>
              <w:jc w:val="center"/>
              <w:ind w:left="8"/>
              <w:spacing w:after="0" w:line="148" w:lineRule="exact"/>
              <w:rPr>
                <w:sz w:val="20"/>
                <w:szCs w:val="20"/>
                <w:color w:val="auto"/>
              </w:rPr>
            </w:pPr>
            <w:r>
              <w:rPr>
                <w:rFonts w:ascii="Arial" w:cs="Arial" w:eastAsia="Arial" w:hAnsi="Arial"/>
                <w:sz w:val="14"/>
                <w:szCs w:val="14"/>
                <w:color w:val="auto"/>
              </w:rPr>
              <w:t>Director since 2024</w:t>
            </w:r>
          </w:p>
        </w:tc>
        <w:tc>
          <w:tcPr>
            <w:tcW w:w="0" w:type="dxa"/>
            <w:vAlign w:val="bottom"/>
          </w:tcPr>
          <w:p>
            <w:pPr>
              <w:spacing w:after="0"/>
              <w:rPr>
                <w:sz w:val="1"/>
                <w:szCs w:val="1"/>
                <w:color w:val="auto"/>
              </w:rPr>
            </w:pPr>
          </w:p>
        </w:tc>
      </w:tr>
      <w:tr>
        <w:trPr>
          <w:trHeight w:val="56"/>
        </w:trPr>
        <w:tc>
          <w:tcPr>
            <w:tcW w:w="2180" w:type="dxa"/>
            <w:vAlign w:val="bottom"/>
            <w:vMerge w:val="restart"/>
          </w:tcPr>
          <w:p>
            <w:pPr>
              <w:jc w:val="center"/>
              <w:ind w:right="17"/>
              <w:spacing w:after="0"/>
              <w:rPr>
                <w:sz w:val="20"/>
                <w:szCs w:val="20"/>
                <w:color w:val="auto"/>
              </w:rPr>
            </w:pPr>
            <w:r>
              <w:rPr>
                <w:rFonts w:ascii="Arial" w:cs="Arial" w:eastAsia="Arial" w:hAnsi="Arial"/>
                <w:sz w:val="14"/>
                <w:szCs w:val="14"/>
                <w:i w:val="1"/>
                <w:iCs w:val="1"/>
                <w:color w:val="auto"/>
              </w:rPr>
              <w:t>Former Executive Director of the</w:t>
            </w:r>
          </w:p>
        </w:tc>
        <w:tc>
          <w:tcPr>
            <w:tcW w:w="2220" w:type="dxa"/>
            <w:vAlign w:val="bottom"/>
            <w:vMerge w:val="restart"/>
          </w:tcPr>
          <w:p>
            <w:pPr>
              <w:jc w:val="center"/>
              <w:spacing w:after="0"/>
              <w:rPr>
                <w:sz w:val="20"/>
                <w:szCs w:val="20"/>
                <w:color w:val="auto"/>
              </w:rPr>
            </w:pPr>
            <w:r>
              <w:rPr>
                <w:rFonts w:ascii="Arial" w:cs="Arial" w:eastAsia="Arial" w:hAnsi="Arial"/>
                <w:sz w:val="14"/>
                <w:szCs w:val="14"/>
                <w:color w:val="auto"/>
              </w:rPr>
              <w:t>Age: 67</w:t>
            </w:r>
          </w:p>
        </w:tc>
        <w:tc>
          <w:tcPr>
            <w:tcW w:w="2260" w:type="dxa"/>
            <w:vAlign w:val="bottom"/>
            <w:vMerge w:val="continue"/>
          </w:tcPr>
          <w:p>
            <w:pPr>
              <w:spacing w:after="0"/>
              <w:rPr>
                <w:sz w:val="4"/>
                <w:szCs w:val="4"/>
                <w:color w:val="auto"/>
              </w:rPr>
            </w:pPr>
          </w:p>
        </w:tc>
        <w:tc>
          <w:tcPr>
            <w:tcW w:w="2200" w:type="dxa"/>
            <w:vAlign w:val="bottom"/>
            <w:vMerge w:val="restart"/>
          </w:tcPr>
          <w:p>
            <w:pPr>
              <w:jc w:val="center"/>
              <w:ind w:left="8"/>
              <w:spacing w:after="0"/>
              <w:rPr>
                <w:sz w:val="20"/>
                <w:szCs w:val="20"/>
                <w:color w:val="auto"/>
              </w:rPr>
            </w:pPr>
            <w:r>
              <w:rPr>
                <w:rFonts w:ascii="Arial" w:cs="Arial" w:eastAsia="Arial" w:hAnsi="Arial"/>
                <w:sz w:val="14"/>
                <w:szCs w:val="14"/>
                <w:color w:val="auto"/>
                <w:w w:val="99"/>
              </w:rPr>
              <w:t>Age: 59</w:t>
            </w:r>
          </w:p>
        </w:tc>
        <w:tc>
          <w:tcPr>
            <w:tcW w:w="0" w:type="dxa"/>
            <w:vAlign w:val="bottom"/>
          </w:tcPr>
          <w:p>
            <w:pPr>
              <w:spacing w:after="0"/>
              <w:rPr>
                <w:sz w:val="1"/>
                <w:szCs w:val="1"/>
                <w:color w:val="auto"/>
              </w:rPr>
            </w:pPr>
          </w:p>
        </w:tc>
      </w:tr>
      <w:tr>
        <w:trPr>
          <w:trHeight w:val="106"/>
        </w:trPr>
        <w:tc>
          <w:tcPr>
            <w:tcW w:w="2180" w:type="dxa"/>
            <w:vAlign w:val="bottom"/>
            <w:vMerge w:val="continue"/>
          </w:tcPr>
          <w:p>
            <w:pPr>
              <w:spacing w:after="0"/>
              <w:rPr>
                <w:sz w:val="9"/>
                <w:szCs w:val="9"/>
                <w:color w:val="auto"/>
              </w:rPr>
            </w:pPr>
          </w:p>
        </w:tc>
        <w:tc>
          <w:tcPr>
            <w:tcW w:w="2220" w:type="dxa"/>
            <w:vAlign w:val="bottom"/>
            <w:vMerge w:val="continue"/>
          </w:tcPr>
          <w:p>
            <w:pPr>
              <w:spacing w:after="0"/>
              <w:rPr>
                <w:sz w:val="9"/>
                <w:szCs w:val="9"/>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Wolters Kluwer N.V.</w:t>
            </w:r>
          </w:p>
        </w:tc>
        <w:tc>
          <w:tcPr>
            <w:tcW w:w="2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180" w:type="dxa"/>
            <w:vAlign w:val="bottom"/>
            <w:vMerge w:val="restart"/>
          </w:tcPr>
          <w:p>
            <w:pPr>
              <w:jc w:val="center"/>
              <w:ind w:right="17"/>
              <w:spacing w:after="0"/>
              <w:rPr>
                <w:sz w:val="20"/>
                <w:szCs w:val="20"/>
                <w:color w:val="auto"/>
              </w:rPr>
            </w:pPr>
            <w:r>
              <w:rPr>
                <w:rFonts w:ascii="Arial" w:cs="Arial" w:eastAsia="Arial" w:hAnsi="Arial"/>
                <w:sz w:val="14"/>
                <w:szCs w:val="14"/>
                <w:i w:val="1"/>
                <w:iCs w:val="1"/>
                <w:color w:val="auto"/>
              </w:rPr>
              <w:t>United Nations World Food</w:t>
            </w:r>
          </w:p>
        </w:tc>
        <w:tc>
          <w:tcPr>
            <w:tcW w:w="2220" w:type="dxa"/>
            <w:vAlign w:val="bottom"/>
            <w:vMerge w:val="restart"/>
          </w:tcPr>
          <w:p>
            <w:pPr>
              <w:jc w:val="center"/>
              <w:spacing w:after="0"/>
              <w:rPr>
                <w:sz w:val="20"/>
                <w:szCs w:val="20"/>
                <w:color w:val="auto"/>
              </w:rPr>
            </w:pPr>
            <w:r>
              <w:rPr>
                <w:rFonts w:ascii="Arial" w:cs="Arial" w:eastAsia="Arial" w:hAnsi="Arial"/>
                <w:sz w:val="14"/>
                <w:szCs w:val="14"/>
                <w:b w:val="1"/>
                <w:bCs w:val="1"/>
                <w:color w:val="582C83"/>
              </w:rPr>
              <w:t>INDEPENDENT</w:t>
            </w:r>
          </w:p>
        </w:tc>
        <w:tc>
          <w:tcPr>
            <w:tcW w:w="2260" w:type="dxa"/>
            <w:vAlign w:val="bottom"/>
            <w:vMerge w:val="continue"/>
          </w:tcPr>
          <w:p>
            <w:pPr>
              <w:spacing w:after="0"/>
              <w:rPr>
                <w:sz w:val="5"/>
                <w:szCs w:val="5"/>
                <w:color w:val="auto"/>
              </w:rPr>
            </w:pPr>
          </w:p>
        </w:tc>
        <w:tc>
          <w:tcPr>
            <w:tcW w:w="22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582C83"/>
              </w:rPr>
              <w:t>INDEPENDENT</w:t>
            </w:r>
          </w:p>
        </w:tc>
        <w:tc>
          <w:tcPr>
            <w:tcW w:w="0" w:type="dxa"/>
            <w:vAlign w:val="bottom"/>
          </w:tcPr>
          <w:p>
            <w:pPr>
              <w:spacing w:after="0"/>
              <w:rPr>
                <w:sz w:val="1"/>
                <w:szCs w:val="1"/>
                <w:color w:val="auto"/>
              </w:rPr>
            </w:pPr>
          </w:p>
        </w:tc>
      </w:tr>
      <w:tr>
        <w:trPr>
          <w:trHeight w:val="97"/>
        </w:trPr>
        <w:tc>
          <w:tcPr>
            <w:tcW w:w="2180" w:type="dxa"/>
            <w:vAlign w:val="bottom"/>
            <w:vMerge w:val="continue"/>
          </w:tcPr>
          <w:p>
            <w:pPr>
              <w:spacing w:after="0"/>
              <w:rPr>
                <w:sz w:val="8"/>
                <w:szCs w:val="8"/>
                <w:color w:val="auto"/>
              </w:rPr>
            </w:pPr>
          </w:p>
        </w:tc>
        <w:tc>
          <w:tcPr>
            <w:tcW w:w="2220" w:type="dxa"/>
            <w:vAlign w:val="bottom"/>
            <w:vMerge w:val="continue"/>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color w:val="auto"/>
              </w:rPr>
              <w:t>Director since 2025</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180" w:type="dxa"/>
            <w:vAlign w:val="bottom"/>
            <w:vMerge w:val="restart"/>
          </w:tcPr>
          <w:p>
            <w:pPr>
              <w:jc w:val="center"/>
              <w:ind w:right="17"/>
              <w:spacing w:after="0" w:line="147" w:lineRule="exact"/>
              <w:rPr>
                <w:sz w:val="20"/>
                <w:szCs w:val="20"/>
                <w:color w:val="auto"/>
              </w:rPr>
            </w:pPr>
            <w:r>
              <w:rPr>
                <w:rFonts w:ascii="Arial" w:cs="Arial" w:eastAsia="Arial" w:hAnsi="Arial"/>
                <w:sz w:val="14"/>
                <w:szCs w:val="14"/>
                <w:i w:val="1"/>
                <w:iCs w:val="1"/>
                <w:color w:val="auto"/>
              </w:rPr>
              <w:t>Program</w:t>
            </w:r>
          </w:p>
        </w:tc>
        <w:tc>
          <w:tcPr>
            <w:tcW w:w="2220" w:type="dxa"/>
            <w:vAlign w:val="bottom"/>
          </w:tcPr>
          <w:p>
            <w:pPr>
              <w:spacing w:after="0"/>
              <w:rPr>
                <w:sz w:val="6"/>
                <w:szCs w:val="6"/>
                <w:color w:val="auto"/>
              </w:rPr>
            </w:pPr>
          </w:p>
        </w:tc>
        <w:tc>
          <w:tcPr>
            <w:tcW w:w="2260" w:type="dxa"/>
            <w:vAlign w:val="bottom"/>
            <w:vMerge w:val="continue"/>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180" w:type="dxa"/>
            <w:vAlign w:val="bottom"/>
            <w:vMerge w:val="continue"/>
          </w:tcPr>
          <w:p>
            <w:pPr>
              <w:spacing w:after="0"/>
              <w:rPr>
                <w:sz w:val="5"/>
                <w:szCs w:val="5"/>
                <w:color w:val="auto"/>
              </w:rPr>
            </w:pPr>
          </w:p>
        </w:tc>
        <w:tc>
          <w:tcPr>
            <w:tcW w:w="2220" w:type="dxa"/>
            <w:vAlign w:val="bottom"/>
          </w:tcPr>
          <w:p>
            <w:pPr>
              <w:spacing w:after="0"/>
              <w:rPr>
                <w:sz w:val="5"/>
                <w:szCs w:val="5"/>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color w:val="auto"/>
              </w:rPr>
              <w:t>Age: 67</w:t>
            </w:r>
          </w:p>
        </w:tc>
        <w:tc>
          <w:tcPr>
            <w:tcW w:w="2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180" w:type="dxa"/>
            <w:vAlign w:val="bottom"/>
          </w:tcPr>
          <w:p>
            <w:pPr>
              <w:jc w:val="center"/>
              <w:ind w:right="37"/>
              <w:spacing w:after="0" w:line="145" w:lineRule="exact"/>
              <w:rPr>
                <w:sz w:val="20"/>
                <w:szCs w:val="20"/>
                <w:color w:val="auto"/>
              </w:rPr>
            </w:pPr>
            <w:r>
              <w:rPr>
                <w:rFonts w:ascii="Arial" w:cs="Arial" w:eastAsia="Arial" w:hAnsi="Arial"/>
                <w:sz w:val="14"/>
                <w:szCs w:val="14"/>
                <w:color w:val="auto"/>
              </w:rPr>
              <w:t>Director since 2022</w:t>
            </w:r>
          </w:p>
        </w:tc>
        <w:tc>
          <w:tcPr>
            <w:tcW w:w="2220" w:type="dxa"/>
            <w:vAlign w:val="bottom"/>
            <w:vMerge w:val="restart"/>
          </w:tcPr>
          <w:p>
            <w:pPr>
              <w:jc w:val="center"/>
              <w:spacing w:after="0"/>
              <w:rPr>
                <w:sz w:val="20"/>
                <w:szCs w:val="20"/>
                <w:color w:val="auto"/>
              </w:rPr>
            </w:pPr>
            <w:r>
              <w:rPr>
                <w:rFonts w:ascii="Arial" w:cs="Arial" w:eastAsia="Arial" w:hAnsi="Arial"/>
                <w:sz w:val="14"/>
                <w:szCs w:val="14"/>
                <w:b w:val="1"/>
                <w:bCs w:val="1"/>
                <w:color w:val="582C83"/>
              </w:rPr>
              <w:t>Jane Hamilton Nielsen</w:t>
            </w:r>
          </w:p>
        </w:tc>
        <w:tc>
          <w:tcPr>
            <w:tcW w:w="2260" w:type="dxa"/>
            <w:vAlign w:val="bottom"/>
            <w:vMerge w:val="continue"/>
          </w:tcPr>
          <w:p>
            <w:pPr>
              <w:spacing w:after="0"/>
              <w:rPr>
                <w:sz w:val="12"/>
                <w:szCs w:val="12"/>
                <w:color w:val="auto"/>
              </w:rPr>
            </w:pPr>
          </w:p>
        </w:tc>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582C83"/>
              </w:rPr>
              <w:t>Patrick T. Siewert</w:t>
            </w:r>
          </w:p>
        </w:tc>
        <w:tc>
          <w:tcPr>
            <w:tcW w:w="0" w:type="dxa"/>
            <w:vAlign w:val="bottom"/>
          </w:tcPr>
          <w:p>
            <w:pPr>
              <w:spacing w:after="0"/>
              <w:rPr>
                <w:sz w:val="1"/>
                <w:szCs w:val="1"/>
                <w:color w:val="auto"/>
              </w:rPr>
            </w:pPr>
          </w:p>
        </w:tc>
      </w:tr>
      <w:tr>
        <w:trPr>
          <w:trHeight w:val="41"/>
        </w:trPr>
        <w:tc>
          <w:tcPr>
            <w:tcW w:w="2180" w:type="dxa"/>
            <w:vAlign w:val="bottom"/>
          </w:tcPr>
          <w:p>
            <w:pPr>
              <w:jc w:val="center"/>
              <w:ind w:right="17"/>
              <w:spacing w:after="0" w:line="41" w:lineRule="exact"/>
              <w:rPr>
                <w:sz w:val="20"/>
                <w:szCs w:val="20"/>
                <w:color w:val="auto"/>
              </w:rPr>
            </w:pPr>
            <w:r>
              <w:rPr>
                <w:rFonts w:ascii="Arial" w:cs="Arial" w:eastAsia="Arial" w:hAnsi="Arial"/>
                <w:sz w:val="4"/>
                <w:szCs w:val="4"/>
                <w:b w:val="1"/>
                <w:bCs w:val="1"/>
                <w:color w:val="7030A0"/>
              </w:rPr>
              <w:t>Jorge S. Mesquita</w:t>
            </w:r>
          </w:p>
        </w:tc>
        <w:tc>
          <w:tcPr>
            <w:tcW w:w="2220" w:type="dxa"/>
            <w:vAlign w:val="bottom"/>
            <w:vMerge w:val="continue"/>
          </w:tcPr>
          <w:p>
            <w:pPr>
              <w:spacing w:after="0"/>
              <w:rPr>
                <w:sz w:val="3"/>
                <w:szCs w:val="3"/>
                <w:color w:val="auto"/>
              </w:rPr>
            </w:pPr>
          </w:p>
        </w:tc>
        <w:tc>
          <w:tcPr>
            <w:tcW w:w="2260" w:type="dxa"/>
            <w:vAlign w:val="bottom"/>
          </w:tcPr>
          <w:p>
            <w:pPr>
              <w:jc w:val="center"/>
              <w:spacing w:after="0" w:line="41" w:lineRule="exact"/>
              <w:rPr>
                <w:sz w:val="20"/>
                <w:szCs w:val="20"/>
                <w:color w:val="auto"/>
              </w:rPr>
            </w:pPr>
            <w:r>
              <w:rPr>
                <w:rFonts w:ascii="Arial" w:cs="Arial" w:eastAsia="Arial" w:hAnsi="Arial"/>
                <w:sz w:val="4"/>
                <w:szCs w:val="4"/>
                <w:b w:val="1"/>
                <w:bCs w:val="1"/>
                <w:color w:val="582C83"/>
              </w:rPr>
              <w:t>Paula A. Price</w:t>
            </w:r>
          </w:p>
        </w:tc>
        <w:tc>
          <w:tcPr>
            <w:tcW w:w="2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180" w:type="dxa"/>
            <w:vAlign w:val="bottom"/>
          </w:tcPr>
          <w:p>
            <w:pPr>
              <w:jc w:val="center"/>
              <w:ind w:right="17"/>
              <w:spacing w:after="0" w:line="122" w:lineRule="exact"/>
              <w:rPr>
                <w:sz w:val="20"/>
                <w:szCs w:val="20"/>
                <w:color w:val="auto"/>
              </w:rPr>
            </w:pPr>
            <w:r>
              <w:rPr>
                <w:rFonts w:ascii="Arial" w:cs="Arial" w:eastAsia="Arial" w:hAnsi="Arial"/>
                <w:sz w:val="14"/>
                <w:szCs w:val="14"/>
                <w:color w:val="auto"/>
              </w:rPr>
              <w:t>Age: 68</w:t>
            </w:r>
          </w:p>
        </w:tc>
        <w:tc>
          <w:tcPr>
            <w:tcW w:w="222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 xml:space="preserve">Former </w:t>
            </w:r>
            <w:r>
              <w:rPr>
                <w:rFonts w:ascii="Arial" w:cs="Arial" w:eastAsia="Arial" w:hAnsi="Arial"/>
                <w:sz w:val="14"/>
                <w:szCs w:val="14"/>
                <w:color w:val="auto"/>
              </w:rPr>
              <w:t>C</w:t>
            </w:r>
            <w:r>
              <w:rPr>
                <w:rFonts w:ascii="Arial" w:cs="Arial" w:eastAsia="Arial" w:hAnsi="Arial"/>
                <w:sz w:val="14"/>
                <w:szCs w:val="14"/>
                <w:i w:val="1"/>
                <w:iCs w:val="1"/>
                <w:color w:val="auto"/>
              </w:rPr>
              <w:t>hief Operating Officer,</w:t>
            </w:r>
          </w:p>
        </w:tc>
        <w:tc>
          <w:tcPr>
            <w:tcW w:w="2260" w:type="dxa"/>
            <w:vAlign w:val="bottom"/>
          </w:tcPr>
          <w:p>
            <w:pPr>
              <w:jc w:val="center"/>
              <w:spacing w:after="0" w:line="122" w:lineRule="exact"/>
              <w:rPr>
                <w:sz w:val="20"/>
                <w:szCs w:val="20"/>
                <w:color w:val="auto"/>
              </w:rPr>
            </w:pPr>
            <w:r>
              <w:rPr>
                <w:rFonts w:ascii="Arial" w:cs="Arial" w:eastAsia="Arial" w:hAnsi="Arial"/>
                <w:sz w:val="14"/>
                <w:szCs w:val="14"/>
                <w:b w:val="1"/>
                <w:bCs w:val="1"/>
                <w:color w:val="7030A0"/>
              </w:rPr>
              <w:t>INDEPENDENT</w:t>
            </w:r>
          </w:p>
        </w:tc>
        <w:tc>
          <w:tcPr>
            <w:tcW w:w="2200" w:type="dxa"/>
            <w:vAlign w:val="bottom"/>
            <w:vMerge w:val="restart"/>
          </w:tcPr>
          <w:p>
            <w:pPr>
              <w:jc w:val="center"/>
              <w:ind w:left="8"/>
              <w:spacing w:after="0"/>
              <w:rPr>
                <w:sz w:val="20"/>
                <w:szCs w:val="20"/>
                <w:color w:val="auto"/>
              </w:rPr>
            </w:pPr>
            <w:r>
              <w:rPr>
                <w:rFonts w:ascii="Arial" w:cs="Arial" w:eastAsia="Arial" w:hAnsi="Arial"/>
                <w:sz w:val="14"/>
                <w:szCs w:val="14"/>
                <w:i w:val="1"/>
                <w:iCs w:val="1"/>
                <w:color w:val="auto"/>
              </w:rPr>
              <w:t>Chairman Asia, Restaurant</w:t>
            </w:r>
          </w:p>
        </w:tc>
        <w:tc>
          <w:tcPr>
            <w:tcW w:w="0" w:type="dxa"/>
            <w:vAlign w:val="bottom"/>
          </w:tcPr>
          <w:p>
            <w:pPr>
              <w:spacing w:after="0"/>
              <w:rPr>
                <w:sz w:val="1"/>
                <w:szCs w:val="1"/>
                <w:color w:val="auto"/>
              </w:rPr>
            </w:pPr>
          </w:p>
        </w:tc>
      </w:tr>
      <w:tr>
        <w:trPr>
          <w:trHeight w:val="40"/>
        </w:trPr>
        <w:tc>
          <w:tcPr>
            <w:tcW w:w="2180" w:type="dxa"/>
            <w:vAlign w:val="bottom"/>
          </w:tcPr>
          <w:p>
            <w:pPr>
              <w:jc w:val="center"/>
              <w:ind w:right="37"/>
              <w:spacing w:after="0" w:line="41" w:lineRule="exact"/>
              <w:rPr>
                <w:sz w:val="20"/>
                <w:szCs w:val="20"/>
                <w:color w:val="auto"/>
              </w:rPr>
            </w:pPr>
            <w:r>
              <w:rPr>
                <w:rFonts w:ascii="Arial" w:cs="Arial" w:eastAsia="Arial" w:hAnsi="Arial"/>
                <w:sz w:val="4"/>
                <w:szCs w:val="4"/>
                <w:i w:val="1"/>
                <w:iCs w:val="1"/>
                <w:color w:val="auto"/>
              </w:rPr>
              <w:t>Former Chief Executive Officer,</w:t>
            </w:r>
          </w:p>
        </w:tc>
        <w:tc>
          <w:tcPr>
            <w:tcW w:w="2220" w:type="dxa"/>
            <w:vAlign w:val="bottom"/>
            <w:vMerge w:val="continue"/>
          </w:tcPr>
          <w:p>
            <w:pPr>
              <w:spacing w:after="0"/>
              <w:rPr>
                <w:sz w:val="3"/>
                <w:szCs w:val="3"/>
                <w:color w:val="auto"/>
              </w:rPr>
            </w:pPr>
          </w:p>
        </w:tc>
        <w:tc>
          <w:tcPr>
            <w:tcW w:w="2260" w:type="dxa"/>
            <w:vAlign w:val="bottom"/>
          </w:tcPr>
          <w:p>
            <w:pPr>
              <w:jc w:val="center"/>
              <w:spacing w:after="0" w:line="41" w:lineRule="exact"/>
              <w:rPr>
                <w:sz w:val="20"/>
                <w:szCs w:val="20"/>
                <w:color w:val="auto"/>
              </w:rPr>
            </w:pPr>
            <w:r>
              <w:rPr>
                <w:rFonts w:ascii="Arial" w:cs="Arial" w:eastAsia="Arial" w:hAnsi="Arial"/>
                <w:sz w:val="4"/>
                <w:szCs w:val="4"/>
                <w:i w:val="1"/>
                <w:iCs w:val="1"/>
                <w:color w:val="auto"/>
              </w:rPr>
              <w:t>Former Executive Vice President</w:t>
            </w:r>
          </w:p>
        </w:tc>
        <w:tc>
          <w:tcPr>
            <w:tcW w:w="2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180" w:type="dxa"/>
            <w:vAlign w:val="bottom"/>
          </w:tcPr>
          <w:p>
            <w:pPr>
              <w:jc w:val="center"/>
              <w:ind w:right="17"/>
              <w:spacing w:after="0" w:line="122" w:lineRule="exact"/>
              <w:rPr>
                <w:sz w:val="20"/>
                <w:szCs w:val="20"/>
                <w:color w:val="auto"/>
              </w:rPr>
            </w:pPr>
            <w:r>
              <w:rPr>
                <w:rFonts w:ascii="Arial" w:cs="Arial" w:eastAsia="Arial" w:hAnsi="Arial"/>
                <w:sz w:val="14"/>
                <w:szCs w:val="14"/>
                <w:b w:val="1"/>
                <w:bCs w:val="1"/>
                <w:color w:val="582C83"/>
              </w:rPr>
              <w:t>INDEPENDENT</w:t>
            </w:r>
          </w:p>
        </w:tc>
        <w:tc>
          <w:tcPr>
            <w:tcW w:w="222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Ralph Lauren Corporation</w:t>
            </w:r>
          </w:p>
        </w:tc>
        <w:tc>
          <w:tcPr>
            <w:tcW w:w="226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and Chief Financial Officer,</w:t>
            </w:r>
          </w:p>
        </w:tc>
        <w:tc>
          <w:tcPr>
            <w:tcW w:w="2200" w:type="dxa"/>
            <w:vAlign w:val="bottom"/>
            <w:vMerge w:val="restart"/>
          </w:tcPr>
          <w:p>
            <w:pPr>
              <w:jc w:val="center"/>
              <w:ind w:left="8"/>
              <w:spacing w:after="0"/>
              <w:rPr>
                <w:sz w:val="20"/>
                <w:szCs w:val="20"/>
                <w:color w:val="auto"/>
              </w:rPr>
            </w:pPr>
            <w:r>
              <w:rPr>
                <w:rFonts w:ascii="Arial" w:cs="Arial" w:eastAsia="Arial" w:hAnsi="Arial"/>
                <w:sz w:val="14"/>
                <w:szCs w:val="14"/>
                <w:i w:val="1"/>
                <w:iCs w:val="1"/>
                <w:color w:val="auto"/>
              </w:rPr>
              <w:t>Brands International and Head of</w:t>
            </w:r>
          </w:p>
        </w:tc>
        <w:tc>
          <w:tcPr>
            <w:tcW w:w="0" w:type="dxa"/>
            <w:vAlign w:val="bottom"/>
          </w:tcPr>
          <w:p>
            <w:pPr>
              <w:spacing w:after="0"/>
              <w:rPr>
                <w:sz w:val="1"/>
                <w:szCs w:val="1"/>
                <w:color w:val="auto"/>
              </w:rPr>
            </w:pPr>
          </w:p>
        </w:tc>
      </w:tr>
      <w:tr>
        <w:trPr>
          <w:trHeight w:val="45"/>
        </w:trPr>
        <w:tc>
          <w:tcPr>
            <w:tcW w:w="2180" w:type="dxa"/>
            <w:vAlign w:val="bottom"/>
          </w:tcPr>
          <w:p>
            <w:pPr>
              <w:jc w:val="center"/>
              <w:ind w:right="37"/>
              <w:spacing w:after="0" w:line="45" w:lineRule="exact"/>
              <w:rPr>
                <w:sz w:val="20"/>
                <w:szCs w:val="20"/>
                <w:color w:val="auto"/>
              </w:rPr>
            </w:pPr>
            <w:r>
              <w:rPr>
                <w:rFonts w:ascii="Arial" w:cs="Arial" w:eastAsia="Arial" w:hAnsi="Arial"/>
                <w:sz w:val="5"/>
                <w:szCs w:val="5"/>
                <w:i w:val="1"/>
                <w:iCs w:val="1"/>
                <w:color w:val="auto"/>
              </w:rPr>
              <w:t>BlueTriton Brands, Inc.</w:t>
            </w:r>
          </w:p>
        </w:tc>
        <w:tc>
          <w:tcPr>
            <w:tcW w:w="2220" w:type="dxa"/>
            <w:vAlign w:val="bottom"/>
            <w:vMerge w:val="continue"/>
          </w:tcPr>
          <w:p>
            <w:pPr>
              <w:spacing w:after="0"/>
              <w:rPr>
                <w:sz w:val="3"/>
                <w:szCs w:val="3"/>
                <w:color w:val="auto"/>
              </w:rPr>
            </w:pPr>
          </w:p>
        </w:tc>
        <w:tc>
          <w:tcPr>
            <w:tcW w:w="2260" w:type="dxa"/>
            <w:vAlign w:val="bottom"/>
            <w:vMerge w:val="continue"/>
          </w:tcPr>
          <w:p>
            <w:pPr>
              <w:spacing w:after="0"/>
              <w:rPr>
                <w:sz w:val="3"/>
                <w:szCs w:val="3"/>
                <w:color w:val="auto"/>
              </w:rPr>
            </w:pPr>
          </w:p>
        </w:tc>
        <w:tc>
          <w:tcPr>
            <w:tcW w:w="2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180" w:type="dxa"/>
            <w:vAlign w:val="bottom"/>
          </w:tcPr>
          <w:p>
            <w:pPr>
              <w:jc w:val="center"/>
              <w:ind w:right="37"/>
              <w:spacing w:after="0"/>
              <w:rPr>
                <w:sz w:val="20"/>
                <w:szCs w:val="20"/>
                <w:color w:val="auto"/>
              </w:rPr>
            </w:pPr>
            <w:r>
              <w:rPr>
                <w:rFonts w:ascii="Arial" w:cs="Arial" w:eastAsia="Arial" w:hAnsi="Arial"/>
                <w:sz w:val="14"/>
                <w:szCs w:val="14"/>
                <w:color w:val="auto"/>
              </w:rPr>
              <w:t>Director since 2012</w:t>
            </w:r>
          </w:p>
        </w:tc>
        <w:tc>
          <w:tcPr>
            <w:tcW w:w="2220" w:type="dxa"/>
            <w:vAlign w:val="bottom"/>
          </w:tcPr>
          <w:p>
            <w:pPr>
              <w:jc w:val="center"/>
              <w:spacing w:after="0"/>
              <w:rPr>
                <w:sz w:val="20"/>
                <w:szCs w:val="20"/>
                <w:color w:val="auto"/>
              </w:rPr>
            </w:pPr>
            <w:r>
              <w:rPr>
                <w:rFonts w:ascii="Arial" w:cs="Arial" w:eastAsia="Arial" w:hAnsi="Arial"/>
                <w:sz w:val="14"/>
                <w:szCs w:val="14"/>
                <w:color w:val="auto"/>
              </w:rPr>
              <w:t>Director since 2021</w:t>
            </w:r>
          </w:p>
        </w:tc>
        <w:tc>
          <w:tcPr>
            <w:tcW w:w="2260" w:type="dxa"/>
            <w:vAlign w:val="bottom"/>
          </w:tcPr>
          <w:p>
            <w:pPr>
              <w:jc w:val="center"/>
              <w:spacing w:after="0"/>
              <w:rPr>
                <w:sz w:val="20"/>
                <w:szCs w:val="20"/>
                <w:color w:val="auto"/>
              </w:rPr>
            </w:pPr>
            <w:r>
              <w:rPr>
                <w:rFonts w:ascii="Arial" w:cs="Arial" w:eastAsia="Arial" w:hAnsi="Arial"/>
                <w:sz w:val="14"/>
                <w:szCs w:val="14"/>
                <w:i w:val="1"/>
                <w:iCs w:val="1"/>
                <w:color w:val="auto"/>
              </w:rPr>
              <w:t>Macy’s, Inc.,</w:t>
            </w:r>
          </w:p>
        </w:tc>
        <w:tc>
          <w:tcPr>
            <w:tcW w:w="2200" w:type="dxa"/>
            <w:vAlign w:val="bottom"/>
          </w:tcPr>
          <w:p>
            <w:pPr>
              <w:jc w:val="center"/>
              <w:spacing w:after="0"/>
              <w:rPr>
                <w:sz w:val="20"/>
                <w:szCs w:val="20"/>
                <w:color w:val="auto"/>
              </w:rPr>
            </w:pPr>
            <w:r>
              <w:rPr>
                <w:rFonts w:ascii="Arial" w:cs="Arial" w:eastAsia="Arial" w:hAnsi="Arial"/>
                <w:sz w:val="14"/>
                <w:szCs w:val="14"/>
                <w:i w:val="1"/>
                <w:iCs w:val="1"/>
                <w:color w:val="auto"/>
              </w:rPr>
              <w:t>Consumer, Media, and Retail,</w:t>
            </w:r>
          </w:p>
        </w:tc>
        <w:tc>
          <w:tcPr>
            <w:tcW w:w="0" w:type="dxa"/>
            <w:vAlign w:val="bottom"/>
          </w:tcPr>
          <w:p>
            <w:pPr>
              <w:spacing w:after="0"/>
              <w:rPr>
                <w:sz w:val="1"/>
                <w:szCs w:val="1"/>
                <w:color w:val="auto"/>
              </w:rPr>
            </w:pPr>
          </w:p>
        </w:tc>
      </w:tr>
      <w:tr>
        <w:trPr>
          <w:trHeight w:val="162"/>
        </w:trPr>
        <w:tc>
          <w:tcPr>
            <w:tcW w:w="2180" w:type="dxa"/>
            <w:vAlign w:val="bottom"/>
          </w:tcPr>
          <w:p>
            <w:pPr>
              <w:jc w:val="center"/>
              <w:ind w:right="17"/>
              <w:spacing w:after="0"/>
              <w:rPr>
                <w:sz w:val="20"/>
                <w:szCs w:val="20"/>
                <w:color w:val="auto"/>
              </w:rPr>
            </w:pPr>
            <w:r>
              <w:rPr>
                <w:rFonts w:ascii="Arial" w:cs="Arial" w:eastAsia="Arial" w:hAnsi="Arial"/>
                <w:sz w:val="14"/>
                <w:szCs w:val="14"/>
                <w:color w:val="auto"/>
              </w:rPr>
              <w:t>Age: 64</w:t>
            </w:r>
          </w:p>
        </w:tc>
        <w:tc>
          <w:tcPr>
            <w:tcW w:w="2220" w:type="dxa"/>
            <w:vAlign w:val="bottom"/>
          </w:tcPr>
          <w:p>
            <w:pPr>
              <w:jc w:val="center"/>
              <w:spacing w:after="0"/>
              <w:rPr>
                <w:sz w:val="20"/>
                <w:szCs w:val="20"/>
                <w:color w:val="auto"/>
              </w:rPr>
            </w:pPr>
            <w:r>
              <w:rPr>
                <w:rFonts w:ascii="Arial" w:cs="Arial" w:eastAsia="Arial" w:hAnsi="Arial"/>
                <w:sz w:val="14"/>
                <w:szCs w:val="14"/>
                <w:color w:val="auto"/>
              </w:rPr>
              <w:t>Age: 61</w:t>
            </w:r>
          </w:p>
        </w:tc>
        <w:tc>
          <w:tcPr>
            <w:tcW w:w="2260" w:type="dxa"/>
            <w:vAlign w:val="bottom"/>
          </w:tcPr>
          <w:p>
            <w:pPr>
              <w:jc w:val="center"/>
              <w:spacing w:after="0"/>
              <w:rPr>
                <w:sz w:val="20"/>
                <w:szCs w:val="20"/>
                <w:color w:val="auto"/>
              </w:rPr>
            </w:pPr>
            <w:r>
              <w:rPr>
                <w:rFonts w:ascii="Arial" w:cs="Arial" w:eastAsia="Arial" w:hAnsi="Arial"/>
                <w:sz w:val="14"/>
                <w:szCs w:val="14"/>
                <w:color w:val="auto"/>
              </w:rPr>
              <w:t>Director since 2024</w:t>
            </w:r>
          </w:p>
        </w:tc>
        <w:tc>
          <w:tcPr>
            <w:tcW w:w="2200" w:type="dxa"/>
            <w:vAlign w:val="bottom"/>
          </w:tcPr>
          <w:p>
            <w:pPr>
              <w:jc w:val="center"/>
              <w:ind w:left="8"/>
              <w:spacing w:after="0"/>
              <w:rPr>
                <w:sz w:val="20"/>
                <w:szCs w:val="20"/>
                <w:color w:val="auto"/>
              </w:rPr>
            </w:pPr>
            <w:r>
              <w:rPr>
                <w:rFonts w:ascii="Arial" w:cs="Arial" w:eastAsia="Arial" w:hAnsi="Arial"/>
                <w:sz w:val="14"/>
                <w:szCs w:val="14"/>
                <w:i w:val="1"/>
                <w:iCs w:val="1"/>
                <w:color w:val="auto"/>
              </w:rPr>
              <w:t>The Carlyle Group Asia, Retired</w:t>
            </w:r>
          </w:p>
        </w:tc>
        <w:tc>
          <w:tcPr>
            <w:tcW w:w="0" w:type="dxa"/>
            <w:vAlign w:val="bottom"/>
          </w:tcPr>
          <w:p>
            <w:pPr>
              <w:spacing w:after="0"/>
              <w:rPr>
                <w:sz w:val="1"/>
                <w:szCs w:val="1"/>
                <w:color w:val="auto"/>
              </w:rPr>
            </w:pPr>
          </w:p>
        </w:tc>
      </w:tr>
      <w:tr>
        <w:trPr>
          <w:trHeight w:val="162"/>
        </w:trPr>
        <w:tc>
          <w:tcPr>
            <w:tcW w:w="2180" w:type="dxa"/>
            <w:vAlign w:val="bottom"/>
          </w:tcPr>
          <w:p>
            <w:pPr>
              <w:jc w:val="center"/>
              <w:ind w:right="17"/>
              <w:spacing w:after="0"/>
              <w:rPr>
                <w:sz w:val="20"/>
                <w:szCs w:val="20"/>
                <w:color w:val="auto"/>
              </w:rPr>
            </w:pPr>
            <w:r>
              <w:rPr>
                <w:rFonts w:ascii="Arial" w:cs="Arial" w:eastAsia="Arial" w:hAnsi="Arial"/>
                <w:sz w:val="14"/>
                <w:szCs w:val="14"/>
                <w:b w:val="1"/>
                <w:bCs w:val="1"/>
                <w:color w:val="7030A0"/>
              </w:rPr>
              <w:t>INDEPENDENT</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582C83"/>
              </w:rPr>
              <w:t>INDEPENDENT</w:t>
            </w:r>
          </w:p>
        </w:tc>
        <w:tc>
          <w:tcPr>
            <w:tcW w:w="2260" w:type="dxa"/>
            <w:vAlign w:val="bottom"/>
          </w:tcPr>
          <w:p>
            <w:pPr>
              <w:jc w:val="center"/>
              <w:spacing w:after="0"/>
              <w:rPr>
                <w:sz w:val="20"/>
                <w:szCs w:val="20"/>
                <w:color w:val="auto"/>
              </w:rPr>
            </w:pPr>
            <w:r>
              <w:rPr>
                <w:rFonts w:ascii="Arial" w:cs="Arial" w:eastAsia="Arial" w:hAnsi="Arial"/>
                <w:sz w:val="14"/>
                <w:szCs w:val="14"/>
                <w:color w:val="auto"/>
              </w:rPr>
              <w:t>Age: 64</w:t>
            </w:r>
          </w:p>
        </w:tc>
        <w:tc>
          <w:tcPr>
            <w:tcW w:w="2200" w:type="dxa"/>
            <w:vAlign w:val="bottom"/>
          </w:tcPr>
          <w:p>
            <w:pPr>
              <w:jc w:val="center"/>
              <w:ind w:left="8"/>
              <w:spacing w:after="0"/>
              <w:rPr>
                <w:sz w:val="20"/>
                <w:szCs w:val="20"/>
                <w:color w:val="auto"/>
              </w:rPr>
            </w:pPr>
            <w:r>
              <w:rPr>
                <w:rFonts w:ascii="Arial" w:cs="Arial" w:eastAsia="Arial" w:hAnsi="Arial"/>
                <w:sz w:val="14"/>
                <w:szCs w:val="14"/>
                <w:color w:val="auto"/>
              </w:rPr>
              <w:t>Director since 2012</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582C83"/>
              </w:rPr>
              <w:t>INDEPENDENT</w:t>
            </w:r>
          </w:p>
        </w:tc>
        <w:tc>
          <w:tcPr>
            <w:tcW w:w="2200" w:type="dxa"/>
            <w:vAlign w:val="bottom"/>
          </w:tcPr>
          <w:p>
            <w:pPr>
              <w:jc w:val="center"/>
              <w:ind w:left="8"/>
              <w:spacing w:after="0" w:line="149" w:lineRule="exact"/>
              <w:rPr>
                <w:sz w:val="20"/>
                <w:szCs w:val="20"/>
                <w:color w:val="auto"/>
              </w:rPr>
            </w:pPr>
            <w:r>
              <w:rPr>
                <w:rFonts w:ascii="Arial" w:cs="Arial" w:eastAsia="Arial" w:hAnsi="Arial"/>
                <w:sz w:val="14"/>
                <w:szCs w:val="14"/>
                <w:color w:val="auto"/>
              </w:rPr>
              <w:t>Lead Independent Director since</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0" w:type="dxa"/>
            <w:vAlign w:val="bottom"/>
          </w:tcPr>
          <w:p>
            <w:pPr>
              <w:jc w:val="center"/>
              <w:ind w:left="8"/>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0" w:type="dxa"/>
            <w:vAlign w:val="bottom"/>
          </w:tcPr>
          <w:p>
            <w:pPr>
              <w:jc w:val="center"/>
              <w:ind w:left="8"/>
              <w:spacing w:after="0"/>
              <w:rPr>
                <w:sz w:val="20"/>
                <w:szCs w:val="20"/>
                <w:color w:val="auto"/>
              </w:rPr>
            </w:pPr>
            <w:r>
              <w:rPr>
                <w:rFonts w:ascii="Arial" w:cs="Arial" w:eastAsia="Arial" w:hAnsi="Arial"/>
                <w:sz w:val="14"/>
                <w:szCs w:val="14"/>
                <w:color w:val="auto"/>
                <w:w w:val="99"/>
              </w:rPr>
              <w:t>Age: 70</w:t>
            </w: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0" w:type="dxa"/>
            <w:vAlign w:val="bottom"/>
          </w:tcPr>
          <w:p>
            <w:pPr>
              <w:jc w:val="center"/>
              <w:ind w:left="8"/>
              <w:spacing w:after="0"/>
              <w:rPr>
                <w:sz w:val="20"/>
                <w:szCs w:val="20"/>
                <w:color w:val="auto"/>
              </w:rPr>
            </w:pPr>
            <w:r>
              <w:rPr>
                <w:rFonts w:ascii="Arial" w:cs="Arial" w:eastAsia="Arial" w:hAnsi="Arial"/>
                <w:sz w:val="14"/>
                <w:szCs w:val="14"/>
                <w:b w:val="1"/>
                <w:bCs w:val="1"/>
                <w:color w:val="582C83"/>
              </w:rPr>
              <w:t>INDEPENDENT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2640" w:type="dxa"/>
        <w:tblCellMar>
          <w:top w:w="0" w:type="dxa"/>
          <w:left w:w="0" w:type="dxa"/>
          <w:bottom w:w="0" w:type="dxa"/>
          <w:right w:w="0" w:type="dxa"/>
        </w:tblCellMar>
      </w:tblPr>
      <w:tr>
        <w:trPr>
          <w:trHeight w:val="164"/>
        </w:trPr>
        <w:tc>
          <w:tcPr>
            <w:tcW w:w="1800" w:type="dxa"/>
            <w:vAlign w:val="bottom"/>
          </w:tcPr>
          <w:p>
            <w:pPr>
              <w:jc w:val="center"/>
              <w:ind w:right="228"/>
              <w:spacing w:after="0"/>
              <w:rPr>
                <w:sz w:val="20"/>
                <w:szCs w:val="20"/>
                <w:color w:val="auto"/>
              </w:rPr>
            </w:pPr>
            <w:r>
              <w:rPr>
                <w:rFonts w:ascii="Arial" w:cs="Arial" w:eastAsia="Arial" w:hAnsi="Arial"/>
                <w:sz w:val="14"/>
                <w:szCs w:val="14"/>
                <w:b w:val="1"/>
                <w:bCs w:val="1"/>
                <w:color w:val="582C83"/>
              </w:rPr>
              <w:t>Michael A. Todman</w:t>
            </w:r>
          </w:p>
        </w:tc>
        <w:tc>
          <w:tcPr>
            <w:tcW w:w="2080" w:type="dxa"/>
            <w:vAlign w:val="bottom"/>
          </w:tcPr>
          <w:p>
            <w:pPr>
              <w:jc w:val="center"/>
              <w:ind w:left="248"/>
              <w:spacing w:after="0"/>
              <w:rPr>
                <w:sz w:val="20"/>
                <w:szCs w:val="20"/>
                <w:color w:val="auto"/>
              </w:rPr>
            </w:pPr>
            <w:r>
              <w:rPr>
                <w:rFonts w:ascii="Arial" w:cs="Arial" w:eastAsia="Arial" w:hAnsi="Arial"/>
                <w:sz w:val="14"/>
                <w:szCs w:val="14"/>
                <w:b w:val="1"/>
                <w:bCs w:val="1"/>
                <w:color w:val="582C83"/>
              </w:rPr>
              <w:t>Dirk Van de Put</w:t>
            </w:r>
          </w:p>
        </w:tc>
      </w:tr>
      <w:tr>
        <w:trPr>
          <w:trHeight w:val="162"/>
        </w:trPr>
        <w:tc>
          <w:tcPr>
            <w:tcW w:w="1800" w:type="dxa"/>
            <w:vAlign w:val="bottom"/>
          </w:tcPr>
          <w:p>
            <w:pPr>
              <w:jc w:val="center"/>
              <w:ind w:right="228"/>
              <w:spacing w:after="0"/>
              <w:rPr>
                <w:sz w:val="20"/>
                <w:szCs w:val="20"/>
                <w:color w:val="auto"/>
              </w:rPr>
            </w:pPr>
            <w:r>
              <w:rPr>
                <w:rFonts w:ascii="Arial" w:cs="Arial" w:eastAsia="Arial" w:hAnsi="Arial"/>
                <w:sz w:val="14"/>
                <w:szCs w:val="14"/>
                <w:i w:val="1"/>
                <w:iCs w:val="1"/>
                <w:color w:val="auto"/>
              </w:rPr>
              <w:t>Former Vice Chairman,</w:t>
            </w:r>
          </w:p>
        </w:tc>
        <w:tc>
          <w:tcPr>
            <w:tcW w:w="2080" w:type="dxa"/>
            <w:vAlign w:val="bottom"/>
          </w:tcPr>
          <w:p>
            <w:pPr>
              <w:jc w:val="center"/>
              <w:ind w:left="268"/>
              <w:spacing w:after="0"/>
              <w:rPr>
                <w:sz w:val="20"/>
                <w:szCs w:val="20"/>
                <w:color w:val="auto"/>
              </w:rPr>
            </w:pPr>
            <w:r>
              <w:rPr>
                <w:rFonts w:ascii="Arial" w:cs="Arial" w:eastAsia="Arial" w:hAnsi="Arial"/>
                <w:sz w:val="14"/>
                <w:szCs w:val="14"/>
                <w:i w:val="1"/>
                <w:iCs w:val="1"/>
                <w:color w:val="auto"/>
              </w:rPr>
              <w:t>Chair and Chief Executive</w:t>
            </w:r>
          </w:p>
        </w:tc>
      </w:tr>
      <w:tr>
        <w:trPr>
          <w:trHeight w:val="146"/>
        </w:trPr>
        <w:tc>
          <w:tcPr>
            <w:tcW w:w="1800" w:type="dxa"/>
            <w:vAlign w:val="bottom"/>
          </w:tcPr>
          <w:p>
            <w:pPr>
              <w:jc w:val="center"/>
              <w:ind w:right="228"/>
              <w:spacing w:after="0" w:line="147" w:lineRule="exact"/>
              <w:rPr>
                <w:sz w:val="20"/>
                <w:szCs w:val="20"/>
                <w:color w:val="auto"/>
              </w:rPr>
            </w:pPr>
            <w:r>
              <w:rPr>
                <w:rFonts w:ascii="Arial" w:cs="Arial" w:eastAsia="Arial" w:hAnsi="Arial"/>
                <w:sz w:val="14"/>
                <w:szCs w:val="14"/>
                <w:i w:val="1"/>
                <w:iCs w:val="1"/>
                <w:color w:val="auto"/>
              </w:rPr>
              <w:t>Whirlpool Corporation</w:t>
            </w:r>
          </w:p>
        </w:tc>
        <w:tc>
          <w:tcPr>
            <w:tcW w:w="2080" w:type="dxa"/>
            <w:vAlign w:val="bottom"/>
          </w:tcPr>
          <w:p>
            <w:pPr>
              <w:jc w:val="center"/>
              <w:ind w:left="248"/>
              <w:spacing w:after="0" w:line="147" w:lineRule="exact"/>
              <w:rPr>
                <w:sz w:val="20"/>
                <w:szCs w:val="20"/>
                <w:color w:val="auto"/>
              </w:rPr>
            </w:pPr>
            <w:r>
              <w:rPr>
                <w:rFonts w:ascii="Arial" w:cs="Arial" w:eastAsia="Arial" w:hAnsi="Arial"/>
                <w:sz w:val="14"/>
                <w:szCs w:val="14"/>
                <w:i w:val="1"/>
                <w:iCs w:val="1"/>
                <w:color w:val="auto"/>
                <w:w w:val="97"/>
              </w:rPr>
              <w:t>Officer,</w:t>
            </w:r>
          </w:p>
        </w:tc>
      </w:tr>
      <w:tr>
        <w:trPr>
          <w:trHeight w:val="162"/>
        </w:trPr>
        <w:tc>
          <w:tcPr>
            <w:tcW w:w="1800" w:type="dxa"/>
            <w:vAlign w:val="bottom"/>
          </w:tcPr>
          <w:p>
            <w:pPr>
              <w:jc w:val="center"/>
              <w:ind w:right="248"/>
              <w:spacing w:after="0"/>
              <w:rPr>
                <w:sz w:val="20"/>
                <w:szCs w:val="20"/>
                <w:color w:val="auto"/>
              </w:rPr>
            </w:pPr>
            <w:r>
              <w:rPr>
                <w:rFonts w:ascii="Arial" w:cs="Arial" w:eastAsia="Arial" w:hAnsi="Arial"/>
                <w:sz w:val="14"/>
                <w:szCs w:val="14"/>
                <w:color w:val="auto"/>
              </w:rPr>
              <w:t>Director since 2020</w:t>
            </w:r>
          </w:p>
        </w:tc>
        <w:tc>
          <w:tcPr>
            <w:tcW w:w="2080" w:type="dxa"/>
            <w:vAlign w:val="bottom"/>
          </w:tcPr>
          <w:p>
            <w:pPr>
              <w:jc w:val="center"/>
              <w:ind w:left="248"/>
              <w:spacing w:after="0"/>
              <w:rPr>
                <w:sz w:val="20"/>
                <w:szCs w:val="20"/>
                <w:color w:val="auto"/>
              </w:rPr>
            </w:pPr>
            <w:r>
              <w:rPr>
                <w:rFonts w:ascii="Arial" w:cs="Arial" w:eastAsia="Arial" w:hAnsi="Arial"/>
                <w:sz w:val="14"/>
                <w:szCs w:val="14"/>
                <w:i w:val="1"/>
                <w:iCs w:val="1"/>
                <w:color w:val="auto"/>
              </w:rPr>
              <w:t>Mondelēz International, Inc.</w:t>
            </w:r>
          </w:p>
        </w:tc>
      </w:tr>
      <w:tr>
        <w:trPr>
          <w:trHeight w:val="162"/>
        </w:trPr>
        <w:tc>
          <w:tcPr>
            <w:tcW w:w="1800" w:type="dxa"/>
            <w:vAlign w:val="bottom"/>
          </w:tcPr>
          <w:p>
            <w:pPr>
              <w:jc w:val="center"/>
              <w:ind w:right="228"/>
              <w:spacing w:after="0"/>
              <w:rPr>
                <w:sz w:val="20"/>
                <w:szCs w:val="20"/>
                <w:color w:val="auto"/>
              </w:rPr>
            </w:pPr>
            <w:r>
              <w:rPr>
                <w:rFonts w:ascii="Arial" w:cs="Arial" w:eastAsia="Arial" w:hAnsi="Arial"/>
                <w:sz w:val="14"/>
                <w:szCs w:val="14"/>
                <w:color w:val="auto"/>
              </w:rPr>
              <w:t>Age: 68</w:t>
            </w:r>
          </w:p>
        </w:tc>
        <w:tc>
          <w:tcPr>
            <w:tcW w:w="2080" w:type="dxa"/>
            <w:vAlign w:val="bottom"/>
          </w:tcPr>
          <w:p>
            <w:pPr>
              <w:jc w:val="center"/>
              <w:ind w:left="248"/>
              <w:spacing w:after="0"/>
              <w:rPr>
                <w:sz w:val="20"/>
                <w:szCs w:val="20"/>
                <w:color w:val="auto"/>
              </w:rPr>
            </w:pPr>
            <w:r>
              <w:rPr>
                <w:rFonts w:ascii="Arial" w:cs="Arial" w:eastAsia="Arial" w:hAnsi="Arial"/>
                <w:sz w:val="14"/>
                <w:szCs w:val="14"/>
                <w:color w:val="auto"/>
              </w:rPr>
              <w:t>Director since 2017</w:t>
            </w:r>
          </w:p>
        </w:tc>
      </w:tr>
      <w:tr>
        <w:trPr>
          <w:trHeight w:val="196"/>
        </w:trPr>
        <w:tc>
          <w:tcPr>
            <w:tcW w:w="1800" w:type="dxa"/>
            <w:vAlign w:val="bottom"/>
          </w:tcPr>
          <w:p>
            <w:pPr>
              <w:jc w:val="center"/>
              <w:ind w:right="228"/>
              <w:spacing w:after="0"/>
              <w:rPr>
                <w:sz w:val="20"/>
                <w:szCs w:val="20"/>
                <w:color w:val="auto"/>
              </w:rPr>
            </w:pPr>
            <w:r>
              <w:rPr>
                <w:rFonts w:ascii="Arial" w:cs="Arial" w:eastAsia="Arial" w:hAnsi="Arial"/>
                <w:sz w:val="14"/>
                <w:szCs w:val="14"/>
                <w:b w:val="1"/>
                <w:bCs w:val="1"/>
                <w:color w:val="582C83"/>
              </w:rPr>
              <w:t>INDEPENDENT</w:t>
            </w:r>
          </w:p>
        </w:tc>
        <w:tc>
          <w:tcPr>
            <w:tcW w:w="2080" w:type="dxa"/>
            <w:vAlign w:val="bottom"/>
          </w:tcPr>
          <w:p>
            <w:pPr>
              <w:jc w:val="center"/>
              <w:ind w:left="268"/>
              <w:spacing w:after="0"/>
              <w:rPr>
                <w:sz w:val="20"/>
                <w:szCs w:val="20"/>
                <w:color w:val="auto"/>
              </w:rPr>
            </w:pPr>
            <w:r>
              <w:rPr>
                <w:rFonts w:ascii="Arial" w:cs="Arial" w:eastAsia="Arial" w:hAnsi="Arial"/>
                <w:sz w:val="14"/>
                <w:szCs w:val="14"/>
                <w:color w:val="auto"/>
              </w:rPr>
              <w:t>Age: 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4088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10375" cy="408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PROXY STATEMENT SUMMARY</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Our Governance Framework</w:t>
      </w: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256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9"/>
          <w:szCs w:val="29"/>
          <w:b w:val="1"/>
          <w:bCs w:val="1"/>
          <w:color w:val="auto"/>
        </w:rPr>
        <w:t xml:space="preserve"> OUR GOVERNANCE FRAMEWORK</w:t>
      </w:r>
    </w:p>
    <w:p>
      <w:pPr>
        <w:spacing w:after="0" w:line="307" w:lineRule="exact"/>
        <w:rPr>
          <w:sz w:val="20"/>
          <w:szCs w:val="20"/>
          <w:color w:val="auto"/>
        </w:rPr>
      </w:pPr>
    </w:p>
    <w:p>
      <w:pPr>
        <w:ind w:right="580"/>
        <w:spacing w:after="0" w:line="264" w:lineRule="auto"/>
        <w:rPr>
          <w:sz w:val="20"/>
          <w:szCs w:val="20"/>
          <w:color w:val="auto"/>
        </w:rPr>
      </w:pPr>
      <w:r>
        <w:rPr>
          <w:rFonts w:ascii="Arial" w:cs="Arial" w:eastAsia="Arial" w:hAnsi="Arial"/>
          <w:sz w:val="22"/>
          <w:szCs w:val="22"/>
          <w:b w:val="1"/>
          <w:bCs w:val="1"/>
          <w:color w:val="582C83"/>
        </w:rPr>
        <w:t>OUR STRONG CORPORATE GOVERNANCE FRAMEWORK PROMOTES THE LONG-TERM INTERESTS OF SHAREHOLDERS, ACCOUNTABILITY, AND TRUST IN THE COMPANY</w:t>
      </w:r>
    </w:p>
    <w:p>
      <w:pPr>
        <w:spacing w:after="0" w:line="49"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Our governance practices and policies enhance the effectiveness and accountability of our Board and promote the Company’s long-term success. Key aspects of our corporate governance framework are highlighted below. You can find additional detail under “Corporate Governance” beginning on page 33, “Compensation Governance” on page 82, and “2026 Annual Meeting of Shareholders” on page 10.</w:t>
      </w:r>
    </w:p>
    <w:p>
      <w:pPr>
        <w:sectPr>
          <w:pgSz w:w="11900" w:h="16940" w:orient="portrait"/>
          <w:cols w:equalWidth="0" w:num="1">
            <w:col w:w="9040"/>
          </w:cols>
          <w:pgMar w:left="1420" w:top="1440" w:right="1439" w:bottom="0" w:gutter="0" w:footer="0" w:header="0"/>
        </w:sectPr>
      </w:pPr>
    </w:p>
    <w:p>
      <w:pPr>
        <w:spacing w:after="0" w:line="398" w:lineRule="exact"/>
        <w:rPr>
          <w:sz w:val="20"/>
          <w:szCs w:val="20"/>
          <w:color w:val="auto"/>
        </w:rPr>
      </w:pPr>
    </w:p>
    <w:p>
      <w:pPr>
        <w:ind w:left="60"/>
        <w:spacing w:after="0" w:line="289" w:lineRule="auto"/>
        <w:rPr>
          <w:sz w:val="20"/>
          <w:szCs w:val="20"/>
          <w:color w:val="auto"/>
        </w:rPr>
      </w:pPr>
      <w:r>
        <w:rPr>
          <w:rFonts w:ascii="Arial" w:cs="Arial" w:eastAsia="Arial" w:hAnsi="Arial"/>
          <w:sz w:val="14"/>
          <w:szCs w:val="14"/>
          <w:b w:val="1"/>
          <w:bCs w:val="1"/>
          <w:color w:val="582C83"/>
        </w:rPr>
        <w:t xml:space="preserve">Lead Independent Director. </w:t>
      </w:r>
      <w:r>
        <w:rPr>
          <w:rFonts w:ascii="Arial" w:cs="Arial" w:eastAsia="Arial" w:hAnsi="Arial"/>
          <w:sz w:val="14"/>
          <w:szCs w:val="14"/>
          <w:color w:val="000000"/>
        </w:rPr>
        <w:t>Our Lead Independent Director has</w:t>
      </w:r>
      <w:r>
        <w:rPr>
          <w:rFonts w:ascii="Arial" w:cs="Arial" w:eastAsia="Arial" w:hAnsi="Arial"/>
          <w:sz w:val="14"/>
          <w:szCs w:val="14"/>
          <w:b w:val="1"/>
          <w:bCs w:val="1"/>
          <w:color w:val="582C83"/>
        </w:rPr>
        <w:t xml:space="preserve"> </w:t>
      </w:r>
      <w:r>
        <w:rPr>
          <w:rFonts w:ascii="Arial" w:cs="Arial" w:eastAsia="Arial" w:hAnsi="Arial"/>
          <w:sz w:val="14"/>
          <w:szCs w:val="14"/>
          <w:color w:val="000000"/>
        </w:rPr>
        <w:t>broad and substantive duties and responsibilities that have considerable overlap with those typically performed by an independent Board Chair, including:</w:t>
      </w:r>
    </w:p>
    <w:p>
      <w:pPr>
        <w:spacing w:after="0" w:line="75" w:lineRule="exact"/>
        <w:rPr>
          <w:sz w:val="20"/>
          <w:szCs w:val="20"/>
          <w:color w:val="auto"/>
        </w:rPr>
      </w:pPr>
    </w:p>
    <w:p>
      <w:pPr>
        <w:ind w:left="200" w:right="460" w:hanging="132"/>
        <w:spacing w:after="0" w:line="301" w:lineRule="auto"/>
        <w:tabs>
          <w:tab w:leader="none" w:pos="200" w:val="left"/>
        </w:tabs>
        <w:numPr>
          <w:ilvl w:val="0"/>
          <w:numId w:val="9"/>
        </w:numPr>
        <w:rPr>
          <w:rFonts w:ascii="Arial" w:cs="Arial" w:eastAsia="Arial" w:hAnsi="Arial"/>
          <w:sz w:val="14"/>
          <w:szCs w:val="14"/>
          <w:color w:val="582C83"/>
        </w:rPr>
      </w:pPr>
      <w:r>
        <w:rPr>
          <w:rFonts w:ascii="Arial" w:cs="Arial" w:eastAsia="Arial" w:hAnsi="Arial"/>
          <w:sz w:val="14"/>
          <w:szCs w:val="14"/>
          <w:color w:val="auto"/>
        </w:rPr>
        <w:t>engages in planning and approval of meeting schedules and agendas;</w:t>
      </w:r>
    </w:p>
    <w:p>
      <w:pPr>
        <w:spacing w:after="0" w:line="1" w:lineRule="exact"/>
        <w:rPr>
          <w:rFonts w:ascii="Arial" w:cs="Arial" w:eastAsia="Arial" w:hAnsi="Arial"/>
          <w:sz w:val="14"/>
          <w:szCs w:val="14"/>
          <w:color w:val="582C83"/>
        </w:rPr>
      </w:pPr>
    </w:p>
    <w:p>
      <w:pPr>
        <w:ind w:left="200" w:right="1260" w:hanging="132"/>
        <w:spacing w:after="0" w:line="311" w:lineRule="auto"/>
        <w:tabs>
          <w:tab w:leader="none" w:pos="200" w:val="left"/>
        </w:tabs>
        <w:numPr>
          <w:ilvl w:val="0"/>
          <w:numId w:val="9"/>
        </w:numPr>
        <w:rPr>
          <w:rFonts w:ascii="Arial" w:cs="Arial" w:eastAsia="Arial" w:hAnsi="Arial"/>
          <w:sz w:val="14"/>
          <w:szCs w:val="14"/>
          <w:color w:val="582C83"/>
        </w:rPr>
      </w:pPr>
      <w:r>
        <w:rPr>
          <w:rFonts w:ascii="Arial" w:cs="Arial" w:eastAsia="Arial" w:hAnsi="Arial"/>
          <w:sz w:val="14"/>
          <w:szCs w:val="14"/>
          <w:color w:val="auto"/>
        </w:rPr>
        <w:t>presides over regular executive sessions of independent directors;</w:t>
      </w:r>
    </w:p>
    <w:p>
      <w:pPr>
        <w:spacing w:after="0" w:line="1" w:lineRule="exact"/>
        <w:rPr>
          <w:rFonts w:ascii="Arial" w:cs="Arial" w:eastAsia="Arial" w:hAnsi="Arial"/>
          <w:sz w:val="14"/>
          <w:szCs w:val="14"/>
          <w:color w:val="582C83"/>
        </w:rPr>
      </w:pPr>
    </w:p>
    <w:p>
      <w:pPr>
        <w:ind w:left="200" w:hanging="132"/>
        <w:spacing w:after="0"/>
        <w:tabs>
          <w:tab w:leader="none" w:pos="200" w:val="left"/>
        </w:tabs>
        <w:numPr>
          <w:ilvl w:val="0"/>
          <w:numId w:val="9"/>
        </w:numPr>
        <w:rPr>
          <w:rFonts w:ascii="Arial" w:cs="Arial" w:eastAsia="Arial" w:hAnsi="Arial"/>
          <w:sz w:val="14"/>
          <w:szCs w:val="14"/>
          <w:color w:val="582C83"/>
        </w:rPr>
      </w:pPr>
      <w:r>
        <w:rPr>
          <w:rFonts w:ascii="Arial" w:cs="Arial" w:eastAsia="Arial" w:hAnsi="Arial"/>
          <w:sz w:val="14"/>
          <w:szCs w:val="14"/>
          <w:color w:val="auto"/>
        </w:rPr>
        <w:t>provides input into the design of the annual Board, committee,</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3"/>
        <w:spacing w:after="0"/>
        <w:rPr>
          <w:sz w:val="20"/>
          <w:szCs w:val="20"/>
          <w:color w:val="auto"/>
        </w:rPr>
      </w:pPr>
      <w:r>
        <w:rPr>
          <w:rFonts w:ascii="Arial" w:cs="Arial" w:eastAsia="Arial" w:hAnsi="Arial"/>
          <w:sz w:val="14"/>
          <w:szCs w:val="14"/>
          <w:color w:val="auto"/>
        </w:rPr>
        <w:t>A highly effective and engaged Lead Independent Director:</w:t>
      </w:r>
    </w:p>
    <w:p>
      <w:pPr>
        <w:spacing w:after="0" w:line="123" w:lineRule="exact"/>
        <w:rPr>
          <w:sz w:val="20"/>
          <w:szCs w:val="20"/>
          <w:color w:val="auto"/>
        </w:rPr>
      </w:pPr>
    </w:p>
    <w:p>
      <w:pPr>
        <w:ind w:left="123" w:right="80" w:hanging="123"/>
        <w:spacing w:after="0" w:line="311" w:lineRule="auto"/>
        <w:tabs>
          <w:tab w:leader="none" w:pos="123" w:val="left"/>
        </w:tabs>
        <w:numPr>
          <w:ilvl w:val="0"/>
          <w:numId w:val="10"/>
        </w:numPr>
        <w:rPr>
          <w:rFonts w:ascii="Arial" w:cs="Arial" w:eastAsia="Arial" w:hAnsi="Arial"/>
          <w:sz w:val="14"/>
          <w:szCs w:val="14"/>
          <w:color w:val="582C83"/>
        </w:rPr>
      </w:pPr>
      <w:r>
        <w:rPr>
          <w:rFonts w:ascii="Arial" w:cs="Arial" w:eastAsia="Arial" w:hAnsi="Arial"/>
          <w:sz w:val="14"/>
          <w:szCs w:val="14"/>
          <w:color w:val="auto"/>
        </w:rPr>
        <w:t>provides independent Board leadership and oversight, including on business matters and risk management activities;</w:t>
      </w:r>
    </w:p>
    <w:p>
      <w:pPr>
        <w:spacing w:after="0" w:line="1" w:lineRule="exact"/>
        <w:rPr>
          <w:rFonts w:ascii="Arial" w:cs="Arial" w:eastAsia="Arial" w:hAnsi="Arial"/>
          <w:sz w:val="14"/>
          <w:szCs w:val="14"/>
          <w:color w:val="582C83"/>
        </w:rPr>
      </w:pPr>
    </w:p>
    <w:p>
      <w:pPr>
        <w:ind w:left="123" w:right="120" w:hanging="123"/>
        <w:spacing w:after="0" w:line="301" w:lineRule="auto"/>
        <w:tabs>
          <w:tab w:leader="none" w:pos="123" w:val="left"/>
        </w:tabs>
        <w:numPr>
          <w:ilvl w:val="0"/>
          <w:numId w:val="10"/>
        </w:numPr>
        <w:rPr>
          <w:rFonts w:ascii="Arial" w:cs="Arial" w:eastAsia="Arial" w:hAnsi="Arial"/>
          <w:sz w:val="14"/>
          <w:szCs w:val="14"/>
          <w:color w:val="582C83"/>
        </w:rPr>
      </w:pPr>
      <w:r>
        <w:rPr>
          <w:rFonts w:ascii="Arial" w:cs="Arial" w:eastAsia="Arial" w:hAnsi="Arial"/>
          <w:sz w:val="14"/>
          <w:szCs w:val="14"/>
          <w:color w:val="auto"/>
        </w:rPr>
        <w:t>enhances independent directors’ input and investors’ perspectives on agendas and discussions;</w:t>
      </w:r>
    </w:p>
    <w:p>
      <w:pPr>
        <w:spacing w:after="0" w:line="1" w:lineRule="exact"/>
        <w:rPr>
          <w:rFonts w:ascii="Arial" w:cs="Arial" w:eastAsia="Arial" w:hAnsi="Arial"/>
          <w:sz w:val="14"/>
          <w:szCs w:val="14"/>
          <w:color w:val="582C83"/>
        </w:rPr>
      </w:pPr>
    </w:p>
    <w:p>
      <w:pPr>
        <w:ind w:left="123" w:right="160" w:hanging="123"/>
        <w:spacing w:after="0" w:line="311" w:lineRule="auto"/>
        <w:tabs>
          <w:tab w:leader="none" w:pos="123" w:val="left"/>
        </w:tabs>
        <w:numPr>
          <w:ilvl w:val="0"/>
          <w:numId w:val="10"/>
        </w:numPr>
        <w:rPr>
          <w:rFonts w:ascii="Arial" w:cs="Arial" w:eastAsia="Arial" w:hAnsi="Arial"/>
          <w:sz w:val="14"/>
          <w:szCs w:val="14"/>
          <w:color w:val="582C83"/>
        </w:rPr>
      </w:pPr>
      <w:r>
        <w:rPr>
          <w:rFonts w:ascii="Arial" w:cs="Arial" w:eastAsia="Arial" w:hAnsi="Arial"/>
          <w:sz w:val="14"/>
          <w:szCs w:val="14"/>
          <w:color w:val="auto"/>
        </w:rPr>
        <w:t>fosters candid discussion during regular executive sessions of the independent directors;</w:t>
      </w:r>
    </w:p>
    <w:p>
      <w:pPr>
        <w:spacing w:after="0" w:line="1" w:lineRule="exact"/>
        <w:rPr>
          <w:rFonts w:ascii="Arial" w:cs="Arial" w:eastAsia="Arial" w:hAnsi="Arial"/>
          <w:sz w:val="14"/>
          <w:szCs w:val="14"/>
          <w:color w:val="582C83"/>
        </w:rPr>
      </w:pPr>
    </w:p>
    <w:p>
      <w:pPr>
        <w:ind w:left="123" w:right="340" w:hanging="123"/>
        <w:spacing w:after="0" w:line="325" w:lineRule="auto"/>
        <w:tabs>
          <w:tab w:leader="none" w:pos="123" w:val="left"/>
        </w:tabs>
        <w:numPr>
          <w:ilvl w:val="0"/>
          <w:numId w:val="10"/>
        </w:numPr>
        <w:rPr>
          <w:rFonts w:ascii="Arial" w:cs="Arial" w:eastAsia="Arial" w:hAnsi="Arial"/>
          <w:sz w:val="14"/>
          <w:szCs w:val="14"/>
          <w:color w:val="582C83"/>
        </w:rPr>
      </w:pPr>
      <w:r>
        <w:rPr>
          <w:rFonts w:ascii="Arial" w:cs="Arial" w:eastAsia="Arial" w:hAnsi="Arial"/>
          <w:sz w:val="14"/>
          <w:szCs w:val="14"/>
          <w:color w:val="auto"/>
        </w:rPr>
        <w:t>facilitates effective communication and interaction between the Board and management;</w:t>
      </w:r>
    </w:p>
    <w:p>
      <w:pPr>
        <w:sectPr>
          <w:pgSz w:w="11900" w:h="16940" w:orient="portrait"/>
          <w:cols w:equalWidth="0" w:num="2">
            <w:col w:w="4220" w:space="357"/>
            <w:col w:w="4463"/>
          </w:cols>
          <w:pgMar w:left="1420" w:top="1440" w:right="1439" w:bottom="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4360" w:type="dxa"/>
            <w:vAlign w:val="bottom"/>
          </w:tcPr>
          <w:p>
            <w:pPr>
              <w:ind w:left="40"/>
              <w:spacing w:after="0"/>
              <w:rPr>
                <w:sz w:val="20"/>
                <w:szCs w:val="20"/>
                <w:color w:val="auto"/>
              </w:rPr>
            </w:pPr>
            <w:r>
              <w:rPr>
                <w:rFonts w:ascii="Arial" w:cs="Arial" w:eastAsia="Arial" w:hAnsi="Arial"/>
                <w:sz w:val="14"/>
                <w:szCs w:val="14"/>
                <w:color w:val="auto"/>
              </w:rPr>
              <w:t>and individual director self- and peer-evaluation processes;</w:t>
            </w:r>
          </w:p>
        </w:tc>
        <w:tc>
          <w:tcPr>
            <w:tcW w:w="160" w:type="dxa"/>
            <w:vAlign w:val="bottom"/>
          </w:tcPr>
          <w:p>
            <w:pPr>
              <w:ind w:left="60"/>
              <w:spacing w:after="0"/>
              <w:rPr>
                <w:sz w:val="20"/>
                <w:szCs w:val="20"/>
                <w:color w:val="auto"/>
              </w:rPr>
            </w:pPr>
            <w:r>
              <w:rPr>
                <w:rFonts w:ascii="Arial" w:cs="Arial" w:eastAsia="Arial" w:hAnsi="Arial"/>
                <w:sz w:val="14"/>
                <w:szCs w:val="14"/>
                <w:color w:val="582C83"/>
              </w:rPr>
              <w:t>•</w:t>
            </w:r>
          </w:p>
        </w:tc>
        <w:tc>
          <w:tcPr>
            <w:tcW w:w="4360" w:type="dxa"/>
            <w:vAlign w:val="bottom"/>
          </w:tcPr>
          <w:p>
            <w:pPr>
              <w:ind w:left="20"/>
              <w:spacing w:after="0"/>
              <w:rPr>
                <w:sz w:val="20"/>
                <w:szCs w:val="20"/>
                <w:color w:val="auto"/>
              </w:rPr>
            </w:pPr>
            <w:r>
              <w:rPr>
                <w:rFonts w:ascii="Arial" w:cs="Arial" w:eastAsia="Arial" w:hAnsi="Arial"/>
                <w:sz w:val="14"/>
                <w:szCs w:val="14"/>
                <w:color w:val="auto"/>
              </w:rPr>
              <w:t>serves as a liaison between the independent directors and the</w:t>
            </w:r>
          </w:p>
        </w:tc>
        <w:tc>
          <w:tcPr>
            <w:tcW w:w="0" w:type="dxa"/>
            <w:vAlign w:val="bottom"/>
          </w:tcPr>
          <w:p>
            <w:pPr>
              <w:spacing w:after="0"/>
              <w:rPr>
                <w:sz w:val="1"/>
                <w:szCs w:val="1"/>
                <w:color w:val="auto"/>
              </w:rPr>
            </w:pPr>
          </w:p>
        </w:tc>
      </w:tr>
      <w:tr>
        <w:trPr>
          <w:trHeight w:val="54"/>
        </w:trPr>
        <w:tc>
          <w:tcPr>
            <w:tcW w:w="45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Key Practice or Policy</w:t>
            </w:r>
          </w:p>
        </w:tc>
        <w:tc>
          <w:tcPr>
            <w:tcW w:w="45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Benefits</w:t>
            </w:r>
          </w:p>
        </w:tc>
        <w:tc>
          <w:tcPr>
            <w:tcW w:w="0" w:type="dxa"/>
            <w:vAlign w:val="bottom"/>
          </w:tcPr>
          <w:p>
            <w:pPr>
              <w:spacing w:after="0"/>
              <w:rPr>
                <w:sz w:val="1"/>
                <w:szCs w:val="1"/>
                <w:color w:val="auto"/>
              </w:rPr>
            </w:pPr>
          </w:p>
        </w:tc>
      </w:tr>
      <w:tr>
        <w:trPr>
          <w:trHeight w:val="180"/>
        </w:trPr>
        <w:tc>
          <w:tcPr>
            <w:tcW w:w="4520" w:type="dxa"/>
            <w:vAlign w:val="bottom"/>
            <w:gridSpan w:val="2"/>
          </w:tcPr>
          <w:p>
            <w:pPr>
              <w:ind w:left="60"/>
              <w:spacing w:after="0"/>
              <w:rPr>
                <w:sz w:val="20"/>
                <w:szCs w:val="20"/>
                <w:color w:val="auto"/>
              </w:rPr>
            </w:pPr>
            <w:r>
              <w:rPr>
                <w:rFonts w:ascii="Arial" w:cs="Arial" w:eastAsia="Arial" w:hAnsi="Arial"/>
                <w:sz w:val="14"/>
                <w:szCs w:val="14"/>
                <w:color w:val="582C83"/>
              </w:rPr>
              <w:t xml:space="preserve">• </w:t>
            </w:r>
            <w:r>
              <w:rPr>
                <w:rFonts w:ascii="Arial" w:cs="Arial" w:eastAsia="Arial" w:hAnsi="Arial"/>
                <w:sz w:val="14"/>
                <w:szCs w:val="14"/>
                <w:color w:val="000000"/>
              </w:rPr>
              <w:t>serves as an alternate member of all Board committees;</w:t>
            </w:r>
          </w:p>
        </w:tc>
        <w:tc>
          <w:tcPr>
            <w:tcW w:w="16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auto"/>
              </w:rPr>
              <w:t>Chair and CEO; and</w:t>
            </w:r>
          </w:p>
        </w:tc>
        <w:tc>
          <w:tcPr>
            <w:tcW w:w="0" w:type="dxa"/>
            <w:vAlign w:val="bottom"/>
          </w:tcPr>
          <w:p>
            <w:pPr>
              <w:spacing w:after="0"/>
              <w:rPr>
                <w:sz w:val="1"/>
                <w:szCs w:val="1"/>
                <w:color w:val="auto"/>
              </w:rPr>
            </w:pPr>
          </w:p>
        </w:tc>
      </w:tr>
      <w:tr>
        <w:trPr>
          <w:trHeight w:val="189"/>
        </w:trPr>
        <w:tc>
          <w:tcPr>
            <w:tcW w:w="160" w:type="dxa"/>
            <w:vAlign w:val="bottom"/>
          </w:tcPr>
          <w:p>
            <w:pPr>
              <w:ind w:left="60"/>
              <w:spacing w:after="0"/>
              <w:rPr>
                <w:sz w:val="20"/>
                <w:szCs w:val="20"/>
                <w:color w:val="auto"/>
              </w:rPr>
            </w:pPr>
            <w:r>
              <w:rPr>
                <w:rFonts w:ascii="Arial" w:cs="Arial" w:eastAsia="Arial" w:hAnsi="Arial"/>
                <w:sz w:val="14"/>
                <w:szCs w:val="14"/>
                <w:color w:val="582C83"/>
              </w:rPr>
              <w:t>•</w:t>
            </w:r>
          </w:p>
        </w:tc>
        <w:tc>
          <w:tcPr>
            <w:tcW w:w="4360" w:type="dxa"/>
            <w:vAlign w:val="bottom"/>
          </w:tcPr>
          <w:p>
            <w:pPr>
              <w:ind w:left="40"/>
              <w:spacing w:after="0"/>
              <w:rPr>
                <w:sz w:val="20"/>
                <w:szCs w:val="20"/>
                <w:color w:val="auto"/>
              </w:rPr>
            </w:pPr>
            <w:r>
              <w:rPr>
                <w:rFonts w:ascii="Arial" w:cs="Arial" w:eastAsia="Arial" w:hAnsi="Arial"/>
                <w:sz w:val="14"/>
                <w:szCs w:val="14"/>
                <w:color w:val="auto"/>
              </w:rPr>
              <w:t>conducts the annual Board and individual director self- and</w:t>
            </w:r>
          </w:p>
        </w:tc>
        <w:tc>
          <w:tcPr>
            <w:tcW w:w="160" w:type="dxa"/>
            <w:vAlign w:val="bottom"/>
          </w:tcPr>
          <w:p>
            <w:pPr>
              <w:ind w:left="60"/>
              <w:spacing w:after="0"/>
              <w:rPr>
                <w:sz w:val="20"/>
                <w:szCs w:val="20"/>
                <w:color w:val="auto"/>
              </w:rPr>
            </w:pPr>
            <w:r>
              <w:rPr>
                <w:rFonts w:ascii="Arial" w:cs="Arial" w:eastAsia="Arial" w:hAnsi="Arial"/>
                <w:sz w:val="14"/>
                <w:szCs w:val="14"/>
                <w:color w:val="582C83"/>
              </w:rPr>
              <w:t>•</w:t>
            </w:r>
          </w:p>
        </w:tc>
        <w:tc>
          <w:tcPr>
            <w:tcW w:w="4360" w:type="dxa"/>
            <w:vAlign w:val="bottom"/>
          </w:tcPr>
          <w:p>
            <w:pPr>
              <w:ind w:left="20"/>
              <w:spacing w:after="0"/>
              <w:rPr>
                <w:sz w:val="20"/>
                <w:szCs w:val="20"/>
                <w:color w:val="auto"/>
              </w:rPr>
            </w:pPr>
            <w:r>
              <w:rPr>
                <w:rFonts w:ascii="Arial" w:cs="Arial" w:eastAsia="Arial" w:hAnsi="Arial"/>
                <w:sz w:val="14"/>
                <w:szCs w:val="14"/>
                <w:color w:val="auto"/>
              </w:rPr>
              <w:t>provides feedback to management regarding Board concerns and</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4360" w:type="dxa"/>
            <w:vAlign w:val="bottom"/>
          </w:tcPr>
          <w:p>
            <w:pPr>
              <w:ind w:left="40"/>
              <w:spacing w:after="0"/>
              <w:rPr>
                <w:sz w:val="20"/>
                <w:szCs w:val="20"/>
                <w:color w:val="auto"/>
              </w:rPr>
            </w:pPr>
            <w:r>
              <w:rPr>
                <w:rFonts w:ascii="Arial" w:cs="Arial" w:eastAsia="Arial" w:hAnsi="Arial"/>
                <w:sz w:val="14"/>
                <w:szCs w:val="14"/>
                <w:color w:val="auto"/>
              </w:rPr>
              <w:t>peer-evaluation processes in coordination with the Governance,</w:t>
            </w:r>
          </w:p>
        </w:tc>
        <w:tc>
          <w:tcPr>
            <w:tcW w:w="160" w:type="dxa"/>
            <w:vAlign w:val="bottom"/>
          </w:tcPr>
          <w:p>
            <w:pPr>
              <w:spacing w:after="0"/>
              <w:rPr>
                <w:sz w:val="16"/>
                <w:szCs w:val="16"/>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auto"/>
              </w:rPr>
              <w:t>information needs.</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tcPr>
          <w:p>
            <w:pPr>
              <w:ind w:left="40"/>
              <w:spacing w:after="0"/>
              <w:rPr>
                <w:sz w:val="20"/>
                <w:szCs w:val="20"/>
                <w:color w:val="auto"/>
              </w:rPr>
            </w:pPr>
            <w:r>
              <w:rPr>
                <w:rFonts w:ascii="Arial" w:cs="Arial" w:eastAsia="Arial" w:hAnsi="Arial"/>
                <w:sz w:val="14"/>
                <w:szCs w:val="14"/>
                <w:color w:val="auto"/>
              </w:rPr>
              <w:t>Membership, and Sustainability Committee (the “Governance</w:t>
            </w:r>
          </w:p>
        </w:tc>
        <w:tc>
          <w:tcPr>
            <w:tcW w:w="1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4360" w:type="dxa"/>
            <w:vAlign w:val="bottom"/>
          </w:tcPr>
          <w:p>
            <w:pPr>
              <w:ind w:left="40"/>
              <w:spacing w:after="0"/>
              <w:rPr>
                <w:sz w:val="20"/>
                <w:szCs w:val="20"/>
                <w:color w:val="auto"/>
              </w:rPr>
            </w:pPr>
            <w:r>
              <w:rPr>
                <w:rFonts w:ascii="Arial" w:cs="Arial" w:eastAsia="Arial" w:hAnsi="Arial"/>
                <w:sz w:val="14"/>
                <w:szCs w:val="14"/>
                <w:color w:val="auto"/>
              </w:rPr>
              <w:t>Committee”); and</w:t>
            </w:r>
          </w:p>
        </w:tc>
        <w:tc>
          <w:tcPr>
            <w:tcW w:w="1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0" w:type="dxa"/>
            <w:vAlign w:val="bottom"/>
          </w:tcPr>
          <w:p>
            <w:pPr>
              <w:ind w:left="60"/>
              <w:spacing w:after="0"/>
              <w:rPr>
                <w:sz w:val="20"/>
                <w:szCs w:val="20"/>
                <w:color w:val="auto"/>
              </w:rPr>
            </w:pPr>
            <w:r>
              <w:rPr>
                <w:rFonts w:ascii="Arial" w:cs="Arial" w:eastAsia="Arial" w:hAnsi="Arial"/>
                <w:sz w:val="14"/>
                <w:szCs w:val="14"/>
                <w:color w:val="582C83"/>
              </w:rPr>
              <w:t>•</w:t>
            </w:r>
          </w:p>
        </w:tc>
        <w:tc>
          <w:tcPr>
            <w:tcW w:w="4360" w:type="dxa"/>
            <w:vAlign w:val="bottom"/>
          </w:tcPr>
          <w:p>
            <w:pPr>
              <w:ind w:left="40"/>
              <w:spacing w:after="0"/>
              <w:rPr>
                <w:sz w:val="20"/>
                <w:szCs w:val="20"/>
                <w:color w:val="auto"/>
              </w:rPr>
            </w:pPr>
            <w:r>
              <w:rPr>
                <w:rFonts w:ascii="Arial" w:cs="Arial" w:eastAsia="Arial" w:hAnsi="Arial"/>
                <w:sz w:val="14"/>
                <w:szCs w:val="14"/>
                <w:color w:val="auto"/>
              </w:rPr>
              <w:t>consults with shareholders.</w:t>
            </w:r>
          </w:p>
        </w:tc>
        <w:tc>
          <w:tcPr>
            <w:tcW w:w="1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520" w:type="dxa"/>
            <w:vAlign w:val="bottom"/>
            <w:gridSpan w:val="2"/>
          </w:tcPr>
          <w:p>
            <w:pPr>
              <w:ind w:left="60"/>
              <w:spacing w:after="0"/>
              <w:rPr>
                <w:sz w:val="20"/>
                <w:szCs w:val="20"/>
                <w:color w:val="auto"/>
              </w:rPr>
            </w:pPr>
            <w:r>
              <w:rPr>
                <w:rFonts w:ascii="Arial" w:cs="Arial" w:eastAsia="Arial" w:hAnsi="Arial"/>
                <w:sz w:val="14"/>
                <w:szCs w:val="14"/>
                <w:b w:val="1"/>
                <w:bCs w:val="1"/>
                <w:color w:val="582C83"/>
              </w:rPr>
              <w:t>Majority Independent Board.</w:t>
            </w:r>
          </w:p>
        </w:tc>
        <w:tc>
          <w:tcPr>
            <w:tcW w:w="160" w:type="dxa"/>
            <w:vAlign w:val="bottom"/>
          </w:tcPr>
          <w:p>
            <w:pPr>
              <w:ind w:left="60"/>
              <w:spacing w:after="0"/>
              <w:rPr>
                <w:sz w:val="20"/>
                <w:szCs w:val="20"/>
                <w:color w:val="auto"/>
              </w:rPr>
            </w:pPr>
            <w:r>
              <w:rPr>
                <w:rFonts w:ascii="Arial" w:cs="Arial" w:eastAsia="Arial" w:hAnsi="Arial"/>
                <w:sz w:val="17"/>
                <w:szCs w:val="17"/>
                <w:color w:val="582C83"/>
              </w:rPr>
              <w:t>•</w:t>
            </w:r>
          </w:p>
        </w:tc>
        <w:tc>
          <w:tcPr>
            <w:tcW w:w="4360" w:type="dxa"/>
            <w:vAlign w:val="bottom"/>
          </w:tcPr>
          <w:p>
            <w:pPr>
              <w:ind w:left="20"/>
              <w:spacing w:after="0"/>
              <w:rPr>
                <w:sz w:val="20"/>
                <w:szCs w:val="20"/>
                <w:color w:val="auto"/>
              </w:rPr>
            </w:pPr>
            <w:r>
              <w:rPr>
                <w:rFonts w:ascii="Arial" w:cs="Arial" w:eastAsia="Arial" w:hAnsi="Arial"/>
                <w:sz w:val="14"/>
                <w:szCs w:val="14"/>
                <w:color w:val="auto"/>
              </w:rPr>
              <w:t>Provides independent Board oversight of management on behalf</w:t>
            </w:r>
          </w:p>
        </w:tc>
        <w:tc>
          <w:tcPr>
            <w:tcW w:w="0" w:type="dxa"/>
            <w:vAlign w:val="bottom"/>
          </w:tcPr>
          <w:p>
            <w:pPr>
              <w:spacing w:after="0"/>
              <w:rPr>
                <w:sz w:val="1"/>
                <w:szCs w:val="1"/>
                <w:color w:val="auto"/>
              </w:rPr>
            </w:pPr>
          </w:p>
        </w:tc>
      </w:tr>
      <w:tr>
        <w:trPr>
          <w:trHeight w:val="190"/>
        </w:trPr>
        <w:tc>
          <w:tcPr>
            <w:tcW w:w="160" w:type="dxa"/>
            <w:vAlign w:val="bottom"/>
            <w:vMerge w:val="restart"/>
          </w:tcPr>
          <w:p>
            <w:pPr>
              <w:ind w:left="60"/>
              <w:spacing w:after="0"/>
              <w:rPr>
                <w:sz w:val="20"/>
                <w:szCs w:val="20"/>
                <w:color w:val="auto"/>
              </w:rPr>
            </w:pPr>
            <w:r>
              <w:rPr>
                <w:rFonts w:ascii="Arial" w:cs="Arial" w:eastAsia="Arial" w:hAnsi="Arial"/>
                <w:sz w:val="14"/>
                <w:szCs w:val="14"/>
                <w:color w:val="582C83"/>
              </w:rPr>
              <w:t>•</w:t>
            </w:r>
          </w:p>
        </w:tc>
        <w:tc>
          <w:tcPr>
            <w:tcW w:w="4360" w:type="dxa"/>
            <w:vAlign w:val="bottom"/>
            <w:vMerge w:val="restart"/>
          </w:tcPr>
          <w:p>
            <w:pPr>
              <w:ind w:left="40"/>
              <w:spacing w:after="0"/>
              <w:rPr>
                <w:sz w:val="20"/>
                <w:szCs w:val="20"/>
                <w:color w:val="auto"/>
              </w:rPr>
            </w:pPr>
            <w:r>
              <w:rPr>
                <w:rFonts w:ascii="Arial" w:cs="Arial" w:eastAsia="Arial" w:hAnsi="Arial"/>
                <w:sz w:val="14"/>
                <w:szCs w:val="14"/>
                <w:color w:val="auto"/>
              </w:rPr>
              <w:t>At least 80% of our directors must meet the independence</w:t>
            </w:r>
          </w:p>
        </w:tc>
        <w:tc>
          <w:tcPr>
            <w:tcW w:w="160" w:type="dxa"/>
            <w:vAlign w:val="bottom"/>
          </w:tcPr>
          <w:p>
            <w:pPr>
              <w:spacing w:after="0"/>
              <w:rPr>
                <w:sz w:val="16"/>
                <w:szCs w:val="16"/>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auto"/>
              </w:rPr>
              <w:t>of shareholders.</w:t>
            </w:r>
          </w:p>
        </w:tc>
        <w:tc>
          <w:tcPr>
            <w:tcW w:w="0" w:type="dxa"/>
            <w:vAlign w:val="bottom"/>
          </w:tcPr>
          <w:p>
            <w:pPr>
              <w:spacing w:after="0"/>
              <w:rPr>
                <w:sz w:val="1"/>
                <w:szCs w:val="1"/>
                <w:color w:val="auto"/>
              </w:rPr>
            </w:pPr>
          </w:p>
        </w:tc>
      </w:tr>
      <w:tr>
        <w:trPr>
          <w:trHeight w:val="80"/>
        </w:trPr>
        <w:tc>
          <w:tcPr>
            <w:tcW w:w="160" w:type="dxa"/>
            <w:vAlign w:val="bottom"/>
            <w:vMerge w:val="continue"/>
          </w:tcPr>
          <w:p>
            <w:pPr>
              <w:spacing w:after="0"/>
              <w:rPr>
                <w:sz w:val="6"/>
                <w:szCs w:val="6"/>
                <w:color w:val="auto"/>
              </w:rPr>
            </w:pPr>
          </w:p>
        </w:tc>
        <w:tc>
          <w:tcPr>
            <w:tcW w:w="4360" w:type="dxa"/>
            <w:vAlign w:val="bottom"/>
            <w:vMerge w:val="continue"/>
          </w:tcPr>
          <w:p>
            <w:pPr>
              <w:spacing w:after="0"/>
              <w:rPr>
                <w:sz w:val="6"/>
                <w:szCs w:val="6"/>
                <w:color w:val="auto"/>
              </w:rPr>
            </w:pPr>
          </w:p>
        </w:tc>
        <w:tc>
          <w:tcPr>
            <w:tcW w:w="160" w:type="dxa"/>
            <w:vAlign w:val="bottom"/>
            <w:vMerge w:val="restart"/>
          </w:tcPr>
          <w:p>
            <w:pPr>
              <w:ind w:left="60"/>
              <w:spacing w:after="0"/>
              <w:rPr>
                <w:sz w:val="20"/>
                <w:szCs w:val="20"/>
                <w:color w:val="auto"/>
              </w:rPr>
            </w:pPr>
            <w:r>
              <w:rPr>
                <w:rFonts w:ascii="Arial" w:cs="Arial" w:eastAsia="Arial" w:hAnsi="Arial"/>
                <w:sz w:val="17"/>
                <w:szCs w:val="17"/>
                <w:color w:val="582C83"/>
              </w:rPr>
              <w:t>•</w:t>
            </w:r>
          </w:p>
        </w:tc>
        <w:tc>
          <w:tcPr>
            <w:tcW w:w="4360" w:type="dxa"/>
            <w:vAlign w:val="bottom"/>
            <w:vMerge w:val="restart"/>
          </w:tcPr>
          <w:p>
            <w:pPr>
              <w:ind w:left="20"/>
              <w:spacing w:after="0"/>
              <w:rPr>
                <w:sz w:val="20"/>
                <w:szCs w:val="20"/>
                <w:color w:val="auto"/>
              </w:rPr>
            </w:pPr>
            <w:r>
              <w:rPr>
                <w:rFonts w:ascii="Arial" w:cs="Arial" w:eastAsia="Arial" w:hAnsi="Arial"/>
                <w:sz w:val="14"/>
                <w:szCs w:val="14"/>
                <w:color w:val="auto"/>
              </w:rPr>
              <w:t>Board composed entirely of independent directors, with the</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360" w:type="dxa"/>
            <w:vAlign w:val="bottom"/>
          </w:tcPr>
          <w:p>
            <w:pPr>
              <w:ind w:left="40"/>
              <w:spacing w:after="0"/>
              <w:rPr>
                <w:sz w:val="20"/>
                <w:szCs w:val="20"/>
                <w:color w:val="auto"/>
              </w:rPr>
            </w:pPr>
            <w:r>
              <w:rPr>
                <w:rFonts w:ascii="Arial" w:cs="Arial" w:eastAsia="Arial" w:hAnsi="Arial"/>
                <w:sz w:val="14"/>
                <w:szCs w:val="14"/>
                <w:color w:val="auto"/>
              </w:rPr>
              <w:t>requirements prescribed by Nasdaq listing standards.</w:t>
            </w:r>
          </w:p>
        </w:tc>
        <w:tc>
          <w:tcPr>
            <w:tcW w:w="160" w:type="dxa"/>
            <w:vAlign w:val="bottom"/>
            <w:vMerge w:val="continue"/>
          </w:tcPr>
          <w:p>
            <w:pPr>
              <w:spacing w:after="0"/>
              <w:rPr>
                <w:sz w:val="15"/>
                <w:szCs w:val="15"/>
                <w:color w:val="auto"/>
              </w:rPr>
            </w:pPr>
          </w:p>
        </w:tc>
        <w:tc>
          <w:tcPr>
            <w:tcW w:w="4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0" w:type="dxa"/>
            <w:vAlign w:val="bottom"/>
            <w:vMerge w:val="restart"/>
          </w:tcPr>
          <w:p>
            <w:pPr>
              <w:ind w:left="60"/>
              <w:spacing w:after="0"/>
              <w:rPr>
                <w:sz w:val="20"/>
                <w:szCs w:val="20"/>
                <w:color w:val="auto"/>
              </w:rPr>
            </w:pPr>
            <w:r>
              <w:rPr>
                <w:rFonts w:ascii="Arial" w:cs="Arial" w:eastAsia="Arial" w:hAnsi="Arial"/>
                <w:sz w:val="14"/>
                <w:szCs w:val="14"/>
                <w:color w:val="582C83"/>
              </w:rPr>
              <w:t>•</w:t>
            </w:r>
          </w:p>
        </w:tc>
        <w:tc>
          <w:tcPr>
            <w:tcW w:w="4360" w:type="dxa"/>
            <w:vAlign w:val="bottom"/>
            <w:vMerge w:val="restart"/>
          </w:tcPr>
          <w:p>
            <w:pPr>
              <w:ind w:left="40"/>
              <w:spacing w:after="0"/>
              <w:rPr>
                <w:sz w:val="20"/>
                <w:szCs w:val="20"/>
                <w:color w:val="auto"/>
              </w:rPr>
            </w:pPr>
            <w:r>
              <w:rPr>
                <w:rFonts w:ascii="Arial" w:cs="Arial" w:eastAsia="Arial" w:hAnsi="Arial"/>
                <w:sz w:val="14"/>
                <w:szCs w:val="14"/>
                <w:color w:val="auto"/>
              </w:rPr>
              <w:t>The Corporate Governance Guidelines (the “Guidelines”)</w:t>
            </w:r>
          </w:p>
        </w:tc>
        <w:tc>
          <w:tcPr>
            <w:tcW w:w="160" w:type="dxa"/>
            <w:vAlign w:val="bottom"/>
          </w:tcPr>
          <w:p>
            <w:pPr>
              <w:spacing w:after="0"/>
              <w:rPr>
                <w:sz w:val="16"/>
                <w:szCs w:val="16"/>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auto"/>
              </w:rPr>
              <w:t>exception of the CEO.</w:t>
            </w:r>
          </w:p>
        </w:tc>
        <w:tc>
          <w:tcPr>
            <w:tcW w:w="0" w:type="dxa"/>
            <w:vAlign w:val="bottom"/>
          </w:tcPr>
          <w:p>
            <w:pPr>
              <w:spacing w:after="0"/>
              <w:rPr>
                <w:sz w:val="1"/>
                <w:szCs w:val="1"/>
                <w:color w:val="auto"/>
              </w:rPr>
            </w:pPr>
          </w:p>
        </w:tc>
      </w:tr>
      <w:tr>
        <w:trPr>
          <w:trHeight w:val="53"/>
        </w:trPr>
        <w:tc>
          <w:tcPr>
            <w:tcW w:w="160" w:type="dxa"/>
            <w:vAlign w:val="bottom"/>
            <w:vMerge w:val="continue"/>
          </w:tcPr>
          <w:p>
            <w:pPr>
              <w:spacing w:after="0"/>
              <w:rPr>
                <w:sz w:val="4"/>
                <w:szCs w:val="4"/>
                <w:color w:val="auto"/>
              </w:rPr>
            </w:pPr>
          </w:p>
        </w:tc>
        <w:tc>
          <w:tcPr>
            <w:tcW w:w="4360" w:type="dxa"/>
            <w:vAlign w:val="bottom"/>
            <w:vMerge w:val="continue"/>
          </w:tcPr>
          <w:p>
            <w:pPr>
              <w:spacing w:after="0"/>
              <w:rPr>
                <w:sz w:val="4"/>
                <w:szCs w:val="4"/>
                <w:color w:val="auto"/>
              </w:rPr>
            </w:pPr>
          </w:p>
        </w:tc>
        <w:tc>
          <w:tcPr>
            <w:tcW w:w="160" w:type="dxa"/>
            <w:vAlign w:val="bottom"/>
            <w:vMerge w:val="restart"/>
          </w:tcPr>
          <w:p>
            <w:pPr>
              <w:ind w:left="60"/>
              <w:spacing w:after="0"/>
              <w:rPr>
                <w:sz w:val="20"/>
                <w:szCs w:val="20"/>
                <w:color w:val="auto"/>
              </w:rPr>
            </w:pPr>
            <w:r>
              <w:rPr>
                <w:rFonts w:ascii="Arial" w:cs="Arial" w:eastAsia="Arial" w:hAnsi="Arial"/>
                <w:sz w:val="17"/>
                <w:szCs w:val="17"/>
                <w:color w:val="582C83"/>
              </w:rPr>
              <w:t>•</w:t>
            </w:r>
          </w:p>
        </w:tc>
        <w:tc>
          <w:tcPr>
            <w:tcW w:w="4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4360" w:type="dxa"/>
            <w:vAlign w:val="bottom"/>
          </w:tcPr>
          <w:p>
            <w:pPr>
              <w:ind w:left="40"/>
              <w:spacing w:after="0"/>
              <w:rPr>
                <w:sz w:val="20"/>
                <w:szCs w:val="20"/>
                <w:color w:val="auto"/>
              </w:rPr>
            </w:pPr>
            <w:r>
              <w:rPr>
                <w:rFonts w:ascii="Arial" w:cs="Arial" w:eastAsia="Arial" w:hAnsi="Arial"/>
                <w:sz w:val="14"/>
                <w:szCs w:val="14"/>
                <w:color w:val="auto"/>
              </w:rPr>
              <w:t>provide that currently the Chair and CEO should be the only</w:t>
            </w:r>
          </w:p>
        </w:tc>
        <w:tc>
          <w:tcPr>
            <w:tcW w:w="160" w:type="dxa"/>
            <w:vAlign w:val="bottom"/>
            <w:vMerge w:val="continue"/>
          </w:tcPr>
          <w:p>
            <w:pPr>
              <w:spacing w:after="0"/>
              <w:rPr>
                <w:sz w:val="16"/>
                <w:szCs w:val="16"/>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auto"/>
              </w:rPr>
              <w:t>Committees composed entirely of and chaired by</w:t>
            </w: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4360" w:type="dxa"/>
            <w:vAlign w:val="bottom"/>
          </w:tcPr>
          <w:p>
            <w:pPr>
              <w:ind w:left="40"/>
              <w:spacing w:after="0"/>
              <w:rPr>
                <w:sz w:val="20"/>
                <w:szCs w:val="20"/>
                <w:color w:val="auto"/>
              </w:rPr>
            </w:pPr>
            <w:r>
              <w:rPr>
                <w:rFonts w:ascii="Arial" w:cs="Arial" w:eastAsia="Arial" w:hAnsi="Arial"/>
                <w:sz w:val="14"/>
                <w:szCs w:val="14"/>
                <w:color w:val="auto"/>
              </w:rPr>
              <w:t>member of management to serve as a director.</w:t>
            </w:r>
          </w:p>
        </w:tc>
        <w:tc>
          <w:tcPr>
            <w:tcW w:w="160" w:type="dxa"/>
            <w:vAlign w:val="bottom"/>
          </w:tcPr>
          <w:p>
            <w:pPr>
              <w:spacing w:after="0"/>
              <w:rPr>
                <w:sz w:val="17"/>
                <w:szCs w:val="17"/>
                <w:color w:val="auto"/>
              </w:rPr>
            </w:pPr>
          </w:p>
        </w:tc>
        <w:tc>
          <w:tcPr>
            <w:tcW w:w="4360" w:type="dxa"/>
            <w:vAlign w:val="bottom"/>
          </w:tcPr>
          <w:p>
            <w:pPr>
              <w:ind w:left="20"/>
              <w:spacing w:after="0"/>
              <w:rPr>
                <w:sz w:val="20"/>
                <w:szCs w:val="20"/>
                <w:color w:val="auto"/>
              </w:rPr>
            </w:pPr>
            <w:r>
              <w:rPr>
                <w:rFonts w:ascii="Arial" w:cs="Arial" w:eastAsia="Arial" w:hAnsi="Arial"/>
                <w:sz w:val="14"/>
                <w:szCs w:val="14"/>
                <w:color w:val="auto"/>
              </w:rPr>
              <w:t>independent directors.</w:t>
            </w:r>
          </w:p>
        </w:tc>
        <w:tc>
          <w:tcPr>
            <w:tcW w:w="0" w:type="dxa"/>
            <w:vAlign w:val="bottom"/>
          </w:tcPr>
          <w:p>
            <w:pPr>
              <w:spacing w:after="0"/>
              <w:rPr>
                <w:sz w:val="1"/>
                <w:szCs w:val="1"/>
                <w:color w:val="auto"/>
              </w:rPr>
            </w:pPr>
          </w:p>
        </w:tc>
      </w:tr>
      <w:tr>
        <w:trPr>
          <w:trHeight w:val="336"/>
        </w:trPr>
        <w:tc>
          <w:tcPr>
            <w:tcW w:w="4520" w:type="dxa"/>
            <w:vAlign w:val="bottom"/>
            <w:gridSpan w:val="2"/>
          </w:tcPr>
          <w:p>
            <w:pPr>
              <w:ind w:left="60"/>
              <w:spacing w:after="0"/>
              <w:rPr>
                <w:sz w:val="20"/>
                <w:szCs w:val="20"/>
                <w:color w:val="auto"/>
              </w:rPr>
            </w:pPr>
            <w:r>
              <w:rPr>
                <w:rFonts w:ascii="Arial" w:cs="Arial" w:eastAsia="Arial" w:hAnsi="Arial"/>
                <w:sz w:val="14"/>
                <w:szCs w:val="14"/>
                <w:b w:val="1"/>
                <w:bCs w:val="1"/>
                <w:color w:val="582C83"/>
              </w:rPr>
              <w:t xml:space="preserve">Annual Election of Directors. </w:t>
            </w:r>
            <w:r>
              <w:rPr>
                <w:rFonts w:ascii="Arial" w:cs="Arial" w:eastAsia="Arial" w:hAnsi="Arial"/>
                <w:sz w:val="14"/>
                <w:szCs w:val="14"/>
                <w:color w:val="000000"/>
              </w:rPr>
              <w:t>Shareholders elect directors</w:t>
            </w:r>
          </w:p>
        </w:tc>
        <w:tc>
          <w:tcPr>
            <w:tcW w:w="4520" w:type="dxa"/>
            <w:vAlign w:val="bottom"/>
            <w:gridSpan w:val="2"/>
          </w:tcPr>
          <w:p>
            <w:pPr>
              <w:ind w:left="60"/>
              <w:spacing w:after="0"/>
              <w:rPr>
                <w:sz w:val="20"/>
                <w:szCs w:val="20"/>
                <w:color w:val="auto"/>
              </w:rPr>
            </w:pPr>
            <w:r>
              <w:rPr>
                <w:rFonts w:ascii="Arial" w:cs="Arial" w:eastAsia="Arial" w:hAnsi="Arial"/>
                <w:sz w:val="14"/>
                <w:szCs w:val="14"/>
                <w:color w:val="auto"/>
              </w:rPr>
              <w:t>Strengthens Board, committee, and individual director accountability.</w:t>
            </w:r>
          </w:p>
        </w:tc>
        <w:tc>
          <w:tcPr>
            <w:tcW w:w="0" w:type="dxa"/>
            <w:vAlign w:val="bottom"/>
          </w:tcPr>
          <w:p>
            <w:pPr>
              <w:spacing w:after="0"/>
              <w:rPr>
                <w:sz w:val="1"/>
                <w:szCs w:val="1"/>
                <w:color w:val="auto"/>
              </w:rPr>
            </w:pPr>
          </w:p>
        </w:tc>
      </w:tr>
      <w:tr>
        <w:trPr>
          <w:trHeight w:val="190"/>
        </w:trPr>
        <w:tc>
          <w:tcPr>
            <w:tcW w:w="4520" w:type="dxa"/>
            <w:vAlign w:val="bottom"/>
            <w:gridSpan w:val="2"/>
          </w:tcPr>
          <w:p>
            <w:pPr>
              <w:ind w:left="60"/>
              <w:spacing w:after="0"/>
              <w:rPr>
                <w:sz w:val="20"/>
                <w:szCs w:val="20"/>
                <w:color w:val="auto"/>
              </w:rPr>
            </w:pPr>
            <w:r>
              <w:rPr>
                <w:rFonts w:ascii="Arial" w:cs="Arial" w:eastAsia="Arial" w:hAnsi="Arial"/>
                <w:sz w:val="14"/>
                <w:szCs w:val="14"/>
                <w:color w:val="auto"/>
              </w:rPr>
              <w:t>annually by majority vote in uncontested elections.</w:t>
            </w:r>
          </w:p>
        </w:tc>
        <w:tc>
          <w:tcPr>
            <w:tcW w:w="1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4520" w:type="dxa"/>
            <w:vAlign w:val="bottom"/>
            <w:tcBorders>
              <w:bottom w:val="single" w:sz="8" w:color="582C83"/>
            </w:tcBorders>
            <w:gridSpan w:val="2"/>
          </w:tcPr>
          <w:p>
            <w:pPr>
              <w:ind w:left="60"/>
              <w:spacing w:after="0"/>
              <w:rPr>
                <w:sz w:val="20"/>
                <w:szCs w:val="20"/>
                <w:color w:val="auto"/>
              </w:rPr>
            </w:pPr>
            <w:r>
              <w:rPr>
                <w:rFonts w:ascii="Arial" w:cs="Arial" w:eastAsia="Arial" w:hAnsi="Arial"/>
                <w:sz w:val="14"/>
                <w:szCs w:val="14"/>
                <w:b w:val="1"/>
                <w:bCs w:val="1"/>
                <w:color w:val="582C83"/>
              </w:rPr>
              <w:t xml:space="preserve">Proxy Access. </w:t>
            </w:r>
            <w:r>
              <w:rPr>
                <w:rFonts w:ascii="Arial" w:cs="Arial" w:eastAsia="Arial" w:hAnsi="Arial"/>
                <w:sz w:val="14"/>
                <w:szCs w:val="14"/>
                <w:color w:val="000000"/>
              </w:rPr>
              <w:t>Shareholders that own 3% or more of our</w:t>
            </w:r>
          </w:p>
        </w:tc>
        <w:tc>
          <w:tcPr>
            <w:tcW w:w="4520" w:type="dxa"/>
            <w:vAlign w:val="bottom"/>
            <w:tcBorders>
              <w:bottom w:val="single" w:sz="8" w:color="582C83"/>
            </w:tcBorders>
            <w:gridSpan w:val="2"/>
          </w:tcPr>
          <w:p>
            <w:pPr>
              <w:ind w:left="60"/>
              <w:spacing w:after="0"/>
              <w:rPr>
                <w:sz w:val="20"/>
                <w:szCs w:val="20"/>
                <w:color w:val="auto"/>
              </w:rPr>
            </w:pPr>
            <w:r>
              <w:rPr>
                <w:rFonts w:ascii="Arial" w:cs="Arial" w:eastAsia="Arial" w:hAnsi="Arial"/>
                <w:sz w:val="14"/>
                <w:szCs w:val="14"/>
                <w:color w:val="auto"/>
              </w:rPr>
              <w:t>Strengthens Board accountability and encourages engagement with</w:t>
            </w:r>
          </w:p>
        </w:tc>
        <w:tc>
          <w:tcPr>
            <w:tcW w:w="0" w:type="dxa"/>
            <w:vAlign w:val="bottom"/>
          </w:tcPr>
          <w:p>
            <w:pPr>
              <w:spacing w:after="0"/>
              <w:rPr>
                <w:sz w:val="1"/>
                <w:szCs w:val="1"/>
                <w:color w:val="auto"/>
              </w:rPr>
            </w:pPr>
          </w:p>
        </w:tc>
      </w:tr>
      <w:tr>
        <w:trPr>
          <w:trHeight w:val="160"/>
        </w:trPr>
        <w:tc>
          <w:tcPr>
            <w:tcW w:w="4520" w:type="dxa"/>
            <w:vAlign w:val="bottom"/>
            <w:gridSpan w:val="2"/>
          </w:tcPr>
          <w:p>
            <w:pPr>
              <w:ind w:left="60"/>
              <w:spacing w:after="0" w:line="160" w:lineRule="exact"/>
              <w:rPr>
                <w:sz w:val="20"/>
                <w:szCs w:val="20"/>
                <w:color w:val="auto"/>
              </w:rPr>
            </w:pPr>
            <w:r>
              <w:rPr>
                <w:rFonts w:ascii="Arial" w:cs="Arial" w:eastAsia="Arial" w:hAnsi="Arial"/>
                <w:sz w:val="14"/>
                <w:szCs w:val="14"/>
                <w:color w:val="auto"/>
              </w:rPr>
              <w:t>outstanding Common Stock continuously for at least three</w:t>
            </w:r>
          </w:p>
        </w:tc>
        <w:tc>
          <w:tcPr>
            <w:tcW w:w="4520" w:type="dxa"/>
            <w:vAlign w:val="bottom"/>
            <w:gridSpan w:val="2"/>
          </w:tcPr>
          <w:p>
            <w:pPr>
              <w:ind w:left="60"/>
              <w:spacing w:after="0" w:line="160" w:lineRule="exact"/>
              <w:rPr>
                <w:sz w:val="20"/>
                <w:szCs w:val="20"/>
                <w:color w:val="auto"/>
              </w:rPr>
            </w:pPr>
            <w:r>
              <w:rPr>
                <w:rFonts w:ascii="Arial" w:cs="Arial" w:eastAsia="Arial" w:hAnsi="Arial"/>
                <w:sz w:val="14"/>
                <w:szCs w:val="14"/>
                <w:color w:val="auto"/>
              </w:rPr>
              <w:t>shareholders regarding Board composition.</w:t>
            </w:r>
          </w:p>
        </w:tc>
        <w:tc>
          <w:tcPr>
            <w:tcW w:w="0" w:type="dxa"/>
            <w:vAlign w:val="bottom"/>
          </w:tcPr>
          <w:p>
            <w:pPr>
              <w:spacing w:after="0"/>
              <w:rPr>
                <w:sz w:val="1"/>
                <w:szCs w:val="1"/>
                <w:color w:val="auto"/>
              </w:rPr>
            </w:pPr>
          </w:p>
        </w:tc>
      </w:tr>
      <w:tr>
        <w:trPr>
          <w:trHeight w:val="189"/>
        </w:trPr>
        <w:tc>
          <w:tcPr>
            <w:tcW w:w="4520" w:type="dxa"/>
            <w:vAlign w:val="bottom"/>
            <w:gridSpan w:val="2"/>
          </w:tcPr>
          <w:p>
            <w:pPr>
              <w:ind w:left="60"/>
              <w:spacing w:after="0"/>
              <w:rPr>
                <w:sz w:val="20"/>
                <w:szCs w:val="20"/>
                <w:color w:val="auto"/>
              </w:rPr>
            </w:pPr>
            <w:r>
              <w:rPr>
                <w:rFonts w:ascii="Arial" w:cs="Arial" w:eastAsia="Arial" w:hAnsi="Arial"/>
                <w:sz w:val="14"/>
                <w:szCs w:val="14"/>
                <w:color w:val="auto"/>
              </w:rPr>
              <w:t>years may nominate up to two director nominees to our</w:t>
            </w:r>
          </w:p>
        </w:tc>
        <w:tc>
          <w:tcPr>
            <w:tcW w:w="1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20" w:type="dxa"/>
            <w:vAlign w:val="bottom"/>
            <w:gridSpan w:val="2"/>
          </w:tcPr>
          <w:p>
            <w:pPr>
              <w:ind w:left="60"/>
              <w:spacing w:after="0"/>
              <w:rPr>
                <w:sz w:val="20"/>
                <w:szCs w:val="20"/>
                <w:color w:val="auto"/>
              </w:rPr>
            </w:pPr>
            <w:r>
              <w:rPr>
                <w:rFonts w:ascii="Arial" w:cs="Arial" w:eastAsia="Arial" w:hAnsi="Arial"/>
                <w:sz w:val="14"/>
                <w:szCs w:val="14"/>
                <w:color w:val="auto"/>
              </w:rPr>
              <w:t>Proxy Statement.</w:t>
            </w:r>
          </w:p>
        </w:tc>
        <w:tc>
          <w:tcPr>
            <w:tcW w:w="1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-2660015</wp:posOffset>
            </wp:positionV>
            <wp:extent cx="6810375" cy="47682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10375" cy="4768215"/>
                    </a:xfrm>
                    <a:prstGeom prst="rect">
                      <a:avLst/>
                    </a:prstGeom>
                    <a:noFill/>
                  </pic:spPr>
                </pic:pic>
              </a:graphicData>
            </a:graphic>
          </wp:anchor>
        </w:drawing>
      </w:r>
    </w:p>
    <w:p>
      <w:pPr>
        <w:sectPr>
          <w:pgSz w:w="11900" w:h="16838" w:orient="portrait"/>
          <w:cols w:equalWidth="0" w:num="1">
            <w:col w:w="9040"/>
          </w:cols>
          <w:pgMar w:left="1420" w:top="114" w:right="1439" w:bottom="0" w:gutter="0" w:footer="0" w:header="0"/>
        </w:sectPr>
      </w:pPr>
    </w:p>
    <w:p>
      <w:pPr>
        <w:spacing w:after="0" w:line="161" w:lineRule="exact"/>
        <w:rPr>
          <w:sz w:val="20"/>
          <w:szCs w:val="20"/>
          <w:color w:val="auto"/>
        </w:rPr>
      </w:pPr>
    </w:p>
    <w:p>
      <w:pPr>
        <w:ind w:left="60"/>
        <w:spacing w:after="0" w:line="293" w:lineRule="auto"/>
        <w:rPr>
          <w:sz w:val="20"/>
          <w:szCs w:val="20"/>
          <w:color w:val="auto"/>
        </w:rPr>
      </w:pPr>
      <w:r>
        <w:rPr>
          <w:rFonts w:ascii="Arial" w:cs="Arial" w:eastAsia="Arial" w:hAnsi="Arial"/>
          <w:sz w:val="14"/>
          <w:szCs w:val="14"/>
          <w:b w:val="1"/>
          <w:bCs w:val="1"/>
          <w:color w:val="582C83"/>
        </w:rPr>
        <w:t xml:space="preserve">Special Meeting of Shareholders. </w:t>
      </w:r>
      <w:r>
        <w:rPr>
          <w:rFonts w:ascii="Arial" w:cs="Arial" w:eastAsia="Arial" w:hAnsi="Arial"/>
          <w:sz w:val="14"/>
          <w:szCs w:val="14"/>
          <w:color w:val="000000"/>
        </w:rPr>
        <w:t>The holders of at least 20% of</w:t>
      </w:r>
      <w:r>
        <w:rPr>
          <w:rFonts w:ascii="Arial" w:cs="Arial" w:eastAsia="Arial" w:hAnsi="Arial"/>
          <w:sz w:val="14"/>
          <w:szCs w:val="14"/>
          <w:b w:val="1"/>
          <w:bCs w:val="1"/>
          <w:color w:val="582C83"/>
        </w:rPr>
        <w:t xml:space="preserve"> </w:t>
      </w:r>
      <w:r>
        <w:rPr>
          <w:rFonts w:ascii="Arial" w:cs="Arial" w:eastAsia="Arial" w:hAnsi="Arial"/>
          <w:sz w:val="14"/>
          <w:szCs w:val="14"/>
          <w:color w:val="000000"/>
        </w:rPr>
        <w:t>the voting power of our outstanding Common Stock may call a special meeting of shareholders.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140"/>
        <w:spacing w:after="0" w:line="305" w:lineRule="auto"/>
        <w:rPr>
          <w:sz w:val="20"/>
          <w:szCs w:val="20"/>
          <w:color w:val="auto"/>
        </w:rPr>
      </w:pPr>
      <w:r>
        <w:rPr>
          <w:rFonts w:ascii="Arial" w:cs="Arial" w:eastAsia="Arial" w:hAnsi="Arial"/>
          <w:sz w:val="14"/>
          <w:szCs w:val="14"/>
          <w:color w:val="auto"/>
        </w:rPr>
        <w:t>Strengthens Board accountability and encourages engagement with shareholders regarding important matters.</w:t>
      </w:r>
    </w:p>
    <w:p>
      <w:pPr>
        <w:spacing w:after="0" w:line="380" w:lineRule="exact"/>
        <w:rPr>
          <w:sz w:val="20"/>
          <w:szCs w:val="20"/>
          <w:color w:val="auto"/>
        </w:rPr>
      </w:pPr>
    </w:p>
    <w:p>
      <w:pPr>
        <w:sectPr>
          <w:pgSz w:w="11900" w:h="16838" w:orient="portrait"/>
          <w:cols w:equalWidth="0" w:num="2">
            <w:col w:w="4280" w:space="300"/>
            <w:col w:w="4460"/>
          </w:cols>
          <w:pgMar w:left="1420" w:top="114" w:right="1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14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56654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10375" cy="5665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6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380" w:type="dxa"/>
            <w:vAlign w:val="bottom"/>
            <w:gridSpan w:val="2"/>
          </w:tcPr>
          <w:p>
            <w:pPr>
              <w:ind w:left="1040"/>
              <w:spacing w:after="0"/>
              <w:rPr>
                <w:sz w:val="20"/>
                <w:szCs w:val="20"/>
                <w:color w:val="auto"/>
              </w:rPr>
            </w:pPr>
            <w:r>
              <w:rPr>
                <w:rFonts w:ascii="Arial" w:cs="Arial" w:eastAsia="Arial" w:hAnsi="Arial"/>
                <w:sz w:val="22"/>
                <w:szCs w:val="22"/>
                <w:b w:val="1"/>
                <w:bCs w:val="1"/>
                <w:color w:val="auto"/>
                <w:w w:val="98"/>
              </w:rPr>
              <w:t>PROXY STATEMENT SUMMARY</w:t>
            </w:r>
          </w:p>
        </w:tc>
      </w:tr>
      <w:tr>
        <w:trPr>
          <w:trHeight w:val="171"/>
        </w:trPr>
        <w:tc>
          <w:tcPr>
            <w:tcW w:w="160" w:type="dxa"/>
            <w:vAlign w:val="bottom"/>
            <w:tcBorders>
              <w:bottom w:val="single" w:sz="8" w:color="592B82"/>
            </w:tcBorders>
          </w:tcPr>
          <w:p>
            <w:pPr>
              <w:spacing w:after="0"/>
              <w:rPr>
                <w:sz w:val="14"/>
                <w:szCs w:val="14"/>
                <w:color w:val="auto"/>
              </w:rPr>
            </w:pPr>
          </w:p>
        </w:tc>
        <w:tc>
          <w:tcPr>
            <w:tcW w:w="4360" w:type="dxa"/>
            <w:vAlign w:val="bottom"/>
            <w:tcBorders>
              <w:bottom w:val="single" w:sz="8" w:color="592B82"/>
            </w:tcBorders>
          </w:tcPr>
          <w:p>
            <w:pPr>
              <w:spacing w:after="0"/>
              <w:rPr>
                <w:sz w:val="14"/>
                <w:szCs w:val="14"/>
                <w:color w:val="auto"/>
              </w:rPr>
            </w:pPr>
          </w:p>
        </w:tc>
        <w:tc>
          <w:tcPr>
            <w:tcW w:w="140" w:type="dxa"/>
            <w:vAlign w:val="bottom"/>
            <w:tcBorders>
              <w:bottom w:val="single" w:sz="8" w:color="592B82"/>
            </w:tcBorders>
          </w:tcPr>
          <w:p>
            <w:pPr>
              <w:spacing w:after="0"/>
              <w:rPr>
                <w:sz w:val="14"/>
                <w:szCs w:val="14"/>
                <w:color w:val="auto"/>
              </w:rPr>
            </w:pPr>
          </w:p>
        </w:tc>
        <w:tc>
          <w:tcPr>
            <w:tcW w:w="4380" w:type="dxa"/>
            <w:vAlign w:val="bottom"/>
            <w:tcBorders>
              <w:bottom w:val="single" w:sz="8" w:color="592B82"/>
            </w:tcBorders>
            <w:gridSpan w:val="2"/>
          </w:tcPr>
          <w:p>
            <w:pPr>
              <w:ind w:left="2520"/>
              <w:spacing w:after="0"/>
              <w:rPr>
                <w:sz w:val="20"/>
                <w:szCs w:val="20"/>
                <w:color w:val="auto"/>
              </w:rPr>
            </w:pPr>
            <w:r>
              <w:rPr>
                <w:rFonts w:ascii="Arial" w:cs="Arial" w:eastAsia="Arial" w:hAnsi="Arial"/>
                <w:sz w:val="14"/>
                <w:szCs w:val="14"/>
                <w:color w:val="auto"/>
              </w:rPr>
              <w:t>Our Governance Framework</w:t>
            </w:r>
          </w:p>
        </w:tc>
      </w:tr>
      <w:tr>
        <w:trPr>
          <w:trHeight w:val="716"/>
        </w:trPr>
        <w:tc>
          <w:tcPr>
            <w:tcW w:w="4520" w:type="dxa"/>
            <w:vAlign w:val="bottom"/>
            <w:gridSpan w:val="2"/>
          </w:tcPr>
          <w:p>
            <w:pPr>
              <w:ind w:left="60"/>
              <w:spacing w:after="0"/>
              <w:rPr>
                <w:sz w:val="20"/>
                <w:szCs w:val="20"/>
                <w:color w:val="auto"/>
              </w:rPr>
            </w:pPr>
            <w:r>
              <w:rPr>
                <w:rFonts w:ascii="Arial" w:cs="Arial" w:eastAsia="Arial" w:hAnsi="Arial"/>
                <w:sz w:val="14"/>
                <w:szCs w:val="14"/>
                <w:b w:val="1"/>
                <w:bCs w:val="1"/>
                <w:color w:val="auto"/>
              </w:rPr>
              <w:t>Key Practice or Policy</w:t>
            </w:r>
          </w:p>
        </w:tc>
        <w:tc>
          <w:tcPr>
            <w:tcW w:w="4520" w:type="dxa"/>
            <w:vAlign w:val="bottom"/>
            <w:gridSpan w:val="3"/>
          </w:tcPr>
          <w:p>
            <w:pPr>
              <w:ind w:left="40"/>
              <w:spacing w:after="0"/>
              <w:rPr>
                <w:sz w:val="20"/>
                <w:szCs w:val="20"/>
                <w:color w:val="auto"/>
              </w:rPr>
            </w:pPr>
            <w:r>
              <w:rPr>
                <w:rFonts w:ascii="Arial" w:cs="Arial" w:eastAsia="Arial" w:hAnsi="Arial"/>
                <w:sz w:val="14"/>
                <w:szCs w:val="14"/>
                <w:b w:val="1"/>
                <w:bCs w:val="1"/>
                <w:color w:val="auto"/>
              </w:rPr>
              <w:t>Benefits</w:t>
            </w:r>
          </w:p>
        </w:tc>
      </w:tr>
      <w:tr>
        <w:trPr>
          <w:trHeight w:val="274"/>
        </w:trPr>
        <w:tc>
          <w:tcPr>
            <w:tcW w:w="4520" w:type="dxa"/>
            <w:vAlign w:val="bottom"/>
            <w:tcBorders>
              <w:top w:val="single" w:sz="8" w:color="582C83"/>
            </w:tcBorders>
            <w:gridSpan w:val="2"/>
            <w:shd w:val="clear" w:color="auto" w:fill="E0DBEA"/>
          </w:tcPr>
          <w:p>
            <w:pPr>
              <w:ind w:left="60"/>
              <w:spacing w:after="0"/>
              <w:rPr>
                <w:sz w:val="20"/>
                <w:szCs w:val="20"/>
                <w:color w:val="auto"/>
              </w:rPr>
            </w:pPr>
            <w:r>
              <w:rPr>
                <w:rFonts w:ascii="Arial" w:cs="Arial" w:eastAsia="Arial" w:hAnsi="Arial"/>
                <w:sz w:val="14"/>
                <w:szCs w:val="14"/>
                <w:b w:val="1"/>
                <w:bCs w:val="1"/>
                <w:color w:val="582C83"/>
              </w:rPr>
              <w:t>Regular Shareholder Engagement.</w:t>
            </w:r>
          </w:p>
        </w:tc>
        <w:tc>
          <w:tcPr>
            <w:tcW w:w="140" w:type="dxa"/>
            <w:vAlign w:val="bottom"/>
            <w:tcBorders>
              <w:top w:val="single" w:sz="8" w:color="582C83"/>
            </w:tcBorders>
            <w:shd w:val="clear" w:color="auto" w:fill="E0DBEA"/>
          </w:tcPr>
          <w:p>
            <w:pPr>
              <w:ind w:left="40"/>
              <w:spacing w:after="0"/>
              <w:rPr>
                <w:sz w:val="20"/>
                <w:szCs w:val="20"/>
                <w:color w:val="auto"/>
              </w:rPr>
            </w:pPr>
            <w:r>
              <w:rPr>
                <w:rFonts w:ascii="Arial" w:cs="Arial" w:eastAsia="Arial" w:hAnsi="Arial"/>
                <w:sz w:val="17"/>
                <w:szCs w:val="17"/>
                <w:color w:val="582C83"/>
              </w:rPr>
              <w:t>•</w:t>
            </w:r>
          </w:p>
        </w:tc>
        <w:tc>
          <w:tcPr>
            <w:tcW w:w="4360" w:type="dxa"/>
            <w:vAlign w:val="bottom"/>
            <w:tcBorders>
              <w:top w:val="single" w:sz="8" w:color="582C83"/>
            </w:tcBorders>
            <w:shd w:val="clear" w:color="auto" w:fill="E0DBEA"/>
          </w:tcPr>
          <w:p>
            <w:pPr>
              <w:ind w:left="40"/>
              <w:spacing w:after="0"/>
              <w:rPr>
                <w:sz w:val="20"/>
                <w:szCs w:val="20"/>
                <w:color w:val="auto"/>
              </w:rPr>
            </w:pPr>
            <w:r>
              <w:rPr>
                <w:rFonts w:ascii="Arial" w:cs="Arial" w:eastAsia="Arial" w:hAnsi="Arial"/>
                <w:sz w:val="14"/>
                <w:szCs w:val="14"/>
                <w:color w:val="auto"/>
              </w:rPr>
              <w:t>Following our 2025 Annual Meeting of Shareholders, we reached</w:t>
            </w:r>
          </w:p>
        </w:tc>
        <w:tc>
          <w:tcPr>
            <w:tcW w:w="20" w:type="dxa"/>
            <w:vAlign w:val="bottom"/>
          </w:tcPr>
          <w:p>
            <w:pPr>
              <w:spacing w:after="0"/>
              <w:rPr>
                <w:sz w:val="23"/>
                <w:szCs w:val="23"/>
                <w:color w:val="auto"/>
              </w:rPr>
            </w:pPr>
          </w:p>
        </w:tc>
      </w:tr>
      <w:tr>
        <w:trPr>
          <w:trHeight w:val="203"/>
        </w:trPr>
        <w:tc>
          <w:tcPr>
            <w:tcW w:w="16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4360" w:type="dxa"/>
            <w:vAlign w:val="bottom"/>
            <w:shd w:val="clear" w:color="auto" w:fill="E0DBEA"/>
          </w:tcPr>
          <w:p>
            <w:pPr>
              <w:ind w:left="40"/>
              <w:spacing w:after="0"/>
              <w:rPr>
                <w:sz w:val="20"/>
                <w:szCs w:val="20"/>
                <w:color w:val="auto"/>
              </w:rPr>
            </w:pPr>
            <w:r>
              <w:rPr>
                <w:rFonts w:ascii="Arial" w:cs="Arial" w:eastAsia="Arial" w:hAnsi="Arial"/>
                <w:sz w:val="14"/>
                <w:szCs w:val="14"/>
                <w:color w:val="auto"/>
              </w:rPr>
              <w:t>We regularly engage with shareholders to seek their input on</w:t>
            </w:r>
          </w:p>
        </w:tc>
        <w:tc>
          <w:tcPr>
            <w:tcW w:w="140" w:type="dxa"/>
            <w:vAlign w:val="bottom"/>
            <w:shd w:val="clear" w:color="auto" w:fill="E0DBEA"/>
          </w:tcPr>
          <w:p>
            <w:pPr>
              <w:spacing w:after="0"/>
              <w:rPr>
                <w:sz w:val="17"/>
                <w:szCs w:val="17"/>
                <w:color w:val="auto"/>
              </w:rPr>
            </w:pPr>
          </w:p>
        </w:tc>
        <w:tc>
          <w:tcPr>
            <w:tcW w:w="4360" w:type="dxa"/>
            <w:vAlign w:val="bottom"/>
            <w:shd w:val="clear" w:color="auto" w:fill="E0DBEA"/>
          </w:tcPr>
          <w:p>
            <w:pPr>
              <w:ind w:left="40"/>
              <w:spacing w:after="0"/>
              <w:rPr>
                <w:sz w:val="20"/>
                <w:szCs w:val="20"/>
                <w:color w:val="auto"/>
              </w:rPr>
            </w:pPr>
            <w:r>
              <w:rPr>
                <w:rFonts w:ascii="Arial" w:cs="Arial" w:eastAsia="Arial" w:hAnsi="Arial"/>
                <w:sz w:val="14"/>
                <w:szCs w:val="14"/>
                <w:color w:val="auto"/>
              </w:rPr>
              <w:t>out to shareholders representing approximately 57% of our</w:t>
            </w:r>
          </w:p>
        </w:tc>
        <w:tc>
          <w:tcPr>
            <w:tcW w:w="20" w:type="dxa"/>
            <w:vAlign w:val="bottom"/>
          </w:tcPr>
          <w:p>
            <w:pPr>
              <w:spacing w:after="0"/>
              <w:rPr>
                <w:sz w:val="17"/>
                <w:szCs w:val="17"/>
                <w:color w:val="auto"/>
              </w:rPr>
            </w:pPr>
          </w:p>
        </w:tc>
      </w:tr>
      <w:tr>
        <w:trPr>
          <w:trHeight w:val="189"/>
        </w:trPr>
        <w:tc>
          <w:tcPr>
            <w:tcW w:w="160" w:type="dxa"/>
            <w:vAlign w:val="bottom"/>
            <w:shd w:val="clear" w:color="auto" w:fill="E0DBEA"/>
          </w:tcPr>
          <w:p>
            <w:pPr>
              <w:spacing w:after="0"/>
              <w:rPr>
                <w:sz w:val="16"/>
                <w:szCs w:val="16"/>
                <w:color w:val="auto"/>
              </w:rPr>
            </w:pPr>
          </w:p>
        </w:tc>
        <w:tc>
          <w:tcPr>
            <w:tcW w:w="4360" w:type="dxa"/>
            <w:vAlign w:val="bottom"/>
            <w:shd w:val="clear" w:color="auto" w:fill="E0DBEA"/>
          </w:tcPr>
          <w:p>
            <w:pPr>
              <w:ind w:left="40"/>
              <w:spacing w:after="0"/>
              <w:rPr>
                <w:sz w:val="20"/>
                <w:szCs w:val="20"/>
                <w:color w:val="auto"/>
              </w:rPr>
            </w:pPr>
            <w:r>
              <w:rPr>
                <w:rFonts w:ascii="Arial" w:cs="Arial" w:eastAsia="Arial" w:hAnsi="Arial"/>
                <w:sz w:val="14"/>
                <w:szCs w:val="14"/>
                <w:color w:val="auto"/>
              </w:rPr>
              <w:t>emerging issues, address their questions, and understand</w:t>
            </w:r>
          </w:p>
        </w:tc>
        <w:tc>
          <w:tcPr>
            <w:tcW w:w="140" w:type="dxa"/>
            <w:vAlign w:val="bottom"/>
            <w:shd w:val="clear" w:color="auto" w:fill="E0DBEA"/>
          </w:tcPr>
          <w:p>
            <w:pPr>
              <w:spacing w:after="0"/>
              <w:rPr>
                <w:sz w:val="16"/>
                <w:szCs w:val="16"/>
                <w:color w:val="auto"/>
              </w:rPr>
            </w:pPr>
          </w:p>
        </w:tc>
        <w:tc>
          <w:tcPr>
            <w:tcW w:w="4360" w:type="dxa"/>
            <w:vAlign w:val="bottom"/>
            <w:shd w:val="clear" w:color="auto" w:fill="E0DBEA"/>
          </w:tcPr>
          <w:p>
            <w:pPr>
              <w:ind w:left="40"/>
              <w:spacing w:after="0"/>
              <w:rPr>
                <w:sz w:val="20"/>
                <w:szCs w:val="20"/>
                <w:color w:val="auto"/>
              </w:rPr>
            </w:pPr>
            <w:r>
              <w:rPr>
                <w:rFonts w:ascii="Arial" w:cs="Arial" w:eastAsia="Arial" w:hAnsi="Arial"/>
                <w:sz w:val="14"/>
                <w:szCs w:val="14"/>
                <w:color w:val="auto"/>
              </w:rPr>
              <w:t>outstanding shares and engaged with 23 different shareholders</w:t>
            </w:r>
          </w:p>
        </w:tc>
        <w:tc>
          <w:tcPr>
            <w:tcW w:w="20" w:type="dxa"/>
            <w:vAlign w:val="bottom"/>
          </w:tcPr>
          <w:p>
            <w:pPr>
              <w:spacing w:after="0"/>
              <w:rPr>
                <w:sz w:val="16"/>
                <w:szCs w:val="16"/>
                <w:color w:val="auto"/>
              </w:rPr>
            </w:pPr>
          </w:p>
        </w:tc>
      </w:tr>
      <w:tr>
        <w:trPr>
          <w:trHeight w:val="204"/>
        </w:trPr>
        <w:tc>
          <w:tcPr>
            <w:tcW w:w="160" w:type="dxa"/>
            <w:vAlign w:val="bottom"/>
            <w:shd w:val="clear" w:color="auto" w:fill="E0DBEA"/>
          </w:tcPr>
          <w:p>
            <w:pPr>
              <w:spacing w:after="0"/>
              <w:rPr>
                <w:sz w:val="17"/>
                <w:szCs w:val="17"/>
                <w:color w:val="auto"/>
              </w:rPr>
            </w:pPr>
          </w:p>
        </w:tc>
        <w:tc>
          <w:tcPr>
            <w:tcW w:w="4360" w:type="dxa"/>
            <w:vAlign w:val="bottom"/>
            <w:shd w:val="clear" w:color="auto" w:fill="E0DBEA"/>
          </w:tcPr>
          <w:p>
            <w:pPr>
              <w:ind w:left="40"/>
              <w:spacing w:after="0"/>
              <w:rPr>
                <w:sz w:val="20"/>
                <w:szCs w:val="20"/>
                <w:color w:val="auto"/>
              </w:rPr>
            </w:pPr>
            <w:r>
              <w:rPr>
                <w:rFonts w:ascii="Arial" w:cs="Arial" w:eastAsia="Arial" w:hAnsi="Arial"/>
                <w:sz w:val="14"/>
                <w:szCs w:val="14"/>
                <w:color w:val="auto"/>
              </w:rPr>
              <w:t>their perspectives.</w:t>
            </w:r>
          </w:p>
        </w:tc>
        <w:tc>
          <w:tcPr>
            <w:tcW w:w="140" w:type="dxa"/>
            <w:vAlign w:val="bottom"/>
            <w:shd w:val="clear" w:color="auto" w:fill="E0DBEA"/>
          </w:tcPr>
          <w:p>
            <w:pPr>
              <w:spacing w:after="0"/>
              <w:rPr>
                <w:sz w:val="17"/>
                <w:szCs w:val="17"/>
                <w:color w:val="auto"/>
              </w:rPr>
            </w:pPr>
          </w:p>
        </w:tc>
        <w:tc>
          <w:tcPr>
            <w:tcW w:w="4360" w:type="dxa"/>
            <w:vAlign w:val="bottom"/>
            <w:shd w:val="clear" w:color="auto" w:fill="E0DBEA"/>
          </w:tcPr>
          <w:p>
            <w:pPr>
              <w:ind w:left="40"/>
              <w:spacing w:after="0"/>
              <w:rPr>
                <w:sz w:val="20"/>
                <w:szCs w:val="20"/>
                <w:color w:val="auto"/>
              </w:rPr>
            </w:pPr>
            <w:r>
              <w:rPr>
                <w:rFonts w:ascii="Arial" w:cs="Arial" w:eastAsia="Arial" w:hAnsi="Arial"/>
                <w:sz w:val="14"/>
                <w:szCs w:val="14"/>
                <w:color w:val="auto"/>
              </w:rPr>
              <w:t>that collectively represent approximately 35% of our outstanding</w:t>
            </w:r>
          </w:p>
        </w:tc>
        <w:tc>
          <w:tcPr>
            <w:tcW w:w="20" w:type="dxa"/>
            <w:vAlign w:val="bottom"/>
          </w:tcPr>
          <w:p>
            <w:pPr>
              <w:spacing w:after="0"/>
              <w:rPr>
                <w:sz w:val="17"/>
                <w:szCs w:val="17"/>
                <w:color w:val="auto"/>
              </w:rPr>
            </w:pPr>
          </w:p>
        </w:tc>
      </w:tr>
      <w:tr>
        <w:trPr>
          <w:trHeight w:val="201"/>
        </w:trPr>
        <w:tc>
          <w:tcPr>
            <w:tcW w:w="16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4360" w:type="dxa"/>
            <w:vAlign w:val="bottom"/>
            <w:shd w:val="clear" w:color="auto" w:fill="E0DBEA"/>
          </w:tcPr>
          <w:p>
            <w:pPr>
              <w:ind w:left="40"/>
              <w:spacing w:after="0"/>
              <w:rPr>
                <w:sz w:val="20"/>
                <w:szCs w:val="20"/>
                <w:color w:val="auto"/>
              </w:rPr>
            </w:pPr>
            <w:r>
              <w:rPr>
                <w:rFonts w:ascii="Arial" w:cs="Arial" w:eastAsia="Arial" w:hAnsi="Arial"/>
                <w:sz w:val="14"/>
                <w:szCs w:val="14"/>
                <w:color w:val="auto"/>
              </w:rPr>
              <w:t>The Lead Independent Director is available for consultation with</w:t>
            </w:r>
          </w:p>
        </w:tc>
        <w:tc>
          <w:tcPr>
            <w:tcW w:w="140" w:type="dxa"/>
            <w:vAlign w:val="bottom"/>
            <w:shd w:val="clear" w:color="auto" w:fill="E0DBEA"/>
          </w:tcPr>
          <w:p>
            <w:pPr>
              <w:spacing w:after="0"/>
              <w:rPr>
                <w:sz w:val="17"/>
                <w:szCs w:val="17"/>
                <w:color w:val="auto"/>
              </w:rPr>
            </w:pPr>
          </w:p>
        </w:tc>
        <w:tc>
          <w:tcPr>
            <w:tcW w:w="4360" w:type="dxa"/>
            <w:vAlign w:val="bottom"/>
            <w:shd w:val="clear" w:color="auto" w:fill="E0DBEA"/>
          </w:tcPr>
          <w:p>
            <w:pPr>
              <w:ind w:left="40"/>
              <w:spacing w:after="0"/>
              <w:rPr>
                <w:sz w:val="20"/>
                <w:szCs w:val="20"/>
                <w:color w:val="auto"/>
              </w:rPr>
            </w:pPr>
            <w:r>
              <w:rPr>
                <w:rFonts w:ascii="Arial" w:cs="Arial" w:eastAsia="Arial" w:hAnsi="Arial"/>
                <w:sz w:val="14"/>
                <w:szCs w:val="14"/>
                <w:color w:val="auto"/>
              </w:rPr>
              <w:t>shares. The Lead Independent Director met with shareholders</w:t>
            </w:r>
          </w:p>
        </w:tc>
        <w:tc>
          <w:tcPr>
            <w:tcW w:w="20" w:type="dxa"/>
            <w:vAlign w:val="bottom"/>
          </w:tcPr>
          <w:p>
            <w:pPr>
              <w:spacing w:after="0"/>
              <w:rPr>
                <w:sz w:val="17"/>
                <w:szCs w:val="17"/>
                <w:color w:val="auto"/>
              </w:rPr>
            </w:pPr>
          </w:p>
        </w:tc>
      </w:tr>
      <w:tr>
        <w:trPr>
          <w:trHeight w:val="217"/>
        </w:trPr>
        <w:tc>
          <w:tcPr>
            <w:tcW w:w="160" w:type="dxa"/>
            <w:vAlign w:val="bottom"/>
            <w:shd w:val="clear" w:color="auto" w:fill="E0DBEA"/>
          </w:tcPr>
          <w:p>
            <w:pPr>
              <w:spacing w:after="0"/>
              <w:rPr>
                <w:sz w:val="18"/>
                <w:szCs w:val="18"/>
                <w:color w:val="auto"/>
              </w:rPr>
            </w:pPr>
          </w:p>
        </w:tc>
        <w:tc>
          <w:tcPr>
            <w:tcW w:w="4360" w:type="dxa"/>
            <w:vAlign w:val="bottom"/>
            <w:shd w:val="clear" w:color="auto" w:fill="E0DBEA"/>
          </w:tcPr>
          <w:p>
            <w:pPr>
              <w:ind w:left="40"/>
              <w:spacing w:after="0"/>
              <w:rPr>
                <w:sz w:val="20"/>
                <w:szCs w:val="20"/>
                <w:color w:val="auto"/>
              </w:rPr>
            </w:pPr>
            <w:r>
              <w:rPr>
                <w:rFonts w:ascii="Arial" w:cs="Arial" w:eastAsia="Arial" w:hAnsi="Arial"/>
                <w:sz w:val="14"/>
                <w:szCs w:val="14"/>
                <w:color w:val="auto"/>
              </w:rPr>
              <w:t>our shareholders.</w:t>
            </w:r>
          </w:p>
        </w:tc>
        <w:tc>
          <w:tcPr>
            <w:tcW w:w="140" w:type="dxa"/>
            <w:vAlign w:val="bottom"/>
            <w:shd w:val="clear" w:color="auto" w:fill="E0DBEA"/>
          </w:tcPr>
          <w:p>
            <w:pPr>
              <w:spacing w:after="0"/>
              <w:rPr>
                <w:sz w:val="18"/>
                <w:szCs w:val="18"/>
                <w:color w:val="auto"/>
              </w:rPr>
            </w:pPr>
          </w:p>
        </w:tc>
        <w:tc>
          <w:tcPr>
            <w:tcW w:w="4360" w:type="dxa"/>
            <w:vAlign w:val="bottom"/>
            <w:shd w:val="clear" w:color="auto" w:fill="E0DBEA"/>
          </w:tcPr>
          <w:p>
            <w:pPr>
              <w:ind w:left="40"/>
              <w:spacing w:after="0"/>
              <w:rPr>
                <w:sz w:val="20"/>
                <w:szCs w:val="20"/>
                <w:color w:val="auto"/>
              </w:rPr>
            </w:pPr>
            <w:r>
              <w:rPr>
                <w:rFonts w:ascii="Arial" w:cs="Arial" w:eastAsia="Arial" w:hAnsi="Arial"/>
                <w:sz w:val="14"/>
                <w:szCs w:val="14"/>
                <w:color w:val="auto"/>
              </w:rPr>
              <w:t>representing approximately 22% of our outstanding shares.</w:t>
            </w:r>
          </w:p>
        </w:tc>
        <w:tc>
          <w:tcPr>
            <w:tcW w:w="20" w:type="dxa"/>
            <w:vAlign w:val="bottom"/>
          </w:tcPr>
          <w:p>
            <w:pPr>
              <w:spacing w:after="0"/>
              <w:rPr>
                <w:sz w:val="18"/>
                <w:szCs w:val="18"/>
                <w:color w:val="auto"/>
              </w:rPr>
            </w:pPr>
          </w:p>
        </w:tc>
      </w:tr>
      <w:tr>
        <w:trPr>
          <w:trHeight w:val="269"/>
        </w:trPr>
        <w:tc>
          <w:tcPr>
            <w:tcW w:w="160" w:type="dxa"/>
            <w:vAlign w:val="bottom"/>
            <w:shd w:val="clear" w:color="auto" w:fill="E0DBEA"/>
          </w:tcPr>
          <w:p>
            <w:pPr>
              <w:spacing w:after="0"/>
              <w:rPr>
                <w:sz w:val="23"/>
                <w:szCs w:val="23"/>
                <w:color w:val="auto"/>
              </w:rPr>
            </w:pPr>
          </w:p>
        </w:tc>
        <w:tc>
          <w:tcPr>
            <w:tcW w:w="4360" w:type="dxa"/>
            <w:vAlign w:val="bottom"/>
            <w:shd w:val="clear" w:color="auto" w:fill="E0DBEA"/>
          </w:tcPr>
          <w:p>
            <w:pPr>
              <w:spacing w:after="0"/>
              <w:rPr>
                <w:sz w:val="23"/>
                <w:szCs w:val="23"/>
                <w:color w:val="auto"/>
              </w:rPr>
            </w:pPr>
          </w:p>
        </w:tc>
        <w:tc>
          <w:tcPr>
            <w:tcW w:w="140" w:type="dxa"/>
            <w:vAlign w:val="bottom"/>
            <w:shd w:val="clear" w:color="auto" w:fill="E0DBEA"/>
          </w:tcPr>
          <w:p>
            <w:pPr>
              <w:ind w:left="40"/>
              <w:spacing w:after="0"/>
              <w:rPr>
                <w:sz w:val="20"/>
                <w:szCs w:val="20"/>
                <w:color w:val="auto"/>
              </w:rPr>
            </w:pPr>
            <w:r>
              <w:rPr>
                <w:rFonts w:ascii="Arial" w:cs="Arial" w:eastAsia="Arial" w:hAnsi="Arial"/>
                <w:sz w:val="17"/>
                <w:szCs w:val="17"/>
                <w:color w:val="582C83"/>
              </w:rPr>
              <w:t>•</w:t>
            </w:r>
          </w:p>
        </w:tc>
        <w:tc>
          <w:tcPr>
            <w:tcW w:w="4360" w:type="dxa"/>
            <w:vAlign w:val="bottom"/>
            <w:shd w:val="clear" w:color="auto" w:fill="E0DBEA"/>
          </w:tcPr>
          <w:p>
            <w:pPr>
              <w:ind w:left="40"/>
              <w:spacing w:after="0"/>
              <w:rPr>
                <w:sz w:val="20"/>
                <w:szCs w:val="20"/>
                <w:color w:val="auto"/>
              </w:rPr>
            </w:pPr>
            <w:r>
              <w:rPr>
                <w:rFonts w:ascii="Arial" w:cs="Arial" w:eastAsia="Arial" w:hAnsi="Arial"/>
                <w:sz w:val="14"/>
                <w:szCs w:val="14"/>
                <w:color w:val="auto"/>
              </w:rPr>
              <w:t>This practice provides open channels of communication with our</w:t>
            </w:r>
          </w:p>
        </w:tc>
        <w:tc>
          <w:tcPr>
            <w:tcW w:w="20" w:type="dxa"/>
            <w:vAlign w:val="bottom"/>
          </w:tcPr>
          <w:p>
            <w:pPr>
              <w:spacing w:after="0"/>
              <w:rPr>
                <w:sz w:val="23"/>
                <w:szCs w:val="23"/>
                <w:color w:val="auto"/>
              </w:rPr>
            </w:pPr>
          </w:p>
        </w:tc>
      </w:tr>
      <w:tr>
        <w:trPr>
          <w:trHeight w:val="190"/>
        </w:trPr>
        <w:tc>
          <w:tcPr>
            <w:tcW w:w="160" w:type="dxa"/>
            <w:vAlign w:val="bottom"/>
            <w:shd w:val="clear" w:color="auto" w:fill="E0DBEA"/>
          </w:tcPr>
          <w:p>
            <w:pPr>
              <w:spacing w:after="0"/>
              <w:rPr>
                <w:sz w:val="16"/>
                <w:szCs w:val="16"/>
                <w:color w:val="auto"/>
              </w:rPr>
            </w:pPr>
          </w:p>
        </w:tc>
        <w:tc>
          <w:tcPr>
            <w:tcW w:w="4360" w:type="dxa"/>
            <w:vAlign w:val="bottom"/>
            <w:shd w:val="clear" w:color="auto" w:fill="E0DBEA"/>
          </w:tcPr>
          <w:p>
            <w:pPr>
              <w:spacing w:after="0"/>
              <w:rPr>
                <w:sz w:val="16"/>
                <w:szCs w:val="16"/>
                <w:color w:val="auto"/>
              </w:rPr>
            </w:pPr>
          </w:p>
        </w:tc>
        <w:tc>
          <w:tcPr>
            <w:tcW w:w="140" w:type="dxa"/>
            <w:vAlign w:val="bottom"/>
            <w:shd w:val="clear" w:color="auto" w:fill="E0DBEA"/>
          </w:tcPr>
          <w:p>
            <w:pPr>
              <w:spacing w:after="0"/>
              <w:rPr>
                <w:sz w:val="16"/>
                <w:szCs w:val="16"/>
                <w:color w:val="auto"/>
              </w:rPr>
            </w:pPr>
          </w:p>
        </w:tc>
        <w:tc>
          <w:tcPr>
            <w:tcW w:w="4360" w:type="dxa"/>
            <w:vAlign w:val="bottom"/>
            <w:shd w:val="clear" w:color="auto" w:fill="E0DBEA"/>
          </w:tcPr>
          <w:p>
            <w:pPr>
              <w:ind w:left="40"/>
              <w:spacing w:after="0"/>
              <w:rPr>
                <w:sz w:val="20"/>
                <w:szCs w:val="20"/>
                <w:color w:val="auto"/>
              </w:rPr>
            </w:pPr>
            <w:r>
              <w:rPr>
                <w:rFonts w:ascii="Arial" w:cs="Arial" w:eastAsia="Arial" w:hAnsi="Arial"/>
                <w:sz w:val="14"/>
                <w:szCs w:val="14"/>
                <w:color w:val="auto"/>
              </w:rPr>
              <w:t>shareholders and helps promote regular consideration of and</w:t>
            </w:r>
          </w:p>
        </w:tc>
        <w:tc>
          <w:tcPr>
            <w:tcW w:w="20" w:type="dxa"/>
            <w:vAlign w:val="bottom"/>
          </w:tcPr>
          <w:p>
            <w:pPr>
              <w:spacing w:after="0"/>
              <w:rPr>
                <w:sz w:val="16"/>
                <w:szCs w:val="16"/>
                <w:color w:val="auto"/>
              </w:rPr>
            </w:pPr>
          </w:p>
        </w:tc>
      </w:tr>
      <w:tr>
        <w:trPr>
          <w:trHeight w:val="203"/>
        </w:trPr>
        <w:tc>
          <w:tcPr>
            <w:tcW w:w="160" w:type="dxa"/>
            <w:vAlign w:val="bottom"/>
            <w:shd w:val="clear" w:color="auto" w:fill="E0DBEA"/>
          </w:tcPr>
          <w:p>
            <w:pPr>
              <w:spacing w:after="0"/>
              <w:rPr>
                <w:sz w:val="17"/>
                <w:szCs w:val="17"/>
                <w:color w:val="auto"/>
              </w:rPr>
            </w:pPr>
          </w:p>
        </w:tc>
        <w:tc>
          <w:tcPr>
            <w:tcW w:w="4360" w:type="dxa"/>
            <w:vAlign w:val="bottom"/>
            <w:shd w:val="clear" w:color="auto" w:fill="E0DBEA"/>
          </w:tcPr>
          <w:p>
            <w:pPr>
              <w:spacing w:after="0"/>
              <w:rPr>
                <w:sz w:val="17"/>
                <w:szCs w:val="17"/>
                <w:color w:val="auto"/>
              </w:rPr>
            </w:pPr>
          </w:p>
        </w:tc>
        <w:tc>
          <w:tcPr>
            <w:tcW w:w="140" w:type="dxa"/>
            <w:vAlign w:val="bottom"/>
            <w:shd w:val="clear" w:color="auto" w:fill="E0DBEA"/>
          </w:tcPr>
          <w:p>
            <w:pPr>
              <w:spacing w:after="0"/>
              <w:rPr>
                <w:sz w:val="17"/>
                <w:szCs w:val="17"/>
                <w:color w:val="auto"/>
              </w:rPr>
            </w:pPr>
          </w:p>
        </w:tc>
        <w:tc>
          <w:tcPr>
            <w:tcW w:w="4360" w:type="dxa"/>
            <w:vAlign w:val="bottom"/>
            <w:shd w:val="clear" w:color="auto" w:fill="E0DBEA"/>
          </w:tcPr>
          <w:p>
            <w:pPr>
              <w:ind w:left="40"/>
              <w:spacing w:after="0"/>
              <w:rPr>
                <w:sz w:val="20"/>
                <w:szCs w:val="20"/>
                <w:color w:val="auto"/>
              </w:rPr>
            </w:pPr>
            <w:r>
              <w:rPr>
                <w:rFonts w:ascii="Arial" w:cs="Arial" w:eastAsia="Arial" w:hAnsi="Arial"/>
                <w:sz w:val="14"/>
                <w:szCs w:val="14"/>
                <w:color w:val="auto"/>
              </w:rPr>
              <w:t>response to feedback on the Company’s strategy, corporate</w:t>
            </w:r>
          </w:p>
        </w:tc>
        <w:tc>
          <w:tcPr>
            <w:tcW w:w="20" w:type="dxa"/>
            <w:vAlign w:val="bottom"/>
          </w:tcPr>
          <w:p>
            <w:pPr>
              <w:spacing w:after="0"/>
              <w:rPr>
                <w:sz w:val="17"/>
                <w:szCs w:val="17"/>
                <w:color w:val="auto"/>
              </w:rPr>
            </w:pPr>
          </w:p>
        </w:tc>
      </w:tr>
      <w:tr>
        <w:trPr>
          <w:trHeight w:val="203"/>
        </w:trPr>
        <w:tc>
          <w:tcPr>
            <w:tcW w:w="160" w:type="dxa"/>
            <w:vAlign w:val="bottom"/>
            <w:shd w:val="clear" w:color="auto" w:fill="E0DBEA"/>
          </w:tcPr>
          <w:p>
            <w:pPr>
              <w:spacing w:after="0"/>
              <w:rPr>
                <w:sz w:val="17"/>
                <w:szCs w:val="17"/>
                <w:color w:val="auto"/>
              </w:rPr>
            </w:pPr>
          </w:p>
        </w:tc>
        <w:tc>
          <w:tcPr>
            <w:tcW w:w="4360" w:type="dxa"/>
            <w:vAlign w:val="bottom"/>
            <w:shd w:val="clear" w:color="auto" w:fill="E0DBEA"/>
          </w:tcPr>
          <w:p>
            <w:pPr>
              <w:spacing w:after="0"/>
              <w:rPr>
                <w:sz w:val="17"/>
                <w:szCs w:val="17"/>
                <w:color w:val="auto"/>
              </w:rPr>
            </w:pPr>
          </w:p>
        </w:tc>
        <w:tc>
          <w:tcPr>
            <w:tcW w:w="140" w:type="dxa"/>
            <w:vAlign w:val="bottom"/>
            <w:shd w:val="clear" w:color="auto" w:fill="E0DBEA"/>
          </w:tcPr>
          <w:p>
            <w:pPr>
              <w:spacing w:after="0"/>
              <w:rPr>
                <w:sz w:val="17"/>
                <w:szCs w:val="17"/>
                <w:color w:val="auto"/>
              </w:rPr>
            </w:pPr>
          </w:p>
        </w:tc>
        <w:tc>
          <w:tcPr>
            <w:tcW w:w="4360" w:type="dxa"/>
            <w:vAlign w:val="bottom"/>
            <w:shd w:val="clear" w:color="auto" w:fill="E0DBEA"/>
          </w:tcPr>
          <w:p>
            <w:pPr>
              <w:ind w:left="40"/>
              <w:spacing w:after="0"/>
              <w:rPr>
                <w:sz w:val="20"/>
                <w:szCs w:val="20"/>
                <w:color w:val="auto"/>
              </w:rPr>
            </w:pPr>
            <w:r>
              <w:rPr>
                <w:rFonts w:ascii="Arial" w:cs="Arial" w:eastAsia="Arial" w:hAnsi="Arial"/>
                <w:sz w:val="14"/>
                <w:szCs w:val="14"/>
                <w:color w:val="auto"/>
              </w:rPr>
              <w:t>governance, compensation, and sustainability practices.</w:t>
            </w:r>
          </w:p>
        </w:tc>
        <w:tc>
          <w:tcPr>
            <w:tcW w:w="20" w:type="dxa"/>
            <w:vAlign w:val="bottom"/>
          </w:tcPr>
          <w:p>
            <w:pPr>
              <w:spacing w:after="0"/>
              <w:rPr>
                <w:sz w:val="17"/>
                <w:szCs w:val="17"/>
                <w:color w:val="auto"/>
              </w:rPr>
            </w:pPr>
          </w:p>
        </w:tc>
      </w:tr>
      <w:tr>
        <w:trPr>
          <w:trHeight w:val="89"/>
        </w:trPr>
        <w:tc>
          <w:tcPr>
            <w:tcW w:w="160" w:type="dxa"/>
            <w:vAlign w:val="bottom"/>
            <w:tcBorders>
              <w:bottom w:val="single" w:sz="8" w:color="582C83"/>
            </w:tcBorders>
            <w:shd w:val="clear" w:color="auto" w:fill="E0DBEA"/>
          </w:tcPr>
          <w:p>
            <w:pPr>
              <w:spacing w:after="0"/>
              <w:rPr>
                <w:sz w:val="7"/>
                <w:szCs w:val="7"/>
                <w:color w:val="auto"/>
              </w:rPr>
            </w:pPr>
          </w:p>
        </w:tc>
        <w:tc>
          <w:tcPr>
            <w:tcW w:w="4360" w:type="dxa"/>
            <w:vAlign w:val="bottom"/>
            <w:tcBorders>
              <w:bottom w:val="single" w:sz="8" w:color="582C83"/>
            </w:tcBorders>
            <w:shd w:val="clear" w:color="auto" w:fill="E0DBEA"/>
          </w:tcPr>
          <w:p>
            <w:pPr>
              <w:spacing w:after="0"/>
              <w:rPr>
                <w:sz w:val="7"/>
                <w:szCs w:val="7"/>
                <w:color w:val="auto"/>
              </w:rPr>
            </w:pPr>
          </w:p>
        </w:tc>
        <w:tc>
          <w:tcPr>
            <w:tcW w:w="140" w:type="dxa"/>
            <w:vAlign w:val="bottom"/>
            <w:tcBorders>
              <w:bottom w:val="single" w:sz="8" w:color="582C83"/>
            </w:tcBorders>
            <w:shd w:val="clear" w:color="auto" w:fill="E0DBEA"/>
          </w:tcPr>
          <w:p>
            <w:pPr>
              <w:spacing w:after="0"/>
              <w:rPr>
                <w:sz w:val="7"/>
                <w:szCs w:val="7"/>
                <w:color w:val="auto"/>
              </w:rPr>
            </w:pPr>
          </w:p>
        </w:tc>
        <w:tc>
          <w:tcPr>
            <w:tcW w:w="4360" w:type="dxa"/>
            <w:vAlign w:val="bottom"/>
            <w:tcBorders>
              <w:bottom w:val="single" w:sz="8" w:color="582C83"/>
            </w:tcBorders>
            <w:shd w:val="clear" w:color="auto" w:fill="E0DBEA"/>
          </w:tcPr>
          <w:p>
            <w:pPr>
              <w:spacing w:after="0"/>
              <w:rPr>
                <w:sz w:val="7"/>
                <w:szCs w:val="7"/>
                <w:color w:val="auto"/>
              </w:rPr>
            </w:pPr>
          </w:p>
        </w:tc>
        <w:tc>
          <w:tcPr>
            <w:tcW w:w="20" w:type="dxa"/>
            <w:vAlign w:val="bottom"/>
          </w:tcPr>
          <w:p>
            <w:pPr>
              <w:spacing w:after="0"/>
              <w:rPr>
                <w:sz w:val="7"/>
                <w:szCs w:val="7"/>
                <w:color w:val="auto"/>
              </w:rPr>
            </w:pPr>
          </w:p>
        </w:tc>
      </w:tr>
    </w:tbl>
    <w:p>
      <w:pPr>
        <w:spacing w:after="0" w:line="72" w:lineRule="exact"/>
        <w:rPr>
          <w:sz w:val="20"/>
          <w:szCs w:val="20"/>
          <w:color w:val="auto"/>
        </w:rPr>
      </w:pPr>
    </w:p>
    <w:p>
      <w:pPr>
        <w:sectPr>
          <w:pgSz w:w="11900" w:h="16838" w:orient="portrait"/>
          <w:cols w:equalWidth="0" w:num="1">
            <w:col w:w="9040"/>
          </w:cols>
          <w:pgMar w:left="1420" w:top="114" w:right="1439" w:bottom="0" w:gutter="0" w:footer="0" w:header="0"/>
          <w:type w:val="continuous"/>
        </w:sectPr>
      </w:pPr>
    </w:p>
    <w:p>
      <w:pPr>
        <w:ind w:left="60"/>
        <w:spacing w:after="0"/>
        <w:rPr>
          <w:sz w:val="20"/>
          <w:szCs w:val="20"/>
          <w:color w:val="auto"/>
        </w:rPr>
      </w:pPr>
      <w:r>
        <w:rPr>
          <w:rFonts w:ascii="Arial" w:cs="Arial" w:eastAsia="Arial" w:hAnsi="Arial"/>
          <w:sz w:val="14"/>
          <w:szCs w:val="14"/>
          <w:b w:val="1"/>
          <w:bCs w:val="1"/>
          <w:color w:val="582C83"/>
        </w:rPr>
        <w:t>Annual Board and Committee Self-Assessments.</w:t>
      </w:r>
    </w:p>
    <w:p>
      <w:pPr>
        <w:spacing w:after="0" w:line="55" w:lineRule="exact"/>
        <w:rPr>
          <w:sz w:val="20"/>
          <w:szCs w:val="20"/>
          <w:color w:val="auto"/>
        </w:rPr>
      </w:pPr>
    </w:p>
    <w:p>
      <w:pPr>
        <w:ind w:left="200" w:right="1040" w:hanging="132"/>
        <w:spacing w:after="0" w:line="301" w:lineRule="auto"/>
        <w:tabs>
          <w:tab w:leader="none" w:pos="200" w:val="left"/>
        </w:tabs>
        <w:numPr>
          <w:ilvl w:val="0"/>
          <w:numId w:val="11"/>
        </w:numPr>
        <w:rPr>
          <w:rFonts w:ascii="Arial" w:cs="Arial" w:eastAsia="Arial" w:hAnsi="Arial"/>
          <w:sz w:val="14"/>
          <w:szCs w:val="14"/>
          <w:color w:val="582C83"/>
        </w:rPr>
      </w:pPr>
      <w:r>
        <w:rPr>
          <w:rFonts w:ascii="Arial" w:cs="Arial" w:eastAsia="Arial" w:hAnsi="Arial"/>
          <w:sz w:val="14"/>
          <w:szCs w:val="14"/>
          <w:color w:val="auto"/>
        </w:rPr>
        <w:t>Annual Board, committee, and director self- and peer-assessments.</w:t>
      </w:r>
    </w:p>
    <w:p>
      <w:pPr>
        <w:spacing w:after="0" w:line="1" w:lineRule="exact"/>
        <w:rPr>
          <w:rFonts w:ascii="Arial" w:cs="Arial" w:eastAsia="Arial" w:hAnsi="Arial"/>
          <w:sz w:val="14"/>
          <w:szCs w:val="14"/>
          <w:color w:val="582C83"/>
        </w:rPr>
      </w:pPr>
    </w:p>
    <w:p>
      <w:pPr>
        <w:ind w:left="200" w:hanging="132"/>
        <w:spacing w:after="0" w:line="292" w:lineRule="auto"/>
        <w:tabs>
          <w:tab w:leader="none" w:pos="200" w:val="left"/>
        </w:tabs>
        <w:numPr>
          <w:ilvl w:val="0"/>
          <w:numId w:val="11"/>
        </w:numPr>
        <w:rPr>
          <w:rFonts w:ascii="Arial" w:cs="Arial" w:eastAsia="Arial" w:hAnsi="Arial"/>
          <w:sz w:val="14"/>
          <w:szCs w:val="14"/>
          <w:color w:val="582C83"/>
        </w:rPr>
      </w:pPr>
      <w:r>
        <w:rPr>
          <w:rFonts w:ascii="Arial" w:cs="Arial" w:eastAsia="Arial" w:hAnsi="Arial"/>
          <w:sz w:val="14"/>
          <w:szCs w:val="14"/>
          <w:color w:val="auto"/>
        </w:rPr>
        <w:t>The results of these self- and peer-assessments are used in planning Board and committee meetings and agendas, fostering director accountability and committee effectiveness, analyzing Board composition, and making director recruitment and governance decisions.</w:t>
      </w:r>
    </w:p>
    <w:p>
      <w:pPr>
        <w:spacing w:after="0" w:line="20" w:lineRule="exact"/>
        <w:rPr>
          <w:sz w:val="20"/>
          <w:szCs w:val="20"/>
          <w:color w:val="auto"/>
        </w:rPr>
      </w:pPr>
      <w:r>
        <w:rPr>
          <w:sz w:val="20"/>
          <w:szCs w:val="20"/>
          <w:color w:val="auto"/>
        </w:rPr>
        <w:br w:type="column"/>
      </w:r>
    </w:p>
    <w:p>
      <w:pPr>
        <w:ind w:left="136" w:right="760" w:hanging="136"/>
        <w:spacing w:after="0" w:line="301" w:lineRule="auto"/>
        <w:tabs>
          <w:tab w:leader="none" w:pos="136" w:val="left"/>
        </w:tabs>
        <w:numPr>
          <w:ilvl w:val="0"/>
          <w:numId w:val="12"/>
        </w:numPr>
        <w:rPr>
          <w:rFonts w:ascii="Arial" w:cs="Arial" w:eastAsia="Arial" w:hAnsi="Arial"/>
          <w:sz w:val="14"/>
          <w:szCs w:val="14"/>
          <w:color w:val="582C83"/>
        </w:rPr>
      </w:pPr>
      <w:r>
        <w:rPr>
          <w:rFonts w:ascii="Arial" w:cs="Arial" w:eastAsia="Arial" w:hAnsi="Arial"/>
          <w:sz w:val="14"/>
          <w:szCs w:val="14"/>
          <w:color w:val="auto"/>
        </w:rPr>
        <w:t>Promotes continuous process improvement of the Board and committees.</w:t>
      </w:r>
    </w:p>
    <w:p>
      <w:pPr>
        <w:spacing w:after="0" w:line="1" w:lineRule="exact"/>
        <w:rPr>
          <w:rFonts w:ascii="Arial" w:cs="Arial" w:eastAsia="Arial" w:hAnsi="Arial"/>
          <w:sz w:val="14"/>
          <w:szCs w:val="14"/>
          <w:color w:val="582C83"/>
        </w:rPr>
      </w:pPr>
    </w:p>
    <w:p>
      <w:pPr>
        <w:ind w:left="136" w:right="640" w:hanging="136"/>
        <w:spacing w:after="0" w:line="295" w:lineRule="auto"/>
        <w:tabs>
          <w:tab w:leader="none" w:pos="136" w:val="left"/>
        </w:tabs>
        <w:numPr>
          <w:ilvl w:val="0"/>
          <w:numId w:val="12"/>
        </w:numPr>
        <w:rPr>
          <w:rFonts w:ascii="Arial" w:cs="Arial" w:eastAsia="Arial" w:hAnsi="Arial"/>
          <w:sz w:val="14"/>
          <w:szCs w:val="14"/>
          <w:color w:val="582C83"/>
        </w:rPr>
      </w:pPr>
      <w:r>
        <w:rPr>
          <w:rFonts w:ascii="Arial" w:cs="Arial" w:eastAsia="Arial" w:hAnsi="Arial"/>
          <w:sz w:val="14"/>
          <w:szCs w:val="14"/>
          <w:color w:val="auto"/>
        </w:rPr>
        <w:t>Provides an opportunity to discuss individual directors’ contributions and performance and to solicit their views on improving Board and committee performance.</w:t>
      </w:r>
    </w:p>
    <w:p>
      <w:pPr>
        <w:ind w:left="136" w:right="60" w:hanging="136"/>
        <w:spacing w:after="0" w:line="325" w:lineRule="auto"/>
        <w:tabs>
          <w:tab w:leader="none" w:pos="136" w:val="left"/>
        </w:tabs>
        <w:numPr>
          <w:ilvl w:val="0"/>
          <w:numId w:val="12"/>
        </w:numPr>
        <w:rPr>
          <w:rFonts w:ascii="Arial" w:cs="Arial" w:eastAsia="Arial" w:hAnsi="Arial"/>
          <w:sz w:val="14"/>
          <w:szCs w:val="14"/>
          <w:color w:val="582C83"/>
        </w:rPr>
      </w:pPr>
      <w:r>
        <w:rPr>
          <w:rFonts w:ascii="Arial" w:cs="Arial" w:eastAsia="Arial" w:hAnsi="Arial"/>
          <w:sz w:val="14"/>
          <w:szCs w:val="14"/>
          <w:color w:val="auto"/>
        </w:rPr>
        <w:t>Provides a disciplined mechanism for director input into the Board’s evolution and succession planning process.</w:t>
      </w:r>
    </w:p>
    <w:p>
      <w:pPr>
        <w:spacing w:after="0" w:line="174" w:lineRule="exact"/>
        <w:rPr>
          <w:sz w:val="20"/>
          <w:szCs w:val="20"/>
          <w:color w:val="auto"/>
        </w:rPr>
      </w:pPr>
    </w:p>
    <w:p>
      <w:pPr>
        <w:sectPr>
          <w:pgSz w:w="11900" w:h="16838" w:orient="portrait"/>
          <w:cols w:equalWidth="0" w:num="2">
            <w:col w:w="4280" w:space="284"/>
            <w:col w:w="4476"/>
          </w:cols>
          <w:pgMar w:left="1420" w:top="114" w:right="1439" w:bottom="0" w:gutter="0" w:footer="0" w:header="0"/>
          <w:type w:val="continuous"/>
        </w:sectPr>
      </w:pPr>
    </w:p>
    <w:tbl>
      <w:tblPr>
        <w:tblLayout w:type="fixed"/>
        <w:tblInd w:w="0" w:type="dxa"/>
        <w:tblCellMar>
          <w:top w:w="0" w:type="dxa"/>
          <w:left w:w="0" w:type="dxa"/>
          <w:bottom w:w="0" w:type="dxa"/>
          <w:right w:w="0" w:type="dxa"/>
        </w:tblCellMar>
      </w:tblPr>
      <w:tr>
        <w:trPr>
          <w:trHeight w:val="297"/>
        </w:trPr>
        <w:tc>
          <w:tcPr>
            <w:tcW w:w="4520" w:type="dxa"/>
            <w:vAlign w:val="bottom"/>
            <w:tcBorders>
              <w:top w:val="single" w:sz="8" w:color="582C83"/>
            </w:tcBorders>
            <w:gridSpan w:val="2"/>
            <w:shd w:val="clear" w:color="auto" w:fill="E0DBEA"/>
          </w:tcPr>
          <w:p>
            <w:pPr>
              <w:ind w:left="60"/>
              <w:spacing w:after="0"/>
              <w:rPr>
                <w:sz w:val="20"/>
                <w:szCs w:val="20"/>
                <w:color w:val="auto"/>
              </w:rPr>
            </w:pPr>
            <w:r>
              <w:rPr>
                <w:rFonts w:ascii="Arial" w:cs="Arial" w:eastAsia="Arial" w:hAnsi="Arial"/>
                <w:sz w:val="14"/>
                <w:szCs w:val="14"/>
                <w:b w:val="1"/>
                <w:bCs w:val="1"/>
                <w:color w:val="582C83"/>
              </w:rPr>
              <w:t>Tenure and Retirement Policies.</w:t>
            </w:r>
          </w:p>
        </w:tc>
        <w:tc>
          <w:tcPr>
            <w:tcW w:w="140" w:type="dxa"/>
            <w:vAlign w:val="bottom"/>
            <w:tcBorders>
              <w:top w:val="single" w:sz="8" w:color="E0DBEA"/>
            </w:tcBorders>
            <w:shd w:val="clear" w:color="auto" w:fill="E0DBEA"/>
          </w:tcPr>
          <w:p>
            <w:pPr>
              <w:ind w:left="40"/>
              <w:spacing w:after="0"/>
              <w:rPr>
                <w:sz w:val="20"/>
                <w:szCs w:val="20"/>
                <w:color w:val="auto"/>
              </w:rPr>
            </w:pPr>
            <w:r>
              <w:rPr>
                <w:rFonts w:ascii="Arial" w:cs="Arial" w:eastAsia="Arial" w:hAnsi="Arial"/>
                <w:sz w:val="17"/>
                <w:szCs w:val="17"/>
                <w:color w:val="582C83"/>
              </w:rPr>
              <w:t>•</w:t>
            </w:r>
          </w:p>
        </w:tc>
        <w:tc>
          <w:tcPr>
            <w:tcW w:w="4360" w:type="dxa"/>
            <w:vAlign w:val="bottom"/>
            <w:tcBorders>
              <w:top w:val="single" w:sz="8" w:color="E0DBEA"/>
            </w:tcBorders>
            <w:shd w:val="clear" w:color="auto" w:fill="E0DBEA"/>
          </w:tcPr>
          <w:p>
            <w:pPr>
              <w:ind w:left="40"/>
              <w:spacing w:after="0"/>
              <w:rPr>
                <w:sz w:val="20"/>
                <w:szCs w:val="20"/>
                <w:color w:val="auto"/>
              </w:rPr>
            </w:pPr>
            <w:r>
              <w:rPr>
                <w:rFonts w:ascii="Arial" w:cs="Arial" w:eastAsia="Arial" w:hAnsi="Arial"/>
                <w:sz w:val="14"/>
                <w:szCs w:val="14"/>
                <w:color w:val="auto"/>
              </w:rPr>
              <w:t>Promotes ongoing evolution and refreshment.</w:t>
            </w:r>
          </w:p>
        </w:tc>
      </w:tr>
      <w:tr>
        <w:trPr>
          <w:trHeight w:val="234"/>
        </w:trPr>
        <w:tc>
          <w:tcPr>
            <w:tcW w:w="16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4360" w:type="dxa"/>
            <w:vAlign w:val="bottom"/>
            <w:shd w:val="clear" w:color="auto" w:fill="E0DBEA"/>
          </w:tcPr>
          <w:p>
            <w:pPr>
              <w:ind w:left="40"/>
              <w:spacing w:after="0"/>
              <w:rPr>
                <w:sz w:val="20"/>
                <w:szCs w:val="20"/>
                <w:color w:val="auto"/>
              </w:rPr>
            </w:pPr>
            <w:r>
              <w:rPr>
                <w:rFonts w:ascii="Arial" w:cs="Arial" w:eastAsia="Arial" w:hAnsi="Arial"/>
                <w:sz w:val="14"/>
                <w:szCs w:val="14"/>
                <w:color w:val="auto"/>
              </w:rPr>
              <w:t>Non-employee directors have a term limit of 15 years.</w:t>
            </w:r>
          </w:p>
        </w:tc>
        <w:tc>
          <w:tcPr>
            <w:tcW w:w="140" w:type="dxa"/>
            <w:vAlign w:val="bottom"/>
            <w:shd w:val="clear" w:color="auto" w:fill="E0DBEA"/>
          </w:tcPr>
          <w:p>
            <w:pPr>
              <w:ind w:left="40"/>
              <w:spacing w:after="0"/>
              <w:rPr>
                <w:sz w:val="20"/>
                <w:szCs w:val="20"/>
                <w:color w:val="auto"/>
              </w:rPr>
            </w:pPr>
            <w:r>
              <w:rPr>
                <w:rFonts w:ascii="Arial" w:cs="Arial" w:eastAsia="Arial" w:hAnsi="Arial"/>
                <w:sz w:val="17"/>
                <w:szCs w:val="17"/>
                <w:color w:val="582C83"/>
              </w:rPr>
              <w:t>•</w:t>
            </w:r>
          </w:p>
        </w:tc>
        <w:tc>
          <w:tcPr>
            <w:tcW w:w="4360" w:type="dxa"/>
            <w:vAlign w:val="bottom"/>
            <w:shd w:val="clear" w:color="auto" w:fill="E0DBEA"/>
          </w:tcPr>
          <w:p>
            <w:pPr>
              <w:ind w:left="40"/>
              <w:spacing w:after="0"/>
              <w:rPr>
                <w:sz w:val="20"/>
                <w:szCs w:val="20"/>
                <w:color w:val="auto"/>
              </w:rPr>
            </w:pPr>
            <w:r>
              <w:rPr>
                <w:rFonts w:ascii="Arial" w:cs="Arial" w:eastAsia="Arial" w:hAnsi="Arial"/>
                <w:sz w:val="14"/>
                <w:szCs w:val="14"/>
                <w:color w:val="auto"/>
              </w:rPr>
              <w:t>Average tenure for current directors is approximately six years.</w:t>
            </w:r>
          </w:p>
        </w:tc>
      </w:tr>
      <w:tr>
        <w:trPr>
          <w:trHeight w:val="176"/>
        </w:trPr>
        <w:tc>
          <w:tcPr>
            <w:tcW w:w="16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4360" w:type="dxa"/>
            <w:vAlign w:val="bottom"/>
            <w:shd w:val="clear" w:color="auto" w:fill="E0DBEA"/>
          </w:tcPr>
          <w:p>
            <w:pPr>
              <w:ind w:left="40"/>
              <w:spacing w:after="0"/>
              <w:rPr>
                <w:sz w:val="20"/>
                <w:szCs w:val="20"/>
                <w:color w:val="auto"/>
              </w:rPr>
            </w:pPr>
            <w:r>
              <w:rPr>
                <w:rFonts w:ascii="Arial" w:cs="Arial" w:eastAsia="Arial" w:hAnsi="Arial"/>
                <w:sz w:val="14"/>
                <w:szCs w:val="14"/>
                <w:color w:val="auto"/>
              </w:rPr>
              <w:t>Non-employee directors will not be nominated for election to the</w:t>
            </w:r>
          </w:p>
        </w:tc>
        <w:tc>
          <w:tcPr>
            <w:tcW w:w="140" w:type="dxa"/>
            <w:vAlign w:val="bottom"/>
            <w:shd w:val="clear" w:color="auto" w:fill="E0DBEA"/>
          </w:tcPr>
          <w:p>
            <w:pPr>
              <w:spacing w:after="0"/>
              <w:rPr>
                <w:sz w:val="15"/>
                <w:szCs w:val="15"/>
                <w:color w:val="auto"/>
              </w:rPr>
            </w:pPr>
          </w:p>
        </w:tc>
        <w:tc>
          <w:tcPr>
            <w:tcW w:w="4360" w:type="dxa"/>
            <w:vAlign w:val="bottom"/>
            <w:shd w:val="clear" w:color="auto" w:fill="E0DBEA"/>
          </w:tcPr>
          <w:p>
            <w:pPr>
              <w:spacing w:after="0"/>
              <w:rPr>
                <w:sz w:val="15"/>
                <w:szCs w:val="15"/>
                <w:color w:val="auto"/>
              </w:rPr>
            </w:pPr>
          </w:p>
        </w:tc>
      </w:tr>
      <w:tr>
        <w:trPr>
          <w:trHeight w:val="190"/>
        </w:trPr>
        <w:tc>
          <w:tcPr>
            <w:tcW w:w="160" w:type="dxa"/>
            <w:vAlign w:val="bottom"/>
            <w:shd w:val="clear" w:color="auto" w:fill="E0DBEA"/>
          </w:tcPr>
          <w:p>
            <w:pPr>
              <w:spacing w:after="0"/>
              <w:rPr>
                <w:sz w:val="16"/>
                <w:szCs w:val="16"/>
                <w:color w:val="auto"/>
              </w:rPr>
            </w:pPr>
          </w:p>
        </w:tc>
        <w:tc>
          <w:tcPr>
            <w:tcW w:w="4360" w:type="dxa"/>
            <w:vAlign w:val="bottom"/>
            <w:shd w:val="clear" w:color="auto" w:fill="E0DBEA"/>
          </w:tcPr>
          <w:p>
            <w:pPr>
              <w:ind w:left="40"/>
              <w:spacing w:after="0"/>
              <w:rPr>
                <w:sz w:val="20"/>
                <w:szCs w:val="20"/>
                <w:color w:val="auto"/>
              </w:rPr>
            </w:pPr>
            <w:r>
              <w:rPr>
                <w:rFonts w:ascii="Arial" w:cs="Arial" w:eastAsia="Arial" w:hAnsi="Arial"/>
                <w:sz w:val="14"/>
                <w:szCs w:val="14"/>
                <w:color w:val="auto"/>
              </w:rPr>
              <w:t>Board after their 75th birthday.</w:t>
            </w:r>
          </w:p>
        </w:tc>
        <w:tc>
          <w:tcPr>
            <w:tcW w:w="140" w:type="dxa"/>
            <w:vAlign w:val="bottom"/>
            <w:shd w:val="clear" w:color="auto" w:fill="E0DBEA"/>
          </w:tcPr>
          <w:p>
            <w:pPr>
              <w:spacing w:after="0"/>
              <w:rPr>
                <w:sz w:val="16"/>
                <w:szCs w:val="16"/>
                <w:color w:val="auto"/>
              </w:rPr>
            </w:pPr>
          </w:p>
        </w:tc>
        <w:tc>
          <w:tcPr>
            <w:tcW w:w="4360" w:type="dxa"/>
            <w:vAlign w:val="bottom"/>
            <w:shd w:val="clear" w:color="auto" w:fill="E0DBEA"/>
          </w:tcPr>
          <w:p>
            <w:pPr>
              <w:spacing w:after="0"/>
              <w:rPr>
                <w:sz w:val="16"/>
                <w:szCs w:val="16"/>
                <w:color w:val="auto"/>
              </w:rPr>
            </w:pPr>
          </w:p>
        </w:tc>
      </w:tr>
      <w:tr>
        <w:trPr>
          <w:trHeight w:val="62"/>
        </w:trPr>
        <w:tc>
          <w:tcPr>
            <w:tcW w:w="160" w:type="dxa"/>
            <w:vAlign w:val="bottom"/>
            <w:tcBorders>
              <w:bottom w:val="single" w:sz="8" w:color="582C83"/>
            </w:tcBorders>
            <w:shd w:val="clear" w:color="auto" w:fill="E0DBEA"/>
          </w:tcPr>
          <w:p>
            <w:pPr>
              <w:spacing w:after="0"/>
              <w:rPr>
                <w:sz w:val="5"/>
                <w:szCs w:val="5"/>
                <w:color w:val="auto"/>
              </w:rPr>
            </w:pPr>
          </w:p>
        </w:tc>
        <w:tc>
          <w:tcPr>
            <w:tcW w:w="4360" w:type="dxa"/>
            <w:vAlign w:val="bottom"/>
            <w:tcBorders>
              <w:bottom w:val="single" w:sz="8" w:color="582C83"/>
            </w:tcBorders>
            <w:shd w:val="clear" w:color="auto" w:fill="E0DBEA"/>
          </w:tcPr>
          <w:p>
            <w:pPr>
              <w:spacing w:after="0"/>
              <w:rPr>
                <w:sz w:val="5"/>
                <w:szCs w:val="5"/>
                <w:color w:val="auto"/>
              </w:rPr>
            </w:pPr>
          </w:p>
        </w:tc>
        <w:tc>
          <w:tcPr>
            <w:tcW w:w="140" w:type="dxa"/>
            <w:vAlign w:val="bottom"/>
            <w:tcBorders>
              <w:bottom w:val="single" w:sz="8" w:color="582C83"/>
            </w:tcBorders>
            <w:shd w:val="clear" w:color="auto" w:fill="E0DBEA"/>
          </w:tcPr>
          <w:p>
            <w:pPr>
              <w:spacing w:after="0"/>
              <w:rPr>
                <w:sz w:val="5"/>
                <w:szCs w:val="5"/>
                <w:color w:val="auto"/>
              </w:rPr>
            </w:pPr>
          </w:p>
        </w:tc>
        <w:tc>
          <w:tcPr>
            <w:tcW w:w="4360" w:type="dxa"/>
            <w:vAlign w:val="bottom"/>
            <w:tcBorders>
              <w:bottom w:val="single" w:sz="8" w:color="582C83"/>
            </w:tcBorders>
            <w:shd w:val="clear" w:color="auto" w:fill="E0DBEA"/>
          </w:tcPr>
          <w:p>
            <w:pPr>
              <w:spacing w:after="0"/>
              <w:rPr>
                <w:sz w:val="5"/>
                <w:szCs w:val="5"/>
                <w:color w:val="auto"/>
              </w:rPr>
            </w:pPr>
          </w:p>
        </w:tc>
      </w:tr>
    </w:tbl>
    <w:p>
      <w:pPr>
        <w:spacing w:after="0" w:line="72" w:lineRule="exact"/>
        <w:rPr>
          <w:sz w:val="20"/>
          <w:szCs w:val="20"/>
          <w:color w:val="auto"/>
        </w:rPr>
      </w:pPr>
    </w:p>
    <w:p>
      <w:pPr>
        <w:sectPr>
          <w:pgSz w:w="11900" w:h="16838" w:orient="portrait"/>
          <w:cols w:equalWidth="0" w:num="1">
            <w:col w:w="9040"/>
          </w:cols>
          <w:pgMar w:left="1420" w:top="114" w:right="1439" w:bottom="0" w:gutter="0" w:footer="0" w:header="0"/>
          <w:type w:val="continuous"/>
        </w:sectPr>
      </w:pPr>
    </w:p>
    <w:p>
      <w:pPr>
        <w:ind w:left="60"/>
        <w:spacing w:after="0" w:line="293" w:lineRule="auto"/>
        <w:rPr>
          <w:sz w:val="20"/>
          <w:szCs w:val="20"/>
          <w:color w:val="auto"/>
        </w:rPr>
      </w:pPr>
      <w:r>
        <w:rPr>
          <w:rFonts w:ascii="Arial" w:cs="Arial" w:eastAsia="Arial" w:hAnsi="Arial"/>
          <w:sz w:val="14"/>
          <w:szCs w:val="14"/>
          <w:b w:val="1"/>
          <w:bCs w:val="1"/>
          <w:color w:val="582C83"/>
        </w:rPr>
        <w:t xml:space="preserve">Stock Ownership Requirements. </w:t>
      </w:r>
      <w:r>
        <w:rPr>
          <w:rFonts w:ascii="Arial" w:cs="Arial" w:eastAsia="Arial" w:hAnsi="Arial"/>
          <w:sz w:val="14"/>
          <w:szCs w:val="14"/>
          <w:color w:val="000000"/>
        </w:rPr>
        <w:t>Directors must own shares of</w:t>
      </w:r>
      <w:r>
        <w:rPr>
          <w:rFonts w:ascii="Arial" w:cs="Arial" w:eastAsia="Arial" w:hAnsi="Arial"/>
          <w:sz w:val="14"/>
          <w:szCs w:val="14"/>
          <w:b w:val="1"/>
          <w:bCs w:val="1"/>
          <w:color w:val="582C83"/>
        </w:rPr>
        <w:t xml:space="preserve"> </w:t>
      </w:r>
      <w:r>
        <w:rPr>
          <w:rFonts w:ascii="Arial" w:cs="Arial" w:eastAsia="Arial" w:hAnsi="Arial"/>
          <w:sz w:val="14"/>
          <w:szCs w:val="14"/>
          <w:color w:val="000000"/>
        </w:rPr>
        <w:t>our Common Stock in an amount equal to five times the annual Board cash retainer within five years of joining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Aligns directors’ and shareholders’ long-term interests.</w:t>
      </w:r>
    </w:p>
    <w:p>
      <w:pPr>
        <w:spacing w:after="0" w:line="540" w:lineRule="exact"/>
        <w:rPr>
          <w:sz w:val="20"/>
          <w:szCs w:val="20"/>
          <w:color w:val="auto"/>
        </w:rPr>
      </w:pPr>
    </w:p>
    <w:p>
      <w:pPr>
        <w:sectPr>
          <w:pgSz w:w="11900" w:h="16838" w:orient="portrait"/>
          <w:cols w:equalWidth="0" w:num="2">
            <w:col w:w="4180" w:space="380"/>
            <w:col w:w="4480"/>
          </w:cols>
          <w:pgMar w:left="1420" w:top="114" w:right="1439" w:bottom="0" w:gutter="0" w:footer="0" w:header="0"/>
          <w:type w:val="continuous"/>
        </w:sectPr>
      </w:pPr>
    </w:p>
    <w:p>
      <w:pPr>
        <w:ind w:left="60"/>
        <w:spacing w:after="0" w:line="287" w:lineRule="auto"/>
        <w:rPr>
          <w:sz w:val="20"/>
          <w:szCs w:val="20"/>
          <w:color w:val="auto"/>
        </w:rPr>
      </w:pPr>
      <w:r>
        <w:rPr>
          <w:rFonts w:ascii="Arial" w:cs="Arial" w:eastAsia="Arial" w:hAnsi="Arial"/>
          <w:sz w:val="14"/>
          <w:szCs w:val="14"/>
          <w:b w:val="1"/>
          <w:bCs w:val="1"/>
          <w:color w:val="582C83"/>
        </w:rPr>
        <w:t xml:space="preserve">Anti-Hedging Policy. </w:t>
      </w:r>
      <w:r>
        <w:rPr>
          <w:rFonts w:ascii="Arial" w:cs="Arial" w:eastAsia="Arial" w:hAnsi="Arial"/>
          <w:sz w:val="14"/>
          <w:szCs w:val="14"/>
          <w:color w:val="000000"/>
        </w:rPr>
        <w:t>Our Insider Trading Policy prohibits</w:t>
      </w:r>
      <w:r>
        <w:rPr>
          <w:rFonts w:ascii="Arial" w:cs="Arial" w:eastAsia="Arial" w:hAnsi="Arial"/>
          <w:sz w:val="14"/>
          <w:szCs w:val="14"/>
          <w:b w:val="1"/>
          <w:bCs w:val="1"/>
          <w:color w:val="582C83"/>
        </w:rPr>
        <w:t xml:space="preserve"> </w:t>
      </w:r>
      <w:r>
        <w:rPr>
          <w:rFonts w:ascii="Arial" w:cs="Arial" w:eastAsia="Arial" w:hAnsi="Arial"/>
          <w:sz w:val="14"/>
          <w:szCs w:val="14"/>
          <w:color w:val="000000"/>
        </w:rPr>
        <w:t>employees and directors from engaging in transactions involving derivative securities, short-selling, or hedging transactions that create an actual or potential bet against the Company or one of its subsidiaries.</w:t>
      </w:r>
    </w:p>
    <w:p>
      <w:pPr>
        <w:spacing w:after="0" w:line="20" w:lineRule="exact"/>
        <w:rPr>
          <w:sz w:val="20"/>
          <w:szCs w:val="20"/>
          <w:color w:val="auto"/>
        </w:rPr>
      </w:pPr>
      <w:r>
        <w:rPr>
          <w:sz w:val="20"/>
          <w:szCs w:val="20"/>
          <w:color w:val="auto"/>
        </w:rPr>
        <w:br w:type="column"/>
      </w:r>
    </w:p>
    <w:p>
      <w:pPr>
        <w:ind w:right="700"/>
        <w:spacing w:after="0" w:line="305" w:lineRule="auto"/>
        <w:rPr>
          <w:sz w:val="20"/>
          <w:szCs w:val="20"/>
          <w:color w:val="auto"/>
        </w:rPr>
      </w:pPr>
      <w:r>
        <w:rPr>
          <w:rFonts w:ascii="Arial" w:cs="Arial" w:eastAsia="Arial" w:hAnsi="Arial"/>
          <w:sz w:val="14"/>
          <w:szCs w:val="14"/>
          <w:color w:val="auto"/>
        </w:rPr>
        <w:t>Eliminates the opportunity to benefit from a decrease in our stock price.</w:t>
      </w:r>
    </w:p>
    <w:p>
      <w:pPr>
        <w:sectPr>
          <w:pgSz w:w="11900" w:h="16838" w:orient="portrait"/>
          <w:cols w:equalWidth="0" w:num="2">
            <w:col w:w="4160" w:space="400"/>
            <w:col w:w="4480"/>
          </w:cols>
          <w:pgMar w:left="1420" w:top="114" w:right="1439" w:bottom="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190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10375" cy="319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72428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10375" cy="7242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PROXY STATEMENT SUMMARY</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Executive Compensation</w:t>
      </w: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EXECUTIVE COMPENSATION</w:t>
      </w: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OVERVIEW OF PAY ELEMENTS</w:t>
      </w:r>
    </w:p>
    <w:p>
      <w:pPr>
        <w:spacing w:after="0" w:line="118" w:lineRule="exact"/>
        <w:rPr>
          <w:sz w:val="20"/>
          <w:szCs w:val="20"/>
          <w:color w:val="auto"/>
        </w:rPr>
      </w:pPr>
    </w:p>
    <w:p>
      <w:pPr>
        <w:jc w:val="both"/>
        <w:ind w:right="120"/>
        <w:spacing w:after="0" w:line="291" w:lineRule="auto"/>
        <w:rPr>
          <w:sz w:val="20"/>
          <w:szCs w:val="20"/>
          <w:color w:val="auto"/>
        </w:rPr>
      </w:pPr>
      <w:r>
        <w:rPr>
          <w:rFonts w:ascii="Arial" w:cs="Arial" w:eastAsia="Arial" w:hAnsi="Arial"/>
          <w:sz w:val="17"/>
          <w:szCs w:val="17"/>
          <w:color w:val="auto"/>
        </w:rPr>
        <w:t>This table describes the primary elements and objectives of the 2025 executive compensation program for our Named Executive Officers (“NEOs”), reflecting the philosophy of our People and Compensation Committee (the “PCC”) to set challenging but attainable targets to reward performance.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Pay</w:t>
            </w:r>
          </w:p>
        </w:tc>
        <w:tc>
          <w:tcPr>
            <w:tcW w:w="1100" w:type="dxa"/>
            <w:vAlign w:val="bottom"/>
          </w:tcPr>
          <w:p>
            <w:pPr>
              <w:spacing w:after="0"/>
              <w:rPr>
                <w:sz w:val="14"/>
                <w:szCs w:val="14"/>
                <w:color w:val="auto"/>
              </w:rPr>
            </w:pPr>
          </w:p>
        </w:tc>
        <w:tc>
          <w:tcPr>
            <w:tcW w:w="3780" w:type="dxa"/>
            <w:vAlign w:val="bottom"/>
          </w:tcPr>
          <w:p>
            <w:pPr>
              <w:ind w:left="500"/>
              <w:spacing w:after="0"/>
              <w:rPr>
                <w:sz w:val="20"/>
                <w:szCs w:val="20"/>
                <w:color w:val="auto"/>
              </w:rPr>
            </w:pPr>
            <w:r>
              <w:rPr>
                <w:rFonts w:ascii="Arial" w:cs="Arial" w:eastAsia="Arial" w:hAnsi="Arial"/>
                <w:sz w:val="14"/>
                <w:szCs w:val="14"/>
                <w:b w:val="1"/>
                <w:bCs w:val="1"/>
                <w:color w:val="auto"/>
              </w:rPr>
              <w:t>2025 Performance Measures &amp;</w:t>
            </w:r>
          </w:p>
        </w:tc>
        <w:tc>
          <w:tcPr>
            <w:tcW w:w="3200" w:type="dxa"/>
            <w:vAlign w:val="bottom"/>
          </w:tcPr>
          <w:p>
            <w:pPr>
              <w:spacing w:after="0"/>
              <w:rPr>
                <w:sz w:val="14"/>
                <w:szCs w:val="14"/>
                <w:color w:val="auto"/>
              </w:rPr>
            </w:pPr>
          </w:p>
        </w:tc>
      </w:tr>
      <w:tr>
        <w:trPr>
          <w:trHeight w:val="181"/>
        </w:trPr>
        <w:tc>
          <w:tcPr>
            <w:tcW w:w="96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Element</w:t>
            </w:r>
          </w:p>
        </w:tc>
        <w:tc>
          <w:tcPr>
            <w:tcW w:w="1100" w:type="dxa"/>
            <w:vAlign w:val="bottom"/>
            <w:tcBorders>
              <w:bottom w:val="single" w:sz="8" w:color="582C83"/>
            </w:tcBorders>
          </w:tcPr>
          <w:p>
            <w:pPr>
              <w:ind w:left="80"/>
              <w:spacing w:after="0"/>
              <w:rPr>
                <w:sz w:val="20"/>
                <w:szCs w:val="20"/>
                <w:color w:val="auto"/>
              </w:rPr>
            </w:pPr>
            <w:r>
              <w:rPr>
                <w:rFonts w:ascii="Arial" w:cs="Arial" w:eastAsia="Arial" w:hAnsi="Arial"/>
                <w:sz w:val="14"/>
                <w:szCs w:val="14"/>
                <w:b w:val="1"/>
                <w:bCs w:val="1"/>
                <w:color w:val="auto"/>
              </w:rPr>
              <w:t>Vehicle</w:t>
            </w:r>
          </w:p>
        </w:tc>
        <w:tc>
          <w:tcPr>
            <w:tcW w:w="3780" w:type="dxa"/>
            <w:vAlign w:val="bottom"/>
            <w:tcBorders>
              <w:bottom w:val="single" w:sz="8" w:color="582C83"/>
            </w:tcBorders>
          </w:tcPr>
          <w:p>
            <w:pPr>
              <w:ind w:left="500"/>
              <w:spacing w:after="0" w:line="174" w:lineRule="exact"/>
              <w:rPr>
                <w:sz w:val="20"/>
                <w:szCs w:val="20"/>
                <w:color w:val="auto"/>
              </w:rPr>
            </w:pPr>
            <w:r>
              <w:rPr>
                <w:rFonts w:ascii="Arial" w:cs="Arial" w:eastAsia="Arial" w:hAnsi="Arial"/>
                <w:sz w:val="14"/>
                <w:szCs w:val="14"/>
                <w:b w:val="1"/>
                <w:bCs w:val="1"/>
                <w:color w:val="auto"/>
              </w:rPr>
              <w:t>Key Characteristics</w:t>
            </w:r>
            <w:r>
              <w:rPr>
                <w:rFonts w:ascii="Arial" w:cs="Arial" w:eastAsia="Arial" w:hAnsi="Arial"/>
                <w:sz w:val="18"/>
                <w:szCs w:val="18"/>
                <w:b w:val="1"/>
                <w:bCs w:val="1"/>
                <w:color w:val="auto"/>
                <w:vertAlign w:val="superscript"/>
              </w:rPr>
              <w:t>(1)</w:t>
            </w:r>
          </w:p>
        </w:tc>
        <w:tc>
          <w:tcPr>
            <w:tcW w:w="3200" w:type="dxa"/>
            <w:vAlign w:val="bottom"/>
            <w:tcBorders>
              <w:bottom w:val="single" w:sz="8" w:color="582C83"/>
            </w:tcBorders>
          </w:tcPr>
          <w:p>
            <w:pPr>
              <w:ind w:left="1200"/>
              <w:spacing w:after="0"/>
              <w:rPr>
                <w:sz w:val="20"/>
                <w:szCs w:val="20"/>
                <w:color w:val="auto"/>
              </w:rPr>
            </w:pPr>
            <w:r>
              <w:rPr>
                <w:rFonts w:ascii="Arial" w:cs="Arial" w:eastAsia="Arial" w:hAnsi="Arial"/>
                <w:sz w:val="14"/>
                <w:szCs w:val="14"/>
                <w:b w:val="1"/>
                <w:bCs w:val="1"/>
                <w:color w:val="auto"/>
              </w:rPr>
              <w:t>2025 Objectives</w:t>
            </w:r>
          </w:p>
        </w:tc>
      </w:tr>
      <w:tr>
        <w:trPr>
          <w:trHeight w:val="193"/>
        </w:trPr>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Base Salary</w:t>
            </w:r>
          </w:p>
        </w:tc>
        <w:tc>
          <w:tcPr>
            <w:tcW w:w="1100" w:type="dxa"/>
            <w:vAlign w:val="bottom"/>
          </w:tcPr>
          <w:p>
            <w:pPr>
              <w:ind w:left="80"/>
              <w:spacing w:after="0"/>
              <w:rPr>
                <w:sz w:val="20"/>
                <w:szCs w:val="20"/>
                <w:color w:val="auto"/>
              </w:rPr>
            </w:pPr>
            <w:r>
              <w:rPr>
                <w:rFonts w:ascii="Arial" w:cs="Arial" w:eastAsia="Arial" w:hAnsi="Arial"/>
                <w:sz w:val="14"/>
                <w:szCs w:val="14"/>
                <w:b w:val="1"/>
                <w:bCs w:val="1"/>
                <w:color w:val="auto"/>
              </w:rPr>
              <w:t>Cash</w:t>
            </w:r>
          </w:p>
        </w:tc>
        <w:tc>
          <w:tcPr>
            <w:tcW w:w="3780" w:type="dxa"/>
            <w:vAlign w:val="bottom"/>
          </w:tcPr>
          <w:p>
            <w:pPr>
              <w:ind w:left="500"/>
              <w:spacing w:after="0"/>
              <w:rPr>
                <w:sz w:val="20"/>
                <w:szCs w:val="20"/>
                <w:color w:val="auto"/>
              </w:rPr>
            </w:pPr>
            <w:r>
              <w:rPr>
                <w:rFonts w:ascii="Arial" w:cs="Arial" w:eastAsia="Arial" w:hAnsi="Arial"/>
                <w:sz w:val="14"/>
                <w:szCs w:val="14"/>
                <w:color w:val="auto"/>
              </w:rPr>
              <w:t>Fixed cash paid regularly</w:t>
            </w:r>
          </w:p>
        </w:tc>
        <w:tc>
          <w:tcPr>
            <w:tcW w:w="3200" w:type="dxa"/>
            <w:vAlign w:val="bottom"/>
          </w:tcPr>
          <w:p>
            <w:pPr>
              <w:ind w:left="1200"/>
              <w:spacing w:after="0"/>
              <w:rPr>
                <w:sz w:val="20"/>
                <w:szCs w:val="20"/>
                <w:color w:val="auto"/>
              </w:rPr>
            </w:pPr>
            <w:r>
              <w:rPr>
                <w:rFonts w:ascii="Arial" w:cs="Arial" w:eastAsia="Arial" w:hAnsi="Arial"/>
                <w:sz w:val="14"/>
                <w:szCs w:val="14"/>
                <w:color w:val="auto"/>
              </w:rPr>
              <w:t>Attract and retain world-class</w:t>
            </w:r>
          </w:p>
        </w:tc>
      </w:tr>
      <w:tr>
        <w:trPr>
          <w:trHeight w:val="189"/>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200" w:type="dxa"/>
            <w:vAlign w:val="bottom"/>
          </w:tcPr>
          <w:p>
            <w:pPr>
              <w:ind w:left="1200"/>
              <w:spacing w:after="0"/>
              <w:rPr>
                <w:sz w:val="20"/>
                <w:szCs w:val="20"/>
                <w:color w:val="auto"/>
              </w:rPr>
            </w:pPr>
            <w:r>
              <w:rPr>
                <w:rFonts w:ascii="Arial" w:cs="Arial" w:eastAsia="Arial" w:hAnsi="Arial"/>
                <w:sz w:val="14"/>
                <w:szCs w:val="14"/>
                <w:color w:val="auto"/>
              </w:rPr>
              <w:t>business leaders by offering</w:t>
            </w:r>
          </w:p>
        </w:tc>
      </w:tr>
      <w:tr>
        <w:trPr>
          <w:trHeight w:val="189"/>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200" w:type="dxa"/>
            <w:vAlign w:val="bottom"/>
          </w:tcPr>
          <w:p>
            <w:pPr>
              <w:ind w:left="1200"/>
              <w:spacing w:after="0"/>
              <w:rPr>
                <w:sz w:val="20"/>
                <w:szCs w:val="20"/>
                <w:color w:val="auto"/>
              </w:rPr>
            </w:pPr>
            <w:r>
              <w:rPr>
                <w:rFonts w:ascii="Arial" w:cs="Arial" w:eastAsia="Arial" w:hAnsi="Arial"/>
                <w:sz w:val="14"/>
                <w:szCs w:val="14"/>
                <w:color w:val="auto"/>
              </w:rPr>
              <w:t>market-competitive salaries</w:t>
            </w:r>
          </w:p>
        </w:tc>
      </w:tr>
      <w:tr>
        <w:trPr>
          <w:trHeight w:val="189"/>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200" w:type="dxa"/>
            <w:vAlign w:val="bottom"/>
          </w:tcPr>
          <w:p>
            <w:pPr>
              <w:ind w:left="1200"/>
              <w:spacing w:after="0"/>
              <w:rPr>
                <w:sz w:val="20"/>
                <w:szCs w:val="20"/>
                <w:color w:val="auto"/>
              </w:rPr>
            </w:pPr>
            <w:r>
              <w:rPr>
                <w:rFonts w:ascii="Arial" w:cs="Arial" w:eastAsia="Arial" w:hAnsi="Arial"/>
                <w:sz w:val="14"/>
                <w:szCs w:val="14"/>
                <w:color w:val="auto"/>
              </w:rPr>
              <w:t>based on role, responsibilities,</w:t>
            </w:r>
          </w:p>
        </w:tc>
      </w:tr>
      <w:tr>
        <w:trPr>
          <w:trHeight w:val="176"/>
        </w:trPr>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200" w:type="dxa"/>
            <w:vAlign w:val="bottom"/>
          </w:tcPr>
          <w:p>
            <w:pPr>
              <w:ind w:left="1200"/>
              <w:spacing w:after="0"/>
              <w:rPr>
                <w:sz w:val="20"/>
                <w:szCs w:val="20"/>
                <w:color w:val="auto"/>
              </w:rPr>
            </w:pPr>
            <w:r>
              <w:rPr>
                <w:rFonts w:ascii="Arial" w:cs="Arial" w:eastAsia="Arial" w:hAnsi="Arial"/>
                <w:sz w:val="14"/>
                <w:szCs w:val="14"/>
                <w:color w:val="auto"/>
              </w:rPr>
              <w:t>experience, individual</w:t>
            </w:r>
          </w:p>
        </w:tc>
      </w:tr>
      <w:tr>
        <w:trPr>
          <w:trHeight w:val="189"/>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200" w:type="dxa"/>
            <w:vAlign w:val="bottom"/>
          </w:tcPr>
          <w:p>
            <w:pPr>
              <w:ind w:left="1200"/>
              <w:spacing w:after="0"/>
              <w:rPr>
                <w:sz w:val="20"/>
                <w:szCs w:val="20"/>
                <w:color w:val="auto"/>
              </w:rPr>
            </w:pPr>
            <w:r>
              <w:rPr>
                <w:rFonts w:ascii="Arial" w:cs="Arial" w:eastAsia="Arial" w:hAnsi="Arial"/>
                <w:sz w:val="14"/>
                <w:szCs w:val="14"/>
                <w:color w:val="auto"/>
              </w:rPr>
              <w:t>performance, and</w:t>
            </w:r>
          </w:p>
        </w:tc>
      </w:tr>
      <w:tr>
        <w:trPr>
          <w:trHeight w:val="190"/>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200" w:type="dxa"/>
            <w:vAlign w:val="bottom"/>
          </w:tcPr>
          <w:p>
            <w:pPr>
              <w:ind w:left="1200"/>
              <w:spacing w:after="0"/>
              <w:rPr>
                <w:sz w:val="20"/>
                <w:szCs w:val="20"/>
                <w:color w:val="auto"/>
              </w:rPr>
            </w:pPr>
            <w:r>
              <w:rPr>
                <w:rFonts w:ascii="Arial" w:cs="Arial" w:eastAsia="Arial" w:hAnsi="Arial"/>
                <w:sz w:val="14"/>
                <w:szCs w:val="14"/>
                <w:color w:val="auto"/>
              </w:rPr>
              <w:t>internal equity</w:t>
            </w:r>
          </w:p>
        </w:tc>
      </w:tr>
    </w:tbl>
    <w:p>
      <w:pPr>
        <w:spacing w:after="0" w:line="26" w:lineRule="exact"/>
        <w:rPr>
          <w:sz w:val="20"/>
          <w:szCs w:val="20"/>
          <w:color w:val="auto"/>
        </w:rPr>
      </w:pPr>
    </w:p>
    <w:p>
      <w:pPr>
        <w:sectPr>
          <w:pgSz w:w="11900" w:h="16838" w:orient="portrait"/>
          <w:cols w:equalWidth="0" w:num="1">
            <w:col w:w="9040"/>
          </w:cols>
          <w:pgMar w:left="1420" w:top="1440" w:right="1439" w:bottom="0" w:gutter="0" w:footer="0" w:header="0"/>
        </w:sectPr>
      </w:pPr>
    </w:p>
    <w:tbl>
      <w:tblPr>
        <w:tblLayout w:type="fixed"/>
        <w:tblInd w:w="60" w:type="dxa"/>
        <w:tblCellMar>
          <w:top w:w="0" w:type="dxa"/>
          <w:left w:w="0" w:type="dxa"/>
          <w:bottom w:w="0" w:type="dxa"/>
          <w:right w:w="0" w:type="dxa"/>
        </w:tblCellMar>
      </w:tblPr>
      <w:tr>
        <w:trPr>
          <w:trHeight w:val="175"/>
        </w:trPr>
        <w:tc>
          <w:tcPr>
            <w:tcW w:w="800" w:type="dxa"/>
            <w:vAlign w:val="bottom"/>
          </w:tcPr>
          <w:p>
            <w:pPr>
              <w:spacing w:after="0"/>
              <w:rPr>
                <w:sz w:val="20"/>
                <w:szCs w:val="20"/>
                <w:color w:val="auto"/>
              </w:rPr>
            </w:pPr>
            <w:r>
              <w:rPr>
                <w:rFonts w:ascii="Arial" w:cs="Arial" w:eastAsia="Arial" w:hAnsi="Arial"/>
                <w:sz w:val="14"/>
                <w:szCs w:val="14"/>
                <w:b w:val="1"/>
                <w:bCs w:val="1"/>
                <w:color w:val="auto"/>
              </w:rPr>
              <w:t>Annual</w:t>
            </w:r>
          </w:p>
        </w:tc>
        <w:tc>
          <w:tcPr>
            <w:tcW w:w="1320" w:type="dxa"/>
            <w:vAlign w:val="bottom"/>
          </w:tcPr>
          <w:p>
            <w:pPr>
              <w:ind w:left="180"/>
              <w:spacing w:after="0"/>
              <w:rPr>
                <w:sz w:val="20"/>
                <w:szCs w:val="20"/>
                <w:color w:val="auto"/>
              </w:rPr>
            </w:pPr>
            <w:r>
              <w:rPr>
                <w:rFonts w:ascii="Arial" w:cs="Arial" w:eastAsia="Arial" w:hAnsi="Arial"/>
                <w:sz w:val="14"/>
                <w:szCs w:val="14"/>
                <w:b w:val="1"/>
                <w:bCs w:val="1"/>
                <w:color w:val="auto"/>
              </w:rPr>
              <w:t>100%</w:t>
            </w:r>
          </w:p>
        </w:tc>
        <w:tc>
          <w:tcPr>
            <w:tcW w:w="3560" w:type="dxa"/>
            <w:vAlign w:val="bottom"/>
            <w:gridSpan w:val="2"/>
          </w:tcPr>
          <w:p>
            <w:pPr>
              <w:ind w:left="380"/>
              <w:spacing w:after="0"/>
              <w:rPr>
                <w:sz w:val="20"/>
                <w:szCs w:val="20"/>
                <w:color w:val="auto"/>
              </w:rPr>
            </w:pPr>
            <w:r>
              <w:rPr>
                <w:rFonts w:ascii="Arial" w:cs="Arial" w:eastAsia="Arial" w:hAnsi="Arial"/>
                <w:sz w:val="14"/>
                <w:szCs w:val="14"/>
                <w:b w:val="1"/>
                <w:bCs w:val="1"/>
                <w:color w:val="auto"/>
              </w:rPr>
              <w:t>80% Financial Measures: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0" w:type="dxa"/>
            <w:vAlign w:val="bottom"/>
          </w:tcPr>
          <w:p>
            <w:pPr>
              <w:spacing w:after="0"/>
              <w:rPr>
                <w:sz w:val="20"/>
                <w:szCs w:val="20"/>
                <w:color w:val="auto"/>
              </w:rPr>
            </w:pPr>
            <w:r>
              <w:rPr>
                <w:rFonts w:ascii="Arial" w:cs="Arial" w:eastAsia="Arial" w:hAnsi="Arial"/>
                <w:sz w:val="14"/>
                <w:szCs w:val="14"/>
                <w:b w:val="1"/>
                <w:bCs w:val="1"/>
                <w:color w:val="auto"/>
              </w:rPr>
              <w:t>Incentive</w:t>
            </w:r>
          </w:p>
        </w:tc>
        <w:tc>
          <w:tcPr>
            <w:tcW w:w="1320" w:type="dxa"/>
            <w:vAlign w:val="bottom"/>
          </w:tcPr>
          <w:p>
            <w:pPr>
              <w:ind w:left="180"/>
              <w:spacing w:after="0"/>
              <w:rPr>
                <w:sz w:val="20"/>
                <w:szCs w:val="20"/>
                <w:color w:val="auto"/>
              </w:rPr>
            </w:pPr>
            <w:r>
              <w:rPr>
                <w:rFonts w:ascii="Arial" w:cs="Arial" w:eastAsia="Arial" w:hAnsi="Arial"/>
                <w:sz w:val="14"/>
                <w:szCs w:val="14"/>
                <w:color w:val="auto"/>
              </w:rPr>
              <w:t>At-risk cash</w:t>
            </w:r>
          </w:p>
        </w:tc>
        <w:tc>
          <w:tcPr>
            <w:tcW w:w="480" w:type="dxa"/>
            <w:vAlign w:val="bottom"/>
          </w:tcPr>
          <w:p>
            <w:pPr>
              <w:ind w:left="380"/>
              <w:spacing w:after="0" w:line="176" w:lineRule="exact"/>
              <w:rPr>
                <w:sz w:val="20"/>
                <w:szCs w:val="20"/>
                <w:color w:val="auto"/>
              </w:rPr>
            </w:pPr>
            <w:r>
              <w:rPr>
                <w:rFonts w:ascii="Arial" w:cs="Arial" w:eastAsia="Arial" w:hAnsi="Arial"/>
                <w:sz w:val="17"/>
                <w:szCs w:val="17"/>
                <w:color w:val="582C83"/>
              </w:rPr>
              <w:t>•</w:t>
            </w:r>
          </w:p>
        </w:tc>
        <w:tc>
          <w:tcPr>
            <w:tcW w:w="3080" w:type="dxa"/>
            <w:vAlign w:val="bottom"/>
          </w:tcPr>
          <w:p>
            <w:pPr>
              <w:ind w:left="40"/>
              <w:spacing w:after="0"/>
              <w:rPr>
                <w:sz w:val="20"/>
                <w:szCs w:val="20"/>
                <w:color w:val="auto"/>
              </w:rPr>
            </w:pPr>
            <w:r>
              <w:rPr>
                <w:rFonts w:ascii="Arial" w:cs="Arial" w:eastAsia="Arial" w:hAnsi="Arial"/>
                <w:sz w:val="14"/>
                <w:szCs w:val="14"/>
                <w:color w:val="auto"/>
              </w:rPr>
              <w:t>Organic Volume Growth (15%)</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0"/>
                <w:szCs w:val="20"/>
                <w:color w:val="auto"/>
              </w:rPr>
            </w:pPr>
            <w:r>
              <w:rPr>
                <w:rFonts w:ascii="Arial" w:cs="Arial" w:eastAsia="Arial" w:hAnsi="Arial"/>
                <w:sz w:val="14"/>
                <w:szCs w:val="14"/>
                <w:b w:val="1"/>
                <w:bCs w:val="1"/>
                <w:color w:val="auto"/>
              </w:rPr>
              <w:t>Plan</w:t>
            </w:r>
          </w:p>
        </w:tc>
        <w:tc>
          <w:tcPr>
            <w:tcW w:w="1320" w:type="dxa"/>
            <w:vAlign w:val="bottom"/>
          </w:tcPr>
          <w:p>
            <w:pPr>
              <w:spacing w:after="0"/>
              <w:rPr>
                <w:sz w:val="21"/>
                <w:szCs w:val="21"/>
                <w:color w:val="auto"/>
              </w:rPr>
            </w:pPr>
          </w:p>
        </w:tc>
        <w:tc>
          <w:tcPr>
            <w:tcW w:w="480" w:type="dxa"/>
            <w:vAlign w:val="bottom"/>
          </w:tcPr>
          <w:p>
            <w:pPr>
              <w:ind w:left="380"/>
              <w:spacing w:after="0"/>
              <w:rPr>
                <w:sz w:val="20"/>
                <w:szCs w:val="20"/>
                <w:color w:val="auto"/>
              </w:rPr>
            </w:pPr>
            <w:r>
              <w:rPr>
                <w:rFonts w:ascii="Arial" w:cs="Arial" w:eastAsia="Arial" w:hAnsi="Arial"/>
                <w:sz w:val="17"/>
                <w:szCs w:val="17"/>
                <w:color w:val="582C83"/>
              </w:rPr>
              <w:t>•</w:t>
            </w:r>
          </w:p>
        </w:tc>
        <w:tc>
          <w:tcPr>
            <w:tcW w:w="3080" w:type="dxa"/>
            <w:vAlign w:val="bottom"/>
          </w:tcPr>
          <w:p>
            <w:pPr>
              <w:ind w:left="40"/>
              <w:spacing w:after="0"/>
              <w:rPr>
                <w:sz w:val="20"/>
                <w:szCs w:val="20"/>
                <w:color w:val="auto"/>
              </w:rPr>
            </w:pPr>
            <w:r>
              <w:rPr>
                <w:rFonts w:ascii="Arial" w:cs="Arial" w:eastAsia="Arial" w:hAnsi="Arial"/>
                <w:sz w:val="14"/>
                <w:szCs w:val="14"/>
                <w:color w:val="auto"/>
              </w:rPr>
              <w:t>Organic Net Revenue Growth (15%)</w:t>
            </w:r>
          </w:p>
        </w:tc>
        <w:tc>
          <w:tcPr>
            <w:tcW w:w="860" w:type="dxa"/>
            <w:vAlign w:val="bottom"/>
          </w:tcPr>
          <w:p>
            <w:pPr>
              <w:ind w:left="360"/>
              <w:spacing w:after="0"/>
              <w:rPr>
                <w:sz w:val="20"/>
                <w:szCs w:val="20"/>
                <w:color w:val="auto"/>
              </w:rPr>
            </w:pPr>
            <w:r>
              <w:rPr>
                <w:rFonts w:ascii="Arial" w:cs="Arial" w:eastAsia="Arial" w:hAnsi="Arial"/>
                <w:sz w:val="14"/>
                <w:szCs w:val="14"/>
                <w:color w:val="auto"/>
              </w:rPr>
              <w:t>30pp</w:t>
            </w:r>
          </w:p>
        </w:tc>
        <w:tc>
          <w:tcPr>
            <w:tcW w:w="0" w:type="dxa"/>
            <w:vAlign w:val="bottom"/>
          </w:tcPr>
          <w:p>
            <w:pPr>
              <w:spacing w:after="0"/>
              <w:rPr>
                <w:sz w:val="1"/>
                <w:szCs w:val="1"/>
                <w:color w:val="auto"/>
              </w:rPr>
            </w:pPr>
          </w:p>
        </w:tc>
      </w:tr>
      <w:tr>
        <w:trPr>
          <w:trHeight w:val="198"/>
        </w:trPr>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ind w:left="380"/>
              <w:spacing w:after="0"/>
              <w:rPr>
                <w:sz w:val="20"/>
                <w:szCs w:val="20"/>
                <w:color w:val="auto"/>
              </w:rPr>
            </w:pPr>
            <w:r>
              <w:rPr>
                <w:rFonts w:ascii="Arial" w:cs="Arial" w:eastAsia="Arial" w:hAnsi="Arial"/>
                <w:sz w:val="17"/>
                <w:szCs w:val="17"/>
                <w:color w:val="582C83"/>
              </w:rPr>
              <w:t>•</w:t>
            </w:r>
          </w:p>
        </w:tc>
        <w:tc>
          <w:tcPr>
            <w:tcW w:w="3080" w:type="dxa"/>
            <w:vAlign w:val="bottom"/>
          </w:tcPr>
          <w:p>
            <w:pPr>
              <w:ind w:left="40"/>
              <w:spacing w:after="0"/>
              <w:rPr>
                <w:sz w:val="20"/>
                <w:szCs w:val="20"/>
                <w:color w:val="auto"/>
              </w:rPr>
            </w:pPr>
            <w:r>
              <w:rPr>
                <w:rFonts w:ascii="Arial" w:cs="Arial" w:eastAsia="Arial" w:hAnsi="Arial"/>
                <w:sz w:val="14"/>
                <w:szCs w:val="14"/>
                <w:color w:val="auto"/>
              </w:rPr>
              <w:t>Adjusted Gross Profit Growth (35%)</w:t>
            </w:r>
          </w:p>
        </w:tc>
        <w:tc>
          <w:tcPr>
            <w:tcW w:w="860" w:type="dxa"/>
            <w:vAlign w:val="bottom"/>
          </w:tcPr>
          <w:p>
            <w:pPr>
              <w:ind w:left="360"/>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80" w:type="dxa"/>
            <w:vAlign w:val="bottom"/>
            <w:vMerge w:val="restart"/>
          </w:tcPr>
          <w:p>
            <w:pPr>
              <w:ind w:left="380"/>
              <w:spacing w:after="0"/>
              <w:rPr>
                <w:sz w:val="20"/>
                <w:szCs w:val="20"/>
                <w:color w:val="auto"/>
              </w:rPr>
            </w:pPr>
            <w:r>
              <w:rPr>
                <w:rFonts w:ascii="Arial" w:cs="Arial" w:eastAsia="Arial" w:hAnsi="Arial"/>
                <w:sz w:val="17"/>
                <w:szCs w:val="17"/>
                <w:color w:val="582C83"/>
              </w:rPr>
              <w:t>•</w:t>
            </w:r>
          </w:p>
        </w:tc>
        <w:tc>
          <w:tcPr>
            <w:tcW w:w="3080" w:type="dxa"/>
            <w:vAlign w:val="bottom"/>
            <w:vMerge w:val="restart"/>
          </w:tcPr>
          <w:p>
            <w:pPr>
              <w:ind w:left="40"/>
              <w:spacing w:after="0"/>
              <w:rPr>
                <w:sz w:val="20"/>
                <w:szCs w:val="20"/>
                <w:color w:val="auto"/>
              </w:rPr>
            </w:pPr>
            <w:r>
              <w:rPr>
                <w:rFonts w:ascii="Arial" w:cs="Arial" w:eastAsia="Arial" w:hAnsi="Arial"/>
                <w:sz w:val="14"/>
                <w:szCs w:val="14"/>
                <w:color w:val="auto"/>
              </w:rPr>
              <w:t>Adjusted Operating Income Growth (15%)</w:t>
            </w:r>
          </w:p>
        </w:tc>
        <w:tc>
          <w:tcPr>
            <w:tcW w:w="860" w:type="dxa"/>
            <w:vAlign w:val="bottom"/>
          </w:tcPr>
          <w:p>
            <w:pPr>
              <w:ind w:left="360"/>
              <w:spacing w:after="0" w:line="153" w:lineRule="exact"/>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17"/>
        </w:trPr>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3080" w:type="dxa"/>
            <w:vAlign w:val="bottom"/>
            <w:vMerge w:val="continue"/>
          </w:tcPr>
          <w:p>
            <w:pPr>
              <w:spacing w:after="0"/>
              <w:rPr>
                <w:sz w:val="10"/>
                <w:szCs w:val="10"/>
                <w:color w:val="auto"/>
              </w:rPr>
            </w:pPr>
          </w:p>
        </w:tc>
        <w:tc>
          <w:tcPr>
            <w:tcW w:w="860" w:type="dxa"/>
            <w:vAlign w:val="bottom"/>
            <w:vMerge w:val="restart"/>
          </w:tcPr>
          <w:p>
            <w:pPr>
              <w:ind w:left="360"/>
              <w:spacing w:after="0"/>
              <w:rPr>
                <w:sz w:val="20"/>
                <w:szCs w:val="20"/>
                <w:color w:val="auto"/>
              </w:rPr>
            </w:pPr>
            <w:r>
              <w:rPr>
                <w:rFonts w:ascii="Arial" w:cs="Arial" w:eastAsia="Arial" w:hAnsi="Arial"/>
                <w:sz w:val="14"/>
                <w:szCs w:val="14"/>
                <w:color w:val="auto"/>
                <w:w w:val="99"/>
              </w:rPr>
              <w:t>Overlay</w:t>
            </w:r>
          </w:p>
        </w:tc>
        <w:tc>
          <w:tcPr>
            <w:tcW w:w="0" w:type="dxa"/>
            <w:vAlign w:val="bottom"/>
          </w:tcPr>
          <w:p>
            <w:pPr>
              <w:spacing w:after="0"/>
              <w:rPr>
                <w:sz w:val="1"/>
                <w:szCs w:val="1"/>
                <w:color w:val="auto"/>
              </w:rPr>
            </w:pPr>
          </w:p>
        </w:tc>
      </w:tr>
      <w:tr>
        <w:trPr>
          <w:trHeight w:val="73"/>
        </w:trPr>
        <w:tc>
          <w:tcPr>
            <w:tcW w:w="8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80" w:type="dxa"/>
            <w:vAlign w:val="bottom"/>
            <w:vMerge w:val="restart"/>
          </w:tcPr>
          <w:p>
            <w:pPr>
              <w:ind w:left="380"/>
              <w:spacing w:after="0"/>
              <w:rPr>
                <w:sz w:val="20"/>
                <w:szCs w:val="20"/>
                <w:color w:val="auto"/>
              </w:rPr>
            </w:pPr>
            <w:r>
              <w:rPr>
                <w:rFonts w:ascii="Arial" w:cs="Arial" w:eastAsia="Arial" w:hAnsi="Arial"/>
                <w:sz w:val="17"/>
                <w:szCs w:val="17"/>
                <w:color w:val="582C83"/>
              </w:rPr>
              <w:t>•</w:t>
            </w:r>
          </w:p>
        </w:tc>
        <w:tc>
          <w:tcPr>
            <w:tcW w:w="3080" w:type="dxa"/>
            <w:vAlign w:val="bottom"/>
            <w:vMerge w:val="restart"/>
          </w:tcPr>
          <w:p>
            <w:pPr>
              <w:ind w:left="40"/>
              <w:spacing w:after="0"/>
              <w:rPr>
                <w:sz w:val="20"/>
                <w:szCs w:val="20"/>
                <w:color w:val="auto"/>
              </w:rPr>
            </w:pPr>
            <w:r>
              <w:rPr>
                <w:rFonts w:ascii="Arial" w:cs="Arial" w:eastAsia="Arial" w:hAnsi="Arial"/>
                <w:sz w:val="14"/>
                <w:szCs w:val="14"/>
                <w:color w:val="auto"/>
              </w:rPr>
              <w:t>Free Cash Flow (20%)</w:t>
            </w: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308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20% Strategic Progress Indicator Goals</w:t>
      </w:r>
      <w:r>
        <w:rPr>
          <w:rFonts w:ascii="Arial" w:cs="Arial" w:eastAsia="Arial" w:hAnsi="Arial"/>
          <w:sz w:val="18"/>
          <w:szCs w:val="18"/>
          <w:b w:val="1"/>
          <w:bCs w:val="1"/>
          <w:color w:val="auto"/>
          <w:vertAlign w:val="superscript"/>
        </w:rPr>
        <w:t>(2)</w:t>
      </w:r>
    </w:p>
    <w:p>
      <w:pPr>
        <w:spacing w:after="0" w:line="20" w:lineRule="exact"/>
        <w:rPr>
          <w:sz w:val="20"/>
          <w:szCs w:val="20"/>
          <w:color w:val="auto"/>
        </w:rPr>
      </w:pPr>
      <w:r>
        <w:rPr>
          <w:sz w:val="20"/>
          <w:szCs w:val="20"/>
          <w:color w:val="auto"/>
        </w:rPr>
        <w:br w:type="column"/>
      </w:r>
    </w:p>
    <w:p>
      <w:pPr>
        <w:ind w:right="160"/>
        <w:spacing w:after="0" w:line="286" w:lineRule="auto"/>
        <w:rPr>
          <w:sz w:val="20"/>
          <w:szCs w:val="20"/>
          <w:color w:val="auto"/>
        </w:rPr>
      </w:pPr>
      <w:r>
        <w:rPr>
          <w:rFonts w:ascii="Arial" w:cs="Arial" w:eastAsia="Arial" w:hAnsi="Arial"/>
          <w:sz w:val="14"/>
          <w:szCs w:val="14"/>
          <w:color w:val="auto"/>
        </w:rPr>
        <w:t>Reward and motivate annual achievements of critical financial goals and strategic objectives across four priorities: growth, execution, culture, and sustainability</w:t>
      </w:r>
    </w:p>
    <w:p>
      <w:pPr>
        <w:spacing w:after="0" w:line="745" w:lineRule="exact"/>
        <w:rPr>
          <w:sz w:val="20"/>
          <w:szCs w:val="20"/>
          <w:color w:val="auto"/>
        </w:rPr>
      </w:pPr>
    </w:p>
    <w:p>
      <w:pPr>
        <w:sectPr>
          <w:pgSz w:w="11900" w:h="16838" w:orient="portrait"/>
          <w:cols w:equalWidth="0" w:num="2">
            <w:col w:w="6600" w:space="440"/>
            <w:col w:w="2000"/>
          </w:cols>
          <w:pgMar w:left="1420" w:top="1440" w:right="1439" w:bottom="0" w:gutter="0" w:footer="0" w:header="0"/>
          <w:type w:val="continuous"/>
        </w:sectPr>
      </w:pPr>
    </w:p>
    <w:tbl>
      <w:tblPr>
        <w:tblLayout w:type="fixed"/>
        <w:tblInd w:w="60" w:type="dxa"/>
        <w:tblCellMar>
          <w:top w:w="0" w:type="dxa"/>
          <w:left w:w="0" w:type="dxa"/>
          <w:bottom w:w="0" w:type="dxa"/>
          <w:right w:w="0" w:type="dxa"/>
        </w:tblCellMar>
      </w:tblPr>
      <w:tr>
        <w:trPr>
          <w:trHeight w:val="195"/>
        </w:trPr>
        <w:tc>
          <w:tcPr>
            <w:tcW w:w="920" w:type="dxa"/>
            <w:vAlign w:val="bottom"/>
          </w:tcPr>
          <w:p>
            <w:pPr>
              <w:spacing w:after="0"/>
              <w:rPr>
                <w:sz w:val="20"/>
                <w:szCs w:val="20"/>
                <w:color w:val="auto"/>
              </w:rPr>
            </w:pPr>
            <w:r>
              <w:rPr>
                <w:rFonts w:ascii="Arial" w:cs="Arial" w:eastAsia="Arial" w:hAnsi="Arial"/>
                <w:sz w:val="14"/>
                <w:szCs w:val="14"/>
                <w:b w:val="1"/>
                <w:bCs w:val="1"/>
                <w:color w:val="auto"/>
              </w:rPr>
              <w:t>Long-Term</w:t>
            </w:r>
          </w:p>
        </w:tc>
        <w:tc>
          <w:tcPr>
            <w:tcW w:w="1520" w:type="dxa"/>
            <w:vAlign w:val="bottom"/>
          </w:tcPr>
          <w:p>
            <w:pPr>
              <w:ind w:left="60"/>
              <w:spacing w:after="0"/>
              <w:rPr>
                <w:sz w:val="20"/>
                <w:szCs w:val="20"/>
                <w:color w:val="auto"/>
              </w:rPr>
            </w:pPr>
            <w:r>
              <w:rPr>
                <w:rFonts w:ascii="Arial" w:cs="Arial" w:eastAsia="Arial" w:hAnsi="Arial"/>
                <w:sz w:val="14"/>
                <w:szCs w:val="14"/>
                <w:b w:val="1"/>
                <w:bCs w:val="1"/>
                <w:color w:val="auto"/>
              </w:rPr>
              <w:t>75% Performance</w:t>
            </w:r>
          </w:p>
        </w:tc>
        <w:tc>
          <w:tcPr>
            <w:tcW w:w="160" w:type="dxa"/>
            <w:vAlign w:val="bottom"/>
          </w:tcPr>
          <w:p>
            <w:pPr>
              <w:ind w:left="60"/>
              <w:spacing w:after="0"/>
              <w:rPr>
                <w:sz w:val="20"/>
                <w:szCs w:val="20"/>
                <w:color w:val="auto"/>
              </w:rPr>
            </w:pPr>
            <w:r>
              <w:rPr>
                <w:rFonts w:ascii="Arial" w:cs="Arial" w:eastAsia="Arial" w:hAnsi="Arial"/>
                <w:sz w:val="17"/>
                <w:szCs w:val="17"/>
                <w:color w:val="582C83"/>
              </w:rPr>
              <w:t>•</w:t>
            </w:r>
          </w:p>
        </w:tc>
        <w:tc>
          <w:tcPr>
            <w:tcW w:w="2900" w:type="dxa"/>
            <w:vAlign w:val="bottom"/>
          </w:tcPr>
          <w:p>
            <w:pPr>
              <w:ind w:left="40"/>
              <w:spacing w:after="0"/>
              <w:rPr>
                <w:sz w:val="20"/>
                <w:szCs w:val="20"/>
                <w:color w:val="auto"/>
              </w:rPr>
            </w:pPr>
            <w:r>
              <w:rPr>
                <w:rFonts w:ascii="Arial" w:cs="Arial" w:eastAsia="Arial" w:hAnsi="Arial"/>
                <w:sz w:val="14"/>
                <w:szCs w:val="14"/>
                <w:color w:val="auto"/>
              </w:rPr>
              <w:t>Organic Net Revenue Growth (50%)</w:t>
            </w:r>
          </w:p>
        </w:tc>
        <w:tc>
          <w:tcPr>
            <w:tcW w:w="1440" w:type="dxa"/>
            <w:vAlign w:val="bottom"/>
          </w:tcPr>
          <w:p>
            <w:pPr>
              <w:ind w:left="540"/>
              <w:spacing w:after="0"/>
              <w:rPr>
                <w:sz w:val="20"/>
                <w:szCs w:val="20"/>
                <w:color w:val="auto"/>
              </w:rPr>
            </w:pPr>
            <w:r>
              <w:rPr>
                <w:rFonts w:ascii="Arial" w:cs="Arial" w:eastAsia="Arial" w:hAnsi="Arial"/>
                <w:sz w:val="14"/>
                <w:szCs w:val="14"/>
                <w:color w:val="auto"/>
              </w:rPr>
              <w:t>25pp</w:t>
            </w:r>
          </w:p>
        </w:tc>
      </w:tr>
      <w:tr>
        <w:trPr>
          <w:trHeight w:val="212"/>
        </w:trPr>
        <w:tc>
          <w:tcPr>
            <w:tcW w:w="920" w:type="dxa"/>
            <w:vAlign w:val="bottom"/>
          </w:tcPr>
          <w:p>
            <w:pPr>
              <w:spacing w:after="0"/>
              <w:rPr>
                <w:sz w:val="20"/>
                <w:szCs w:val="20"/>
                <w:color w:val="auto"/>
              </w:rPr>
            </w:pPr>
            <w:r>
              <w:rPr>
                <w:rFonts w:ascii="Arial" w:cs="Arial" w:eastAsia="Arial" w:hAnsi="Arial"/>
                <w:sz w:val="14"/>
                <w:szCs w:val="14"/>
                <w:b w:val="1"/>
                <w:bCs w:val="1"/>
                <w:color w:val="auto"/>
              </w:rPr>
              <w:t>Incentive</w:t>
            </w:r>
          </w:p>
        </w:tc>
        <w:tc>
          <w:tcPr>
            <w:tcW w:w="1520" w:type="dxa"/>
            <w:vAlign w:val="bottom"/>
          </w:tcPr>
          <w:p>
            <w:pPr>
              <w:ind w:left="6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ind w:left="60"/>
              <w:spacing w:after="0"/>
              <w:rPr>
                <w:sz w:val="20"/>
                <w:szCs w:val="20"/>
                <w:color w:val="auto"/>
              </w:rPr>
            </w:pPr>
            <w:r>
              <w:rPr>
                <w:rFonts w:ascii="Arial" w:cs="Arial" w:eastAsia="Arial" w:hAnsi="Arial"/>
                <w:sz w:val="17"/>
                <w:szCs w:val="17"/>
                <w:color w:val="582C83"/>
              </w:rPr>
              <w:t>•</w:t>
            </w:r>
          </w:p>
        </w:tc>
        <w:tc>
          <w:tcPr>
            <w:tcW w:w="2900" w:type="dxa"/>
            <w:vAlign w:val="bottom"/>
          </w:tcPr>
          <w:p>
            <w:pPr>
              <w:ind w:left="40"/>
              <w:spacing w:after="0"/>
              <w:rPr>
                <w:sz w:val="20"/>
                <w:szCs w:val="20"/>
                <w:color w:val="auto"/>
              </w:rPr>
            </w:pPr>
            <w:r>
              <w:rPr>
                <w:rFonts w:ascii="Arial" w:cs="Arial" w:eastAsia="Arial" w:hAnsi="Arial"/>
                <w:sz w:val="14"/>
                <w:szCs w:val="14"/>
                <w:color w:val="auto"/>
              </w:rPr>
              <w:t>Adjusted EPS Growth (50%)</w:t>
            </w:r>
          </w:p>
        </w:tc>
        <w:tc>
          <w:tcPr>
            <w:tcW w:w="1440" w:type="dxa"/>
            <w:vAlign w:val="bottom"/>
          </w:tcPr>
          <w:p>
            <w:pPr>
              <w:ind w:left="540"/>
              <w:spacing w:after="0"/>
              <w:rPr>
                <w:sz w:val="20"/>
                <w:szCs w:val="20"/>
                <w:color w:val="auto"/>
              </w:rPr>
            </w:pPr>
            <w:r>
              <w:rPr>
                <w:rFonts w:ascii="Arial" w:cs="Arial" w:eastAsia="Arial" w:hAnsi="Arial"/>
                <w:sz w:val="14"/>
                <w:szCs w:val="14"/>
                <w:color w:val="auto"/>
              </w:rPr>
              <w:t>Annualized</w:t>
            </w:r>
          </w:p>
        </w:tc>
      </w:tr>
      <w:tr>
        <w:trPr>
          <w:trHeight w:val="139"/>
        </w:trPr>
        <w:tc>
          <w:tcPr>
            <w:tcW w:w="920" w:type="dxa"/>
            <w:vAlign w:val="bottom"/>
          </w:tcPr>
          <w:p>
            <w:pPr>
              <w:spacing w:after="0" w:line="139" w:lineRule="exact"/>
              <w:rPr>
                <w:sz w:val="20"/>
                <w:szCs w:val="20"/>
                <w:color w:val="auto"/>
              </w:rPr>
            </w:pPr>
            <w:r>
              <w:rPr>
                <w:rFonts w:ascii="Arial" w:cs="Arial" w:eastAsia="Arial" w:hAnsi="Arial"/>
                <w:sz w:val="14"/>
                <w:szCs w:val="14"/>
                <w:b w:val="1"/>
                <w:bCs w:val="1"/>
                <w:color w:val="auto"/>
              </w:rPr>
              <w:t>Program</w:t>
            </w:r>
          </w:p>
        </w:tc>
        <w:tc>
          <w:tcPr>
            <w:tcW w:w="152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(“PSUs”)</w:t>
            </w:r>
          </w:p>
        </w:tc>
        <w:tc>
          <w:tcPr>
            <w:tcW w:w="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40" w:type="dxa"/>
            <w:vAlign w:val="bottom"/>
          </w:tcPr>
          <w:p>
            <w:pPr>
              <w:ind w:left="540"/>
              <w:spacing w:after="0" w:line="139" w:lineRule="exact"/>
              <w:rPr>
                <w:sz w:val="20"/>
                <w:szCs w:val="20"/>
                <w:color w:val="auto"/>
              </w:rPr>
            </w:pPr>
            <w:r>
              <w:rPr>
                <w:rFonts w:ascii="Arial" w:cs="Arial" w:eastAsia="Arial" w:hAnsi="Arial"/>
                <w:sz w:val="14"/>
                <w:szCs w:val="14"/>
                <w:color w:val="auto"/>
              </w:rPr>
              <w:t>Relative</w:t>
            </w:r>
          </w:p>
        </w:tc>
      </w:tr>
      <w:tr>
        <w:trPr>
          <w:trHeight w:val="175"/>
        </w:trPr>
        <w:tc>
          <w:tcPr>
            <w:tcW w:w="920" w:type="dxa"/>
            <w:vAlign w:val="bottom"/>
          </w:tcPr>
          <w:p>
            <w:pPr>
              <w:spacing w:after="0"/>
              <w:rPr>
                <w:sz w:val="15"/>
                <w:szCs w:val="15"/>
                <w:color w:val="auto"/>
              </w:rPr>
            </w:pPr>
          </w:p>
        </w:tc>
        <w:tc>
          <w:tcPr>
            <w:tcW w:w="1520" w:type="dxa"/>
            <w:vAlign w:val="bottom"/>
          </w:tcPr>
          <w:p>
            <w:pPr>
              <w:ind w:left="60"/>
              <w:spacing w:after="0"/>
              <w:rPr>
                <w:sz w:val="20"/>
                <w:szCs w:val="20"/>
                <w:color w:val="auto"/>
              </w:rPr>
            </w:pPr>
            <w:r>
              <w:rPr>
                <w:rFonts w:ascii="Arial" w:cs="Arial" w:eastAsia="Arial" w:hAnsi="Arial"/>
                <w:sz w:val="14"/>
                <w:szCs w:val="14"/>
                <w:color w:val="auto"/>
              </w:rPr>
              <w:t>3-year cliff vesting</w:t>
            </w:r>
          </w:p>
        </w:tc>
        <w:tc>
          <w:tcPr>
            <w:tcW w:w="1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440" w:type="dxa"/>
            <w:vAlign w:val="bottom"/>
          </w:tcPr>
          <w:p>
            <w:pPr>
              <w:ind w:left="540"/>
              <w:spacing w:after="0"/>
              <w:rPr>
                <w:sz w:val="20"/>
                <w:szCs w:val="20"/>
                <w:color w:val="auto"/>
              </w:rPr>
            </w:pPr>
            <w:r>
              <w:rPr>
                <w:rFonts w:ascii="Arial" w:cs="Arial" w:eastAsia="Arial" w:hAnsi="Arial"/>
                <w:sz w:val="14"/>
                <w:szCs w:val="14"/>
                <w:color w:val="auto"/>
              </w:rPr>
              <w:t>Total</w:t>
            </w:r>
          </w:p>
        </w:tc>
      </w:tr>
      <w:tr>
        <w:trPr>
          <w:trHeight w:val="176"/>
        </w:trPr>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440" w:type="dxa"/>
            <w:vAlign w:val="bottom"/>
          </w:tcPr>
          <w:p>
            <w:pPr>
              <w:ind w:left="540"/>
              <w:spacing w:after="0"/>
              <w:rPr>
                <w:sz w:val="20"/>
                <w:szCs w:val="20"/>
                <w:color w:val="auto"/>
              </w:rPr>
            </w:pPr>
            <w:r>
              <w:rPr>
                <w:rFonts w:ascii="Arial" w:cs="Arial" w:eastAsia="Arial" w:hAnsi="Arial"/>
                <w:sz w:val="14"/>
                <w:szCs w:val="14"/>
                <w:color w:val="auto"/>
              </w:rPr>
              <w:t>Shareholder</w:t>
            </w:r>
          </w:p>
        </w:tc>
      </w:tr>
      <w:tr>
        <w:trPr>
          <w:trHeight w:val="175"/>
        </w:trPr>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440" w:type="dxa"/>
            <w:vAlign w:val="bottom"/>
          </w:tcPr>
          <w:p>
            <w:pPr>
              <w:ind w:left="540"/>
              <w:spacing w:after="0"/>
              <w:rPr>
                <w:sz w:val="20"/>
                <w:szCs w:val="20"/>
                <w:color w:val="auto"/>
              </w:rPr>
            </w:pPr>
            <w:r>
              <w:rPr>
                <w:rFonts w:ascii="Arial" w:cs="Arial" w:eastAsia="Arial" w:hAnsi="Arial"/>
                <w:sz w:val="14"/>
                <w:szCs w:val="14"/>
                <w:color w:val="auto"/>
              </w:rPr>
              <w:t>Return</w:t>
            </w:r>
          </w:p>
        </w:tc>
      </w:tr>
      <w:tr>
        <w:trPr>
          <w:trHeight w:val="160"/>
        </w:trPr>
        <w:tc>
          <w:tcPr>
            <w:tcW w:w="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440" w:type="dxa"/>
            <w:vAlign w:val="bottom"/>
          </w:tcPr>
          <w:p>
            <w:pPr>
              <w:ind w:left="540"/>
              <w:spacing w:after="0" w:line="159" w:lineRule="exact"/>
              <w:rPr>
                <w:sz w:val="20"/>
                <w:szCs w:val="20"/>
                <w:color w:val="auto"/>
              </w:rPr>
            </w:pPr>
            <w:r>
              <w:rPr>
                <w:rFonts w:ascii="Arial" w:cs="Arial" w:eastAsia="Arial" w:hAnsi="Arial"/>
                <w:sz w:val="14"/>
                <w:szCs w:val="14"/>
                <w:color w:val="auto"/>
              </w:rPr>
              <w:t>(“TSR”)</w:t>
            </w:r>
          </w:p>
        </w:tc>
      </w:tr>
      <w:tr>
        <w:trPr>
          <w:trHeight w:val="214"/>
        </w:trPr>
        <w:tc>
          <w:tcPr>
            <w:tcW w:w="920" w:type="dxa"/>
            <w:vAlign w:val="bottom"/>
          </w:tcPr>
          <w:p>
            <w:pPr>
              <w:spacing w:after="0"/>
              <w:rPr>
                <w:sz w:val="18"/>
                <w:szCs w:val="18"/>
                <w:color w:val="auto"/>
              </w:rPr>
            </w:pPr>
          </w:p>
        </w:tc>
        <w:tc>
          <w:tcPr>
            <w:tcW w:w="1520" w:type="dxa"/>
            <w:vAlign w:val="bottom"/>
            <w:tcBorders>
              <w:bottom w:val="single" w:sz="8" w:color="5E2D91"/>
            </w:tcBorders>
          </w:tcPr>
          <w:p>
            <w:pPr>
              <w:spacing w:after="0"/>
              <w:rPr>
                <w:sz w:val="18"/>
                <w:szCs w:val="18"/>
                <w:color w:val="auto"/>
              </w:rPr>
            </w:pPr>
          </w:p>
        </w:tc>
        <w:tc>
          <w:tcPr>
            <w:tcW w:w="160" w:type="dxa"/>
            <w:vAlign w:val="bottom"/>
            <w:tcBorders>
              <w:bottom w:val="single" w:sz="8" w:color="5E2D91"/>
            </w:tcBorders>
          </w:tcPr>
          <w:p>
            <w:pPr>
              <w:spacing w:after="0"/>
              <w:rPr>
                <w:sz w:val="18"/>
                <w:szCs w:val="18"/>
                <w:color w:val="auto"/>
              </w:rPr>
            </w:pPr>
          </w:p>
        </w:tc>
        <w:tc>
          <w:tcPr>
            <w:tcW w:w="2900" w:type="dxa"/>
            <w:vAlign w:val="bottom"/>
            <w:tcBorders>
              <w:bottom w:val="single" w:sz="8" w:color="5E2D91"/>
            </w:tcBorders>
          </w:tcPr>
          <w:p>
            <w:pPr>
              <w:spacing w:after="0"/>
              <w:rPr>
                <w:sz w:val="18"/>
                <w:szCs w:val="18"/>
                <w:color w:val="auto"/>
              </w:rPr>
            </w:pPr>
          </w:p>
        </w:tc>
        <w:tc>
          <w:tcPr>
            <w:tcW w:w="1440" w:type="dxa"/>
            <w:vAlign w:val="bottom"/>
            <w:tcBorders>
              <w:bottom w:val="single" w:sz="8" w:color="5E2D91"/>
            </w:tcBorders>
          </w:tcPr>
          <w:p>
            <w:pPr>
              <w:ind w:left="540"/>
              <w:spacing w:after="0"/>
              <w:rPr>
                <w:sz w:val="20"/>
                <w:szCs w:val="20"/>
                <w:color w:val="auto"/>
              </w:rPr>
            </w:pPr>
            <w:r>
              <w:rPr>
                <w:rFonts w:ascii="Arial" w:cs="Arial" w:eastAsia="Arial" w:hAnsi="Arial"/>
                <w:sz w:val="14"/>
                <w:szCs w:val="14"/>
                <w:color w:val="auto"/>
              </w:rPr>
              <w:t>Modifier</w:t>
            </w:r>
            <w:r>
              <w:rPr>
                <w:rFonts w:ascii="Arial" w:cs="Arial" w:eastAsia="Arial" w:hAnsi="Arial"/>
                <w:sz w:val="18"/>
                <w:szCs w:val="18"/>
                <w:color w:val="auto"/>
                <w:vertAlign w:val="superscript"/>
              </w:rPr>
              <w:t>(3)</w:t>
            </w:r>
          </w:p>
        </w:tc>
      </w:tr>
      <w:tr>
        <w:trPr>
          <w:trHeight w:val="187"/>
        </w:trPr>
        <w:tc>
          <w:tcPr>
            <w:tcW w:w="920" w:type="dxa"/>
            <w:vAlign w:val="bottom"/>
          </w:tcPr>
          <w:p>
            <w:pPr>
              <w:spacing w:after="0"/>
              <w:rPr>
                <w:sz w:val="16"/>
                <w:szCs w:val="16"/>
                <w:color w:val="auto"/>
              </w:rPr>
            </w:pPr>
          </w:p>
        </w:tc>
        <w:tc>
          <w:tcPr>
            <w:tcW w:w="1520" w:type="dxa"/>
            <w:vAlign w:val="bottom"/>
          </w:tcPr>
          <w:p>
            <w:pPr>
              <w:ind w:left="60"/>
              <w:spacing w:after="0"/>
              <w:rPr>
                <w:sz w:val="20"/>
                <w:szCs w:val="20"/>
                <w:color w:val="auto"/>
              </w:rPr>
            </w:pPr>
            <w:r>
              <w:rPr>
                <w:rFonts w:ascii="Arial" w:cs="Arial" w:eastAsia="Arial" w:hAnsi="Arial"/>
                <w:sz w:val="14"/>
                <w:szCs w:val="14"/>
                <w:b w:val="1"/>
                <w:bCs w:val="1"/>
                <w:color w:val="auto"/>
              </w:rPr>
              <w:t>25% Stock Options</w:t>
            </w:r>
          </w:p>
        </w:tc>
        <w:tc>
          <w:tcPr>
            <w:tcW w:w="3060" w:type="dxa"/>
            <w:vAlign w:val="bottom"/>
            <w:gridSpan w:val="2"/>
          </w:tcPr>
          <w:p>
            <w:pPr>
              <w:ind w:left="60"/>
              <w:spacing w:after="0"/>
              <w:rPr>
                <w:sz w:val="20"/>
                <w:szCs w:val="20"/>
                <w:color w:val="auto"/>
              </w:rPr>
            </w:pPr>
            <w:r>
              <w:rPr>
                <w:rFonts w:ascii="Arial" w:cs="Arial" w:eastAsia="Arial" w:hAnsi="Arial"/>
                <w:sz w:val="14"/>
                <w:szCs w:val="14"/>
                <w:color w:val="auto"/>
              </w:rPr>
              <w:t>Stock Price</w:t>
            </w:r>
          </w:p>
        </w:tc>
        <w:tc>
          <w:tcPr>
            <w:tcW w:w="1440" w:type="dxa"/>
            <w:vAlign w:val="bottom"/>
          </w:tcPr>
          <w:p>
            <w:pPr>
              <w:spacing w:after="0"/>
              <w:rPr>
                <w:sz w:val="16"/>
                <w:szCs w:val="16"/>
                <w:color w:val="auto"/>
              </w:rPr>
            </w:pPr>
          </w:p>
        </w:tc>
      </w:tr>
      <w:tr>
        <w:trPr>
          <w:trHeight w:val="190"/>
        </w:trPr>
        <w:tc>
          <w:tcPr>
            <w:tcW w:w="920" w:type="dxa"/>
            <w:vAlign w:val="bottom"/>
          </w:tcPr>
          <w:p>
            <w:pPr>
              <w:spacing w:after="0"/>
              <w:rPr>
                <w:sz w:val="16"/>
                <w:szCs w:val="16"/>
                <w:color w:val="auto"/>
              </w:rPr>
            </w:pPr>
          </w:p>
        </w:tc>
        <w:tc>
          <w:tcPr>
            <w:tcW w:w="1520" w:type="dxa"/>
            <w:vAlign w:val="bottom"/>
          </w:tcPr>
          <w:p>
            <w:pPr>
              <w:ind w:left="60"/>
              <w:spacing w:after="0"/>
              <w:rPr>
                <w:sz w:val="20"/>
                <w:szCs w:val="20"/>
                <w:color w:val="auto"/>
              </w:rPr>
            </w:pPr>
            <w:r>
              <w:rPr>
                <w:rFonts w:ascii="Arial" w:cs="Arial" w:eastAsia="Arial" w:hAnsi="Arial"/>
                <w:sz w:val="14"/>
                <w:szCs w:val="14"/>
                <w:color w:val="auto"/>
              </w:rPr>
              <w:t>3-year ratable vesting</w:t>
            </w:r>
          </w:p>
        </w:tc>
        <w:tc>
          <w:tcPr>
            <w:tcW w:w="1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4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Reward long-term</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performance for delivering</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sustained long-term growth</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and creating</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shareholder value</w:t>
      </w:r>
    </w:p>
    <w:p>
      <w:pPr>
        <w:spacing w:after="0" w:line="976" w:lineRule="exact"/>
        <w:rPr>
          <w:sz w:val="20"/>
          <w:szCs w:val="20"/>
          <w:color w:val="auto"/>
        </w:rPr>
      </w:pPr>
    </w:p>
    <w:p>
      <w:pPr>
        <w:sectPr>
          <w:pgSz w:w="11900" w:h="16838" w:orient="portrait"/>
          <w:cols w:equalWidth="0" w:num="2">
            <w:col w:w="7000" w:space="40"/>
            <w:col w:w="2000"/>
          </w:cols>
          <w:pgMar w:left="1420" w:top="1440" w:right="1439" w:bottom="0" w:gutter="0" w:footer="0" w:header="0"/>
          <w:type w:val="continuous"/>
        </w:sectPr>
      </w:pPr>
    </w:p>
    <w:p>
      <w:pPr>
        <w:ind w:left="260" w:hanging="253"/>
        <w:spacing w:after="0"/>
        <w:tabs>
          <w:tab w:leader="none" w:pos="2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 more detailed discussion, including definitions of the financial measures, appears in the CD&amp;A and in Annex A.</w:t>
      </w:r>
    </w:p>
    <w:p>
      <w:pPr>
        <w:spacing w:after="0" w:line="16" w:lineRule="exact"/>
        <w:rPr>
          <w:rFonts w:ascii="Arial" w:cs="Arial" w:eastAsia="Arial" w:hAnsi="Arial"/>
          <w:sz w:val="13"/>
          <w:szCs w:val="13"/>
          <w:color w:val="auto"/>
        </w:rPr>
      </w:pPr>
    </w:p>
    <w:p>
      <w:pPr>
        <w:ind w:left="260" w:hanging="253"/>
        <w:spacing w:after="0"/>
        <w:tabs>
          <w:tab w:leader="none" w:pos="2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See “Strategic Progress Indicator Goals” on page 72 for details.</w:t>
      </w:r>
    </w:p>
    <w:p>
      <w:pPr>
        <w:spacing w:after="0" w:line="12" w:lineRule="exact"/>
        <w:rPr>
          <w:rFonts w:ascii="Arial" w:cs="Arial" w:eastAsia="Arial" w:hAnsi="Arial"/>
          <w:sz w:val="13"/>
          <w:szCs w:val="13"/>
          <w:color w:val="auto"/>
        </w:rPr>
      </w:pPr>
    </w:p>
    <w:p>
      <w:pPr>
        <w:ind w:left="260" w:hanging="253"/>
        <w:spacing w:after="0"/>
        <w:tabs>
          <w:tab w:leader="none" w:pos="2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For PSUs, require above median performance (60</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percentile) for the relative TSR modifier to have a positive impact on payouts.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COMPENSATION PROGRAM DESIGN CHANGES</w:t>
      </w:r>
    </w:p>
    <w:p>
      <w:pPr>
        <w:spacing w:after="0" w:line="114"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We did not make any material changes to our 2025 design relative to our design in 2024, except for PSUs. For the 2025-2027 PSUs, we retained the same three performance metrics as prior years. However, we shifted relative TSR from a 50% weighting to a modifier, which may increase or decrease the number of PSUs earned by up to 25pp. This change aligns with the prevalent market practice and emphasizes the two equally weighted financial metrics (Organic Net Revenue Growth and Adjusted EPS Growth), which are vital in accomplishing our long-term strategy, while</w:t>
      </w:r>
    </w:p>
    <w:p>
      <w:pPr>
        <w:sectPr>
          <w:pgSz w:w="11900" w:h="16838" w:orient="portrait"/>
          <w:cols w:equalWidth="0" w:num="1">
            <w:col w:w="9040"/>
          </w:cols>
          <w:pgMar w:left="1420" w:top="1440" w:right="1439" w:bottom="0" w:gutter="0" w:footer="0" w:header="0"/>
          <w:type w:val="continuous"/>
        </w:sectPr>
      </w:pPr>
    </w:p>
    <w:bookmarkStart w:id="16" w:name="page17"/>
    <w:bookmarkEnd w:id="16"/>
    <w:p>
      <w:pPr>
        <w:ind w:right="19"/>
        <w:spacing w:after="0" w:line="186" w:lineRule="auto"/>
        <w:rPr>
          <w:sz w:val="20"/>
          <w:szCs w:val="20"/>
          <w:color w:val="auto"/>
        </w:rPr>
      </w:pPr>
      <w:r>
        <w:rPr>
          <w:rFonts w:ascii="Arial" w:cs="Arial" w:eastAsia="Arial" w:hAnsi="Arial"/>
          <w:sz w:val="16"/>
          <w:szCs w:val="16"/>
          <w:color w:val="auto"/>
        </w:rPr>
        <w:t>continuing to include relative TSR. Relative TSR remains an important metric for measuring relative outperformance and incentivizing shareholder value creation. The relative TSR modifier will not have a positive impact on the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-157480</wp:posOffset>
            </wp:positionV>
            <wp:extent cx="6810375" cy="16135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10375" cy="1613535"/>
                    </a:xfrm>
                    <a:prstGeom prst="rect">
                      <a:avLst/>
                    </a:prstGeom>
                    <a:noFill/>
                  </pic:spPr>
                </pic:pic>
              </a:graphicData>
            </a:graphic>
          </wp:anchor>
        </w:drawing>
      </w:r>
    </w:p>
    <w:p>
      <w:pPr>
        <w:ind w:right="219"/>
        <w:spacing w:after="0" w:line="243" w:lineRule="auto"/>
        <w:rPr>
          <w:sz w:val="20"/>
          <w:szCs w:val="20"/>
          <w:color w:val="auto"/>
        </w:rPr>
      </w:pPr>
      <w:r>
        <w:rPr>
          <w:rFonts w:ascii="Arial" w:cs="Arial" w:eastAsia="Arial" w:hAnsi="Arial"/>
          <w:sz w:val="17"/>
          <w:szCs w:val="17"/>
          <w:color w:val="auto"/>
        </w:rPr>
        <w:t>earned PSUs unless our relative TSR meets or exceeds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Further, the relative TSR modifier cannot result in a PSU payout greater than 200% of target.</w:t>
      </w:r>
    </w:p>
    <w:p>
      <w:pPr>
        <w:spacing w:after="0" w:line="97" w:lineRule="exact"/>
        <w:rPr>
          <w:sz w:val="20"/>
          <w:szCs w:val="20"/>
          <w:color w:val="auto"/>
        </w:rPr>
      </w:pPr>
    </w:p>
    <w:p>
      <w:pPr>
        <w:jc w:val="both"/>
        <w:ind w:right="319"/>
        <w:spacing w:after="0" w:line="317" w:lineRule="auto"/>
        <w:rPr>
          <w:sz w:val="20"/>
          <w:szCs w:val="20"/>
          <w:color w:val="auto"/>
        </w:rPr>
      </w:pPr>
      <w:r>
        <w:rPr>
          <w:rFonts w:ascii="Arial" w:cs="Arial" w:eastAsia="Arial" w:hAnsi="Arial"/>
          <w:sz w:val="17"/>
          <w:szCs w:val="17"/>
          <w:color w:val="auto"/>
        </w:rPr>
        <w:t>Our program remains aligned with our business strategy and reflects the strength of ongoing shareholder feedback, demonstrated by the strong levels of support we have received historically from shareholders on our Say-on-Pay.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16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8201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10375" cy="882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700"/>
        <w:spacing w:after="0"/>
        <w:rPr>
          <w:sz w:val="20"/>
          <w:szCs w:val="20"/>
          <w:color w:val="auto"/>
        </w:rPr>
      </w:pPr>
      <w:r>
        <w:rPr>
          <w:rFonts w:ascii="Arial" w:cs="Arial" w:eastAsia="Arial" w:hAnsi="Arial"/>
          <w:sz w:val="21"/>
          <w:szCs w:val="21"/>
          <w:b w:val="1"/>
          <w:bCs w:val="1"/>
          <w:color w:val="auto"/>
        </w:rPr>
        <w:t>PROXY STATEMENT SUMMARY</w:t>
      </w:r>
    </w:p>
    <w:p>
      <w:pPr>
        <w:spacing w:after="0" w:line="48" w:lineRule="exact"/>
        <w:rPr>
          <w:sz w:val="20"/>
          <w:szCs w:val="20"/>
          <w:color w:val="auto"/>
        </w:rPr>
      </w:pPr>
    </w:p>
    <w:p>
      <w:pPr>
        <w:ind w:left="7420"/>
        <w:spacing w:after="0"/>
        <w:rPr>
          <w:sz w:val="20"/>
          <w:szCs w:val="20"/>
          <w:color w:val="auto"/>
        </w:rPr>
      </w:pPr>
      <w:r>
        <w:rPr>
          <w:rFonts w:ascii="Arial" w:cs="Arial" w:eastAsia="Arial" w:hAnsi="Arial"/>
          <w:sz w:val="14"/>
          <w:szCs w:val="14"/>
          <w:color w:val="auto"/>
        </w:rPr>
        <w:t>Executive Compensation</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TOTAL TARGET COMPENSATION MIX</w:t>
      </w:r>
    </w:p>
    <w:p>
      <w:pPr>
        <w:spacing w:after="0" w:line="118" w:lineRule="exact"/>
        <w:rPr>
          <w:sz w:val="20"/>
          <w:szCs w:val="20"/>
          <w:color w:val="auto"/>
        </w:rPr>
      </w:pPr>
    </w:p>
    <w:p>
      <w:pPr>
        <w:jc w:val="both"/>
        <w:ind w:right="299"/>
        <w:spacing w:after="0" w:line="288" w:lineRule="auto"/>
        <w:rPr>
          <w:sz w:val="20"/>
          <w:szCs w:val="20"/>
          <w:color w:val="auto"/>
        </w:rPr>
      </w:pPr>
      <w:r>
        <w:rPr>
          <w:rFonts w:ascii="Arial" w:cs="Arial" w:eastAsia="Arial" w:hAnsi="Arial"/>
          <w:sz w:val="17"/>
          <w:szCs w:val="17"/>
          <w:color w:val="auto"/>
        </w:rPr>
        <w:t>The PCC places significant focus on performance-based compensation, which is provided in the form of an annual performance incentive under the Annual Incentive Plan and stock options and PSUs under the Long-Term Incentive plan. Our focus on performance-based compensation rewards strong company financial and operating performance and aligns the interests of our NEOs with those of our shareholders.</w:t>
      </w:r>
    </w:p>
    <w:p>
      <w:pPr>
        <w:spacing w:after="0" w:line="61" w:lineRule="exact"/>
        <w:rPr>
          <w:sz w:val="20"/>
          <w:szCs w:val="20"/>
          <w:color w:val="auto"/>
        </w:rPr>
      </w:pPr>
    </w:p>
    <w:p>
      <w:pPr>
        <w:ind w:right="679"/>
        <w:spacing w:after="0" w:line="291" w:lineRule="auto"/>
        <w:rPr>
          <w:sz w:val="20"/>
          <w:szCs w:val="20"/>
          <w:color w:val="auto"/>
        </w:rPr>
      </w:pPr>
      <w:r>
        <w:rPr>
          <w:rFonts w:ascii="Arial" w:cs="Arial" w:eastAsia="Arial" w:hAnsi="Arial"/>
          <w:sz w:val="17"/>
          <w:szCs w:val="17"/>
          <w:color w:val="auto"/>
        </w:rPr>
        <w:t>Below, we show the 2025 total target compensation mix for our CEO and the average for our other NEOs. This compensation mix includes base pay, target annual incentive, and long-term incentive grants. Most of the compensation for both the CEO and the other NEOs is variable and at risk.</w:t>
      </w:r>
    </w:p>
    <w:p>
      <w:pPr>
        <w:sectPr>
          <w:pgSz w:w="11900" w:h="16838" w:orient="portrait"/>
          <w:cols w:equalWidth="0" w:num="1">
            <w:col w:w="9039"/>
          </w:cols>
          <w:pgMar w:left="1420" w:top="104" w:right="1440" w:bottom="0" w:gutter="0" w:footer="0" w:header="0"/>
        </w:sectPr>
      </w:pP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560" w:type="dxa"/>
            <w:vAlign w:val="bottom"/>
          </w:tcPr>
          <w:p>
            <w:pPr>
              <w:ind w:left="400"/>
              <w:spacing w:after="0"/>
              <w:rPr>
                <w:sz w:val="20"/>
                <w:szCs w:val="20"/>
                <w:color w:val="auto"/>
              </w:rPr>
            </w:pPr>
            <w:r>
              <w:rPr>
                <w:rFonts w:ascii="Wingdings" w:cs="Wingdings" w:eastAsia="Wingdings" w:hAnsi="Wingdings"/>
                <w:sz w:val="22"/>
                <w:szCs w:val="22"/>
                <w:b w:val="1"/>
                <w:bCs w:val="1"/>
                <w:color w:val="999999"/>
                <w:w w:val="84"/>
              </w:rPr>
              <w:t>l</w:t>
            </w:r>
          </w:p>
        </w:tc>
        <w:tc>
          <w:tcPr>
            <w:tcW w:w="0" w:type="dxa"/>
            <w:vAlign w:val="bottom"/>
          </w:tcPr>
          <w:p>
            <w:pPr>
              <w:spacing w:after="0"/>
              <w:rPr>
                <w:sz w:val="1"/>
                <w:szCs w:val="1"/>
                <w:color w:val="auto"/>
              </w:rPr>
            </w:pPr>
          </w:p>
        </w:tc>
      </w:tr>
      <w:tr>
        <w:trPr>
          <w:trHeight w:val="270"/>
        </w:trPr>
        <w:tc>
          <w:tcPr>
            <w:tcW w:w="4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560" w:type="dxa"/>
            <w:vAlign w:val="bottom"/>
          </w:tcPr>
          <w:p>
            <w:pPr>
              <w:ind w:left="400"/>
              <w:spacing w:after="0"/>
              <w:rPr>
                <w:sz w:val="20"/>
                <w:szCs w:val="20"/>
                <w:color w:val="auto"/>
              </w:rPr>
            </w:pPr>
            <w:r>
              <w:rPr>
                <w:rFonts w:ascii="Wingdings" w:cs="Wingdings" w:eastAsia="Wingdings" w:hAnsi="Wingdings"/>
                <w:sz w:val="22"/>
                <w:szCs w:val="22"/>
                <w:b w:val="1"/>
                <w:bCs w:val="1"/>
                <w:color w:val="AC96C1"/>
                <w:w w:val="84"/>
              </w:rPr>
              <w:t>l</w:t>
            </w:r>
          </w:p>
        </w:tc>
        <w:tc>
          <w:tcPr>
            <w:tcW w:w="0" w:type="dxa"/>
            <w:vAlign w:val="bottom"/>
          </w:tcPr>
          <w:p>
            <w:pPr>
              <w:spacing w:after="0"/>
              <w:rPr>
                <w:sz w:val="1"/>
                <w:szCs w:val="1"/>
                <w:color w:val="auto"/>
              </w:rPr>
            </w:pPr>
          </w:p>
        </w:tc>
      </w:tr>
      <w:tr>
        <w:trPr>
          <w:trHeight w:val="145"/>
        </w:trPr>
        <w:tc>
          <w:tcPr>
            <w:tcW w:w="480" w:type="dxa"/>
            <w:vAlign w:val="bottom"/>
            <w:vMerge w:val="restart"/>
          </w:tcPr>
          <w:p>
            <w:pPr>
              <w:spacing w:after="0"/>
              <w:rPr>
                <w:sz w:val="12"/>
                <w:szCs w:val="12"/>
                <w:color w:val="auto"/>
              </w:rPr>
            </w:pPr>
          </w:p>
        </w:tc>
        <w:tc>
          <w:tcPr>
            <w:tcW w:w="2400" w:type="dxa"/>
            <w:vAlign w:val="bottom"/>
            <w:tcBorders>
              <w:bottom w:val="single" w:sz="8" w:color="582C83"/>
            </w:tcBorders>
          </w:tcPr>
          <w:p>
            <w:pPr>
              <w:spacing w:after="0"/>
              <w:rPr>
                <w:sz w:val="12"/>
                <w:szCs w:val="12"/>
                <w:color w:val="auto"/>
              </w:rPr>
            </w:pPr>
          </w:p>
        </w:tc>
        <w:tc>
          <w:tcPr>
            <w:tcW w:w="1580" w:type="dxa"/>
            <w:vAlign w:val="bottom"/>
            <w:vMerge w:val="restart"/>
          </w:tcPr>
          <w:p>
            <w:pPr>
              <w:ind w:left="140"/>
              <w:spacing w:after="0"/>
              <w:rPr>
                <w:sz w:val="20"/>
                <w:szCs w:val="20"/>
                <w:color w:val="auto"/>
              </w:rPr>
            </w:pPr>
            <w:r>
              <w:rPr>
                <w:rFonts w:ascii="Arial" w:cs="Arial" w:eastAsia="Arial" w:hAnsi="Arial"/>
                <w:sz w:val="17"/>
                <w:szCs w:val="17"/>
                <w:b w:val="1"/>
                <w:bCs w:val="1"/>
                <w:color w:val="582C83"/>
              </w:rPr>
              <w:t>93% Pay at Risk</w:t>
            </w:r>
          </w:p>
        </w:tc>
        <w:tc>
          <w:tcPr>
            <w:tcW w:w="2400" w:type="dxa"/>
            <w:vAlign w:val="bottom"/>
            <w:tcBorders>
              <w:bottom w:val="single" w:sz="8" w:color="582C83"/>
            </w:tcBorders>
          </w:tcPr>
          <w:p>
            <w:pPr>
              <w:spacing w:after="0"/>
              <w:rPr>
                <w:sz w:val="12"/>
                <w:szCs w:val="12"/>
                <w:color w:val="auto"/>
              </w:rPr>
            </w:pPr>
          </w:p>
        </w:tc>
        <w:tc>
          <w:tcPr>
            <w:tcW w:w="560" w:type="dxa"/>
            <w:vAlign w:val="bottom"/>
            <w:vMerge w:val="restart"/>
          </w:tcPr>
          <w:p>
            <w:pPr>
              <w:ind w:left="400"/>
              <w:spacing w:after="0"/>
              <w:rPr>
                <w:sz w:val="20"/>
                <w:szCs w:val="20"/>
                <w:color w:val="auto"/>
              </w:rPr>
            </w:pPr>
            <w:r>
              <w:rPr>
                <w:rFonts w:ascii="Wingdings" w:cs="Wingdings" w:eastAsia="Wingdings" w:hAnsi="Wingdings"/>
                <w:sz w:val="22"/>
                <w:szCs w:val="22"/>
                <w:b w:val="1"/>
                <w:bCs w:val="1"/>
                <w:color w:val="8A6BA8"/>
                <w:w w:val="84"/>
              </w:rPr>
              <w:t>l</w:t>
            </w:r>
          </w:p>
        </w:tc>
        <w:tc>
          <w:tcPr>
            <w:tcW w:w="0" w:type="dxa"/>
            <w:vAlign w:val="bottom"/>
          </w:tcPr>
          <w:p>
            <w:pPr>
              <w:spacing w:after="0"/>
              <w:rPr>
                <w:sz w:val="1"/>
                <w:szCs w:val="1"/>
                <w:color w:val="auto"/>
              </w:rPr>
            </w:pPr>
          </w:p>
        </w:tc>
      </w:tr>
      <w:tr>
        <w:trPr>
          <w:trHeight w:val="125"/>
        </w:trPr>
        <w:tc>
          <w:tcPr>
            <w:tcW w:w="480" w:type="dxa"/>
            <w:vAlign w:val="bottom"/>
            <w:vMerge w:val="continue"/>
          </w:tcPr>
          <w:p>
            <w:pPr>
              <w:spacing w:after="0"/>
              <w:rPr>
                <w:sz w:val="10"/>
                <w:szCs w:val="10"/>
                <w:color w:val="auto"/>
              </w:rPr>
            </w:pPr>
          </w:p>
        </w:tc>
        <w:tc>
          <w:tcPr>
            <w:tcW w:w="240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24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6"/>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Other NEOs</w:t>
            </w:r>
          </w:p>
        </w:tc>
        <w:tc>
          <w:tcPr>
            <w:tcW w:w="2400" w:type="dxa"/>
            <w:vAlign w:val="bottom"/>
          </w:tcPr>
          <w:p>
            <w:pPr>
              <w:spacing w:after="0"/>
              <w:rPr>
                <w:sz w:val="24"/>
                <w:szCs w:val="24"/>
                <w:color w:val="auto"/>
              </w:rPr>
            </w:pPr>
          </w:p>
        </w:tc>
        <w:tc>
          <w:tcPr>
            <w:tcW w:w="560" w:type="dxa"/>
            <w:vAlign w:val="bottom"/>
          </w:tcPr>
          <w:p>
            <w:pPr>
              <w:ind w:left="400"/>
              <w:spacing w:after="0"/>
              <w:rPr>
                <w:sz w:val="20"/>
                <w:szCs w:val="20"/>
                <w:color w:val="auto"/>
              </w:rPr>
            </w:pPr>
            <w:r>
              <w:rPr>
                <w:rFonts w:ascii="Wingdings" w:cs="Wingdings" w:eastAsia="Wingdings" w:hAnsi="Wingdings"/>
                <w:sz w:val="22"/>
                <w:szCs w:val="22"/>
                <w:b w:val="1"/>
                <w:bCs w:val="1"/>
                <w:color w:val="582C83"/>
                <w:w w:val="84"/>
              </w:rPr>
              <w:t>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right="179"/>
        <w:spacing w:after="0" w:line="377" w:lineRule="auto"/>
        <w:rPr>
          <w:sz w:val="20"/>
          <w:szCs w:val="20"/>
          <w:color w:val="auto"/>
        </w:rPr>
      </w:pPr>
      <w:r>
        <w:rPr>
          <w:rFonts w:ascii="Arial" w:cs="Arial" w:eastAsia="Arial" w:hAnsi="Arial"/>
          <w:sz w:val="16"/>
          <w:szCs w:val="16"/>
          <w:color w:val="auto"/>
        </w:rPr>
        <w:t>Base Salary Annual Incentives Stock Options PSUs</w:t>
      </w:r>
    </w:p>
    <w:p>
      <w:pPr>
        <w:spacing w:after="0" w:line="200" w:lineRule="exact"/>
        <w:rPr>
          <w:sz w:val="20"/>
          <w:szCs w:val="20"/>
          <w:color w:val="auto"/>
        </w:rPr>
      </w:pPr>
    </w:p>
    <w:p>
      <w:pPr>
        <w:sectPr>
          <w:pgSz w:w="11900" w:h="16838" w:orient="portrait"/>
          <w:cols w:equalWidth="0" w:num="2">
            <w:col w:w="7420" w:space="160"/>
            <w:col w:w="1459"/>
          </w:cols>
          <w:pgMar w:left="1420" w:top="104" w:right="1440" w:bottom="0" w:gutter="0" w:footer="0" w:header="0"/>
          <w:type w:val="continuous"/>
        </w:sectPr>
      </w:pPr>
    </w:p>
    <w:p>
      <w:pPr>
        <w:spacing w:after="0" w:line="364"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582C83"/>
        </w:rPr>
        <w:t>85% Pay at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59"/>
        <w:spacing w:after="0"/>
        <w:rPr>
          <w:sz w:val="20"/>
          <w:szCs w:val="20"/>
          <w:color w:val="auto"/>
        </w:rPr>
      </w:pPr>
      <w:r>
        <w:rPr>
          <w:rFonts w:ascii="Arial" w:cs="Arial" w:eastAsia="Arial" w:hAnsi="Arial"/>
          <w:sz w:val="14"/>
          <w:szCs w:val="14"/>
          <w:b w:val="1"/>
          <w:bCs w:val="1"/>
          <w:color w:val="582C83"/>
        </w:rPr>
        <w:t>2026 PROXY STATEMENT | 17</w:t>
      </w:r>
    </w:p>
    <w:p>
      <w:pPr>
        <w:sectPr>
          <w:pgSz w:w="11900" w:h="16838" w:orient="portrait"/>
          <w:cols w:equalWidth="0" w:num="1">
            <w:col w:w="9039"/>
          </w:cols>
          <w:pgMar w:left="1420" w:top="104" w:right="1440" w:bottom="0" w:gutter="0" w:footer="0" w:header="0"/>
          <w:type w:val="continuous"/>
        </w:sectPr>
      </w:pPr>
    </w:p>
    <w:bookmarkStart w:id="17" w:name="page18"/>
    <w:bookmarkEnd w:id="17"/>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985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10375" cy="8985885"/>
                    </a:xfrm>
                    <a:prstGeom prst="rect">
                      <a:avLst/>
                    </a:prstGeom>
                    <a:noFill/>
                  </pic:spPr>
                </pic:pic>
              </a:graphicData>
            </a:graphic>
          </wp:anchor>
        </w:drawing>
      </w:r>
    </w:p>
    <w:p>
      <w:pPr>
        <w:spacing w:after="0"/>
        <w:rPr>
          <w:sz w:val="20"/>
          <w:szCs w:val="20"/>
          <w:color w:val="auto"/>
        </w:rPr>
      </w:pPr>
      <w:r>
        <w:rPr>
          <w:rFonts w:ascii="Arial" w:cs="Arial" w:eastAsia="Arial" w:hAnsi="Arial"/>
          <w:sz w:val="45"/>
          <w:szCs w:val="45"/>
          <w:b w:val="1"/>
          <w:bCs w:val="1"/>
          <w:color w:val="582C83"/>
        </w:rPr>
        <w:t>ITEM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HOW WE BUILD AN EXPERIENCED AND QUALIFIED BOARD</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OBJECTIVE</w:t>
      </w:r>
    </w:p>
    <w:p>
      <w:pPr>
        <w:spacing w:after="0" w:line="118" w:lineRule="exact"/>
        <w:rPr>
          <w:sz w:val="20"/>
          <w:szCs w:val="20"/>
          <w:color w:val="auto"/>
        </w:rPr>
      </w:pPr>
    </w:p>
    <w:p>
      <w:pPr>
        <w:ind w:right="160"/>
        <w:spacing w:after="0" w:line="317" w:lineRule="auto"/>
        <w:rPr>
          <w:sz w:val="20"/>
          <w:szCs w:val="20"/>
          <w:color w:val="auto"/>
        </w:rPr>
      </w:pPr>
      <w:r>
        <w:rPr>
          <w:rFonts w:ascii="Arial" w:cs="Arial" w:eastAsia="Arial" w:hAnsi="Arial"/>
          <w:sz w:val="17"/>
          <w:szCs w:val="17"/>
          <w:color w:val="auto"/>
        </w:rPr>
        <w:t>The Governance Committee works with the Board to determine the appropriate mix of individuals to form a Board that is strong in its collective knowledge, competencies, and experiences.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HOW WE GET THERE</w:t>
      </w:r>
    </w:p>
    <w:p>
      <w:pPr>
        <w:spacing w:after="0" w:line="118"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color w:val="auto"/>
        </w:rPr>
        <w:t>The Governance Committee identifies, evaluates, and recommends to the Board director nominees for election at the Annual Meeting. The Governance Committee invites director nominee suggestions from the directors, management, shareholders, and others. In addition, the Governance Committee has retained a third-party executive search firm to assist in identifying and evaluating potential director nominees based on the Board’s recruitment objectives.</w:t>
      </w:r>
    </w:p>
    <w:p>
      <w:pPr>
        <w:spacing w:after="0" w:line="61" w:lineRule="exact"/>
        <w:rPr>
          <w:sz w:val="20"/>
          <w:szCs w:val="20"/>
          <w:color w:val="auto"/>
        </w:rPr>
      </w:pPr>
    </w:p>
    <w:p>
      <w:pPr>
        <w:ind w:right="780"/>
        <w:spacing w:after="0" w:line="317" w:lineRule="auto"/>
        <w:rPr>
          <w:sz w:val="20"/>
          <w:szCs w:val="20"/>
          <w:color w:val="auto"/>
        </w:rPr>
      </w:pPr>
      <w:r>
        <w:rPr>
          <w:rFonts w:ascii="Arial" w:cs="Arial" w:eastAsia="Arial" w:hAnsi="Arial"/>
          <w:sz w:val="17"/>
          <w:szCs w:val="17"/>
          <w:color w:val="auto"/>
        </w:rPr>
        <w:t>The Governance Committee considers the factors below when selecting and recruiting directors in the annual nomination process. This year, the Board is renominating 10 incumbent directors.</w:t>
      </w:r>
    </w:p>
    <w:p>
      <w:pPr>
        <w:sectPr>
          <w:pgSz w:w="11900" w:h="16870" w:orient="portrait"/>
          <w:cols w:equalWidth="0" w:num="1">
            <w:col w:w="9040"/>
          </w:cols>
          <w:pgMar w:left="1420" w:top="1077" w:right="1439" w:bottom="0" w:gutter="0" w:footer="0" w:header="0"/>
        </w:sectPr>
      </w:pPr>
    </w:p>
    <w:p>
      <w:pPr>
        <w:spacing w:after="0" w:line="158" w:lineRule="exact"/>
        <w:rPr>
          <w:sz w:val="20"/>
          <w:szCs w:val="20"/>
          <w:color w:val="auto"/>
        </w:rPr>
      </w:pPr>
    </w:p>
    <w:p>
      <w:pPr>
        <w:ind w:left="60" w:right="300"/>
        <w:spacing w:after="0" w:line="277" w:lineRule="auto"/>
        <w:rPr>
          <w:sz w:val="20"/>
          <w:szCs w:val="20"/>
          <w:color w:val="auto"/>
        </w:rPr>
      </w:pPr>
      <w:r>
        <w:rPr>
          <w:rFonts w:ascii="Arial" w:cs="Arial" w:eastAsia="Arial" w:hAnsi="Arial"/>
          <w:sz w:val="14"/>
          <w:szCs w:val="14"/>
          <w:b w:val="1"/>
          <w:bCs w:val="1"/>
          <w:color w:val="582C83"/>
        </w:rPr>
        <w:t>Relevant Qualifications, Knowledge, and Experience</w:t>
      </w:r>
    </w:p>
    <w:p>
      <w:pPr>
        <w:ind w:left="60"/>
        <w:spacing w:after="0" w:line="287" w:lineRule="auto"/>
        <w:rPr>
          <w:sz w:val="20"/>
          <w:szCs w:val="20"/>
          <w:color w:val="auto"/>
        </w:rPr>
      </w:pPr>
      <w:r>
        <w:rPr>
          <w:rFonts w:ascii="Arial" w:cs="Arial" w:eastAsia="Arial" w:hAnsi="Arial"/>
          <w:sz w:val="14"/>
          <w:szCs w:val="14"/>
          <w:color w:val="auto"/>
        </w:rPr>
        <w:t>The Board believes all directors should possess certain attributes, including integrity, sound business judgment, and strategic vision, as these characteristics are necessary to establish a competent, ethical, and well-functioning board that best represents shareholders’ interests.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120"/>
        <w:spacing w:after="0" w:line="305" w:lineRule="auto"/>
        <w:rPr>
          <w:sz w:val="20"/>
          <w:szCs w:val="20"/>
          <w:color w:val="auto"/>
        </w:rPr>
      </w:pPr>
      <w:r>
        <w:rPr>
          <w:rFonts w:ascii="Arial" w:cs="Arial" w:eastAsia="Arial" w:hAnsi="Arial"/>
          <w:sz w:val="14"/>
          <w:szCs w:val="14"/>
          <w:color w:val="auto"/>
        </w:rPr>
        <w:t>Consistent with our Guidelines, when evaluating the suitability of an individual for nomination to our Board, the Governance Committee considers:</w:t>
      </w:r>
    </w:p>
    <w:p>
      <w:pPr>
        <w:spacing w:after="0" w:line="63" w:lineRule="exact"/>
        <w:rPr>
          <w:sz w:val="20"/>
          <w:szCs w:val="20"/>
          <w:color w:val="auto"/>
        </w:rPr>
      </w:pPr>
    </w:p>
    <w:p>
      <w:pPr>
        <w:ind w:left="180" w:right="240" w:hanging="123"/>
        <w:spacing w:after="0" w:line="311" w:lineRule="auto"/>
        <w:tabs>
          <w:tab w:leader="none" w:pos="180" w:val="left"/>
        </w:tabs>
        <w:numPr>
          <w:ilvl w:val="0"/>
          <w:numId w:val="14"/>
        </w:numPr>
        <w:rPr>
          <w:rFonts w:ascii="Arial" w:cs="Arial" w:eastAsia="Arial" w:hAnsi="Arial"/>
          <w:sz w:val="14"/>
          <w:szCs w:val="14"/>
          <w:color w:val="582C83"/>
        </w:rPr>
      </w:pPr>
      <w:r>
        <w:rPr>
          <w:rFonts w:ascii="Arial" w:cs="Arial" w:eastAsia="Arial" w:hAnsi="Arial"/>
          <w:sz w:val="14"/>
          <w:szCs w:val="14"/>
          <w:color w:val="auto"/>
        </w:rPr>
        <w:t>the candidate’s general understanding of the varied disciplines relevant to the success of a large, publicly-traded company in today’s global business environment;</w:t>
      </w:r>
    </w:p>
    <w:p>
      <w:pPr>
        <w:spacing w:after="0" w:line="1" w:lineRule="exact"/>
        <w:rPr>
          <w:rFonts w:ascii="Arial" w:cs="Arial" w:eastAsia="Arial" w:hAnsi="Arial"/>
          <w:sz w:val="14"/>
          <w:szCs w:val="14"/>
          <w:color w:val="582C83"/>
        </w:rPr>
      </w:pPr>
    </w:p>
    <w:p>
      <w:pPr>
        <w:ind w:left="180" w:hanging="123"/>
        <w:spacing w:after="0"/>
        <w:tabs>
          <w:tab w:leader="none" w:pos="180" w:val="left"/>
        </w:tabs>
        <w:numPr>
          <w:ilvl w:val="0"/>
          <w:numId w:val="14"/>
        </w:numPr>
        <w:rPr>
          <w:rFonts w:ascii="Arial" w:cs="Arial" w:eastAsia="Arial" w:hAnsi="Arial"/>
          <w:sz w:val="14"/>
          <w:szCs w:val="14"/>
          <w:color w:val="582C83"/>
        </w:rPr>
      </w:pPr>
      <w:r>
        <w:rPr>
          <w:rFonts w:ascii="Arial" w:cs="Arial" w:eastAsia="Arial" w:hAnsi="Arial"/>
          <w:sz w:val="14"/>
          <w:szCs w:val="14"/>
          <w:color w:val="auto"/>
        </w:rPr>
        <w:t>the candidate’s understanding of the Company’s global businesses and markets;</w:t>
      </w:r>
    </w:p>
    <w:p>
      <w:pPr>
        <w:spacing w:after="0" w:line="55" w:lineRule="exact"/>
        <w:rPr>
          <w:rFonts w:ascii="Arial" w:cs="Arial" w:eastAsia="Arial" w:hAnsi="Arial"/>
          <w:sz w:val="14"/>
          <w:szCs w:val="14"/>
          <w:color w:val="582C83"/>
        </w:rPr>
      </w:pPr>
    </w:p>
    <w:p>
      <w:pPr>
        <w:ind w:left="180" w:hanging="123"/>
        <w:spacing w:after="0"/>
        <w:tabs>
          <w:tab w:leader="none" w:pos="180" w:val="left"/>
        </w:tabs>
        <w:numPr>
          <w:ilvl w:val="0"/>
          <w:numId w:val="14"/>
        </w:numPr>
        <w:rPr>
          <w:rFonts w:ascii="Arial" w:cs="Arial" w:eastAsia="Arial" w:hAnsi="Arial"/>
          <w:sz w:val="14"/>
          <w:szCs w:val="14"/>
          <w:color w:val="582C83"/>
        </w:rPr>
      </w:pPr>
      <w:r>
        <w:rPr>
          <w:rFonts w:ascii="Arial" w:cs="Arial" w:eastAsia="Arial" w:hAnsi="Arial"/>
          <w:sz w:val="14"/>
          <w:szCs w:val="14"/>
          <w:color w:val="auto"/>
        </w:rPr>
        <w:t>the candidate’s professional experience and educational background;</w:t>
      </w:r>
    </w:p>
    <w:p>
      <w:pPr>
        <w:spacing w:after="0" w:line="68" w:lineRule="exact"/>
        <w:rPr>
          <w:rFonts w:ascii="Arial" w:cs="Arial" w:eastAsia="Arial" w:hAnsi="Arial"/>
          <w:sz w:val="14"/>
          <w:szCs w:val="14"/>
          <w:color w:val="582C83"/>
        </w:rPr>
      </w:pPr>
    </w:p>
    <w:p>
      <w:pPr>
        <w:ind w:left="180" w:hanging="123"/>
        <w:spacing w:after="0"/>
        <w:tabs>
          <w:tab w:leader="none" w:pos="180" w:val="left"/>
        </w:tabs>
        <w:numPr>
          <w:ilvl w:val="0"/>
          <w:numId w:val="14"/>
        </w:numPr>
        <w:rPr>
          <w:rFonts w:ascii="Arial" w:cs="Arial" w:eastAsia="Arial" w:hAnsi="Arial"/>
          <w:sz w:val="14"/>
          <w:szCs w:val="14"/>
          <w:color w:val="582C83"/>
        </w:rPr>
      </w:pPr>
      <w:r>
        <w:rPr>
          <w:rFonts w:ascii="Arial" w:cs="Arial" w:eastAsia="Arial" w:hAnsi="Arial"/>
          <w:sz w:val="14"/>
          <w:szCs w:val="14"/>
          <w:color w:val="auto"/>
        </w:rPr>
        <w:t>other factors that promote diverse views, knowledge, experience, and backgrounds;</w:t>
      </w:r>
    </w:p>
    <w:p>
      <w:pPr>
        <w:spacing w:after="0" w:line="55" w:lineRule="exact"/>
        <w:rPr>
          <w:rFonts w:ascii="Arial" w:cs="Arial" w:eastAsia="Arial" w:hAnsi="Arial"/>
          <w:sz w:val="14"/>
          <w:szCs w:val="14"/>
          <w:color w:val="582C83"/>
        </w:rPr>
      </w:pPr>
    </w:p>
    <w:p>
      <w:pPr>
        <w:ind w:left="180" w:right="220" w:hanging="123"/>
        <w:spacing w:after="0" w:line="301" w:lineRule="auto"/>
        <w:tabs>
          <w:tab w:leader="none" w:pos="180" w:val="left"/>
        </w:tabs>
        <w:numPr>
          <w:ilvl w:val="0"/>
          <w:numId w:val="14"/>
        </w:numPr>
        <w:rPr>
          <w:rFonts w:ascii="Arial" w:cs="Arial" w:eastAsia="Arial" w:hAnsi="Arial"/>
          <w:sz w:val="14"/>
          <w:szCs w:val="14"/>
          <w:color w:val="582C83"/>
        </w:rPr>
      </w:pPr>
      <w:r>
        <w:rPr>
          <w:rFonts w:ascii="Arial" w:cs="Arial" w:eastAsia="Arial" w:hAnsi="Arial"/>
          <w:sz w:val="14"/>
          <w:szCs w:val="14"/>
          <w:color w:val="auto"/>
        </w:rPr>
        <w:t>whether the candidate meets various independence requirements, including whether his or her service on boards and board committees of other organizations is consistent with our conflicts of interest policy; and</w:t>
      </w:r>
    </w:p>
    <w:p>
      <w:pPr>
        <w:spacing w:after="0" w:line="1" w:lineRule="exact"/>
        <w:rPr>
          <w:rFonts w:ascii="Arial" w:cs="Arial" w:eastAsia="Arial" w:hAnsi="Arial"/>
          <w:sz w:val="14"/>
          <w:szCs w:val="14"/>
          <w:color w:val="582C83"/>
        </w:rPr>
      </w:pPr>
    </w:p>
    <w:p>
      <w:pPr>
        <w:ind w:left="180" w:right="60" w:hanging="123"/>
        <w:spacing w:after="0" w:line="305" w:lineRule="auto"/>
        <w:tabs>
          <w:tab w:leader="none" w:pos="180" w:val="left"/>
        </w:tabs>
        <w:numPr>
          <w:ilvl w:val="0"/>
          <w:numId w:val="14"/>
        </w:numPr>
        <w:rPr>
          <w:rFonts w:ascii="Arial" w:cs="Arial" w:eastAsia="Arial" w:hAnsi="Arial"/>
          <w:sz w:val="14"/>
          <w:szCs w:val="14"/>
          <w:color w:val="582C83"/>
        </w:rPr>
      </w:pPr>
      <w:r>
        <w:rPr>
          <w:rFonts w:ascii="Arial" w:cs="Arial" w:eastAsia="Arial" w:hAnsi="Arial"/>
          <w:sz w:val="14"/>
          <w:szCs w:val="14"/>
          <w:color w:val="auto"/>
        </w:rPr>
        <w:t>whether the candidate can devote sufficient time and effort to fulfill a director’s responsibilities to the Company given his or her other commitments.</w:t>
      </w:r>
    </w:p>
    <w:p>
      <w:pPr>
        <w:spacing w:after="0" w:line="117" w:lineRule="exact"/>
        <w:rPr>
          <w:sz w:val="20"/>
          <w:szCs w:val="20"/>
          <w:color w:val="auto"/>
        </w:rPr>
      </w:pPr>
    </w:p>
    <w:p>
      <w:pPr>
        <w:sectPr>
          <w:pgSz w:w="11900" w:h="16870" w:orient="portrait"/>
          <w:cols w:equalWidth="0" w:num="2">
            <w:col w:w="2840" w:space="20"/>
            <w:col w:w="6180"/>
          </w:cols>
          <w:pgMar w:left="1420" w:top="1077" w:right="1439" w:bottom="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860" w:type="dxa"/>
            <w:vAlign w:val="bottom"/>
          </w:tcPr>
          <w:p>
            <w:pPr>
              <w:ind w:left="80"/>
              <w:spacing w:after="0"/>
              <w:rPr>
                <w:sz w:val="20"/>
                <w:szCs w:val="20"/>
                <w:color w:val="auto"/>
              </w:rPr>
            </w:pPr>
            <w:r>
              <w:rPr>
                <w:rFonts w:ascii="Arial" w:cs="Arial" w:eastAsia="Arial" w:hAnsi="Arial"/>
                <w:sz w:val="14"/>
                <w:szCs w:val="14"/>
                <w:b w:val="1"/>
                <w:bCs w:val="1"/>
                <w:color w:val="582C83"/>
              </w:rPr>
              <w:t>Individual Director Self-Assessments</w:t>
            </w:r>
          </w:p>
        </w:tc>
        <w:tc>
          <w:tcPr>
            <w:tcW w:w="6180" w:type="dxa"/>
            <w:vAlign w:val="bottom"/>
          </w:tcPr>
          <w:p>
            <w:pPr>
              <w:ind w:left="60"/>
              <w:spacing w:after="0"/>
              <w:rPr>
                <w:sz w:val="20"/>
                <w:szCs w:val="20"/>
                <w:color w:val="auto"/>
              </w:rPr>
            </w:pPr>
            <w:r>
              <w:rPr>
                <w:rFonts w:ascii="Arial" w:cs="Arial" w:eastAsia="Arial" w:hAnsi="Arial"/>
                <w:sz w:val="14"/>
                <w:szCs w:val="14"/>
                <w:color w:val="auto"/>
              </w:rPr>
              <w:t>The annual Board and director self-assessment processes are important determinants in a</w:t>
            </w:r>
          </w:p>
        </w:tc>
      </w:tr>
      <w:tr>
        <w:trPr>
          <w:trHeight w:val="189"/>
        </w:trPr>
        <w:tc>
          <w:tcPr>
            <w:tcW w:w="2860" w:type="dxa"/>
            <w:vAlign w:val="bottom"/>
          </w:tcPr>
          <w:p>
            <w:pPr>
              <w:ind w:left="80"/>
              <w:spacing w:after="0"/>
              <w:rPr>
                <w:sz w:val="20"/>
                <w:szCs w:val="20"/>
                <w:color w:val="auto"/>
              </w:rPr>
            </w:pPr>
            <w:r>
              <w:rPr>
                <w:rFonts w:ascii="Arial" w:cs="Arial" w:eastAsia="Arial" w:hAnsi="Arial"/>
                <w:sz w:val="14"/>
                <w:szCs w:val="14"/>
                <w:color w:val="auto"/>
              </w:rPr>
              <w:t>The Board believes that directors should</w:t>
            </w:r>
          </w:p>
        </w:tc>
        <w:tc>
          <w:tcPr>
            <w:tcW w:w="6180" w:type="dxa"/>
            <w:vAlign w:val="bottom"/>
          </w:tcPr>
          <w:p>
            <w:pPr>
              <w:ind w:left="60"/>
              <w:spacing w:after="0"/>
              <w:rPr>
                <w:sz w:val="20"/>
                <w:szCs w:val="20"/>
                <w:color w:val="auto"/>
              </w:rPr>
            </w:pPr>
            <w:r>
              <w:rPr>
                <w:rFonts w:ascii="Arial" w:cs="Arial" w:eastAsia="Arial" w:hAnsi="Arial"/>
                <w:sz w:val="14"/>
                <w:szCs w:val="14"/>
                <w:color w:val="auto"/>
              </w:rPr>
              <w:t>director’s renomination and tenure. Annually, all incumbent director nominees complete</w:t>
            </w:r>
          </w:p>
        </w:tc>
      </w:tr>
      <w:tr>
        <w:trPr>
          <w:trHeight w:val="189"/>
        </w:trPr>
        <w:tc>
          <w:tcPr>
            <w:tcW w:w="2860" w:type="dxa"/>
            <w:vAlign w:val="bottom"/>
          </w:tcPr>
          <w:p>
            <w:pPr>
              <w:ind w:left="80"/>
              <w:spacing w:after="0"/>
              <w:rPr>
                <w:sz w:val="20"/>
                <w:szCs w:val="20"/>
                <w:color w:val="auto"/>
              </w:rPr>
            </w:pPr>
            <w:r>
              <w:rPr>
                <w:rFonts w:ascii="Arial" w:cs="Arial" w:eastAsia="Arial" w:hAnsi="Arial"/>
                <w:sz w:val="14"/>
                <w:szCs w:val="14"/>
                <w:color w:val="auto"/>
              </w:rPr>
              <w:t>not expect to be renominated automatically</w:t>
            </w:r>
          </w:p>
        </w:tc>
        <w:tc>
          <w:tcPr>
            <w:tcW w:w="6180" w:type="dxa"/>
            <w:vAlign w:val="bottom"/>
          </w:tcPr>
          <w:p>
            <w:pPr>
              <w:ind w:left="60"/>
              <w:spacing w:after="0"/>
              <w:rPr>
                <w:sz w:val="20"/>
                <w:szCs w:val="20"/>
                <w:color w:val="auto"/>
              </w:rPr>
            </w:pPr>
            <w:r>
              <w:rPr>
                <w:rFonts w:ascii="Arial" w:cs="Arial" w:eastAsia="Arial" w:hAnsi="Arial"/>
                <w:sz w:val="14"/>
                <w:szCs w:val="14"/>
                <w:color w:val="auto"/>
              </w:rPr>
              <w:t>questionnaires to update and confirm their background, qualifications, and skills, and to identify</w:t>
            </w:r>
          </w:p>
        </w:tc>
      </w:tr>
      <w:tr>
        <w:trPr>
          <w:trHeight w:val="189"/>
        </w:trPr>
        <w:tc>
          <w:tcPr>
            <w:tcW w:w="2860" w:type="dxa"/>
            <w:vAlign w:val="bottom"/>
          </w:tcPr>
          <w:p>
            <w:pPr>
              <w:ind w:left="80"/>
              <w:spacing w:after="0"/>
              <w:rPr>
                <w:sz w:val="20"/>
                <w:szCs w:val="20"/>
                <w:color w:val="auto"/>
              </w:rPr>
            </w:pPr>
            <w:r>
              <w:rPr>
                <w:rFonts w:ascii="Arial" w:cs="Arial" w:eastAsia="Arial" w:hAnsi="Arial"/>
                <w:sz w:val="14"/>
                <w:szCs w:val="14"/>
                <w:color w:val="auto"/>
              </w:rPr>
              <w:t>and that directors’ qualifications and</w:t>
            </w:r>
          </w:p>
        </w:tc>
        <w:tc>
          <w:tcPr>
            <w:tcW w:w="6180" w:type="dxa"/>
            <w:vAlign w:val="bottom"/>
          </w:tcPr>
          <w:p>
            <w:pPr>
              <w:ind w:left="60"/>
              <w:spacing w:after="0"/>
              <w:rPr>
                <w:sz w:val="20"/>
                <w:szCs w:val="20"/>
                <w:color w:val="auto"/>
              </w:rPr>
            </w:pPr>
            <w:r>
              <w:rPr>
                <w:rFonts w:ascii="Arial" w:cs="Arial" w:eastAsia="Arial" w:hAnsi="Arial"/>
                <w:sz w:val="14"/>
                <w:szCs w:val="14"/>
                <w:color w:val="auto"/>
              </w:rPr>
              <w:t>any potential conflicts of interest. The Governance Committee, in coordination with the Lead</w:t>
            </w:r>
          </w:p>
        </w:tc>
      </w:tr>
      <w:tr>
        <w:trPr>
          <w:trHeight w:val="189"/>
        </w:trPr>
        <w:tc>
          <w:tcPr>
            <w:tcW w:w="2860" w:type="dxa"/>
            <w:vAlign w:val="bottom"/>
          </w:tcPr>
          <w:p>
            <w:pPr>
              <w:ind w:left="80"/>
              <w:spacing w:after="0"/>
              <w:rPr>
                <w:sz w:val="20"/>
                <w:szCs w:val="20"/>
                <w:color w:val="auto"/>
              </w:rPr>
            </w:pPr>
            <w:r>
              <w:rPr>
                <w:rFonts w:ascii="Arial" w:cs="Arial" w:eastAsia="Arial" w:hAnsi="Arial"/>
                <w:sz w:val="14"/>
                <w:szCs w:val="14"/>
                <w:color w:val="auto"/>
              </w:rPr>
              <w:t>performance should be evaluated annually.</w:t>
            </w:r>
          </w:p>
        </w:tc>
        <w:tc>
          <w:tcPr>
            <w:tcW w:w="6180" w:type="dxa"/>
            <w:vAlign w:val="bottom"/>
          </w:tcPr>
          <w:p>
            <w:pPr>
              <w:ind w:left="60"/>
              <w:spacing w:after="0"/>
              <w:rPr>
                <w:sz w:val="20"/>
                <w:szCs w:val="20"/>
                <w:color w:val="auto"/>
              </w:rPr>
            </w:pPr>
            <w:r>
              <w:rPr>
                <w:rFonts w:ascii="Arial" w:cs="Arial" w:eastAsia="Arial" w:hAnsi="Arial"/>
                <w:sz w:val="14"/>
                <w:szCs w:val="14"/>
                <w:color w:val="auto"/>
              </w:rPr>
              <w:t>Independent Director, assesses the experience, qualifications, attributes, skills, and</w:t>
            </w:r>
          </w:p>
        </w:tc>
      </w:tr>
      <w:tr>
        <w:trPr>
          <w:trHeight w:val="189"/>
        </w:trPr>
        <w:tc>
          <w:tcPr>
            <w:tcW w:w="2860" w:type="dxa"/>
            <w:vAlign w:val="bottom"/>
          </w:tcPr>
          <w:p>
            <w:pPr>
              <w:spacing w:after="0"/>
              <w:rPr>
                <w:sz w:val="16"/>
                <w:szCs w:val="16"/>
                <w:color w:val="auto"/>
              </w:rPr>
            </w:pPr>
          </w:p>
        </w:tc>
        <w:tc>
          <w:tcPr>
            <w:tcW w:w="6180" w:type="dxa"/>
            <w:vAlign w:val="bottom"/>
          </w:tcPr>
          <w:p>
            <w:pPr>
              <w:ind w:left="60"/>
              <w:spacing w:after="0"/>
              <w:rPr>
                <w:sz w:val="20"/>
                <w:szCs w:val="20"/>
                <w:color w:val="auto"/>
              </w:rPr>
            </w:pPr>
            <w:r>
              <w:rPr>
                <w:rFonts w:ascii="Arial" w:cs="Arial" w:eastAsia="Arial" w:hAnsi="Arial"/>
                <w:sz w:val="14"/>
                <w:szCs w:val="14"/>
                <w:color w:val="auto"/>
              </w:rPr>
              <w:t>contributions of each director. The Governance Committee also considers each individual in the</w:t>
            </w:r>
          </w:p>
        </w:tc>
      </w:tr>
      <w:tr>
        <w:trPr>
          <w:trHeight w:val="189"/>
        </w:trPr>
        <w:tc>
          <w:tcPr>
            <w:tcW w:w="2860" w:type="dxa"/>
            <w:vAlign w:val="bottom"/>
          </w:tcPr>
          <w:p>
            <w:pPr>
              <w:spacing w:after="0"/>
              <w:rPr>
                <w:sz w:val="16"/>
                <w:szCs w:val="16"/>
                <w:color w:val="auto"/>
              </w:rPr>
            </w:pPr>
          </w:p>
        </w:tc>
        <w:tc>
          <w:tcPr>
            <w:tcW w:w="6180" w:type="dxa"/>
            <w:vAlign w:val="bottom"/>
          </w:tcPr>
          <w:p>
            <w:pPr>
              <w:ind w:left="60"/>
              <w:spacing w:after="0"/>
              <w:rPr>
                <w:sz w:val="20"/>
                <w:szCs w:val="20"/>
                <w:color w:val="auto"/>
              </w:rPr>
            </w:pPr>
            <w:r>
              <w:rPr>
                <w:rFonts w:ascii="Arial" w:cs="Arial" w:eastAsia="Arial" w:hAnsi="Arial"/>
                <w:sz w:val="14"/>
                <w:szCs w:val="14"/>
                <w:color w:val="auto"/>
              </w:rPr>
              <w:t>context of the Board composition as a whole, with the objective of recruiting and recommending</w:t>
            </w:r>
          </w:p>
        </w:tc>
      </w:tr>
      <w:tr>
        <w:trPr>
          <w:trHeight w:val="189"/>
        </w:trPr>
        <w:tc>
          <w:tcPr>
            <w:tcW w:w="2860" w:type="dxa"/>
            <w:vAlign w:val="bottom"/>
          </w:tcPr>
          <w:p>
            <w:pPr>
              <w:spacing w:after="0"/>
              <w:rPr>
                <w:sz w:val="16"/>
                <w:szCs w:val="16"/>
                <w:color w:val="auto"/>
              </w:rPr>
            </w:pPr>
          </w:p>
        </w:tc>
        <w:tc>
          <w:tcPr>
            <w:tcW w:w="6180" w:type="dxa"/>
            <w:vAlign w:val="bottom"/>
          </w:tcPr>
          <w:p>
            <w:pPr>
              <w:ind w:left="60"/>
              <w:spacing w:after="0"/>
              <w:rPr>
                <w:sz w:val="20"/>
                <w:szCs w:val="20"/>
                <w:color w:val="auto"/>
              </w:rPr>
            </w:pPr>
            <w:r>
              <w:rPr>
                <w:rFonts w:ascii="Arial" w:cs="Arial" w:eastAsia="Arial" w:hAnsi="Arial"/>
                <w:sz w:val="14"/>
                <w:szCs w:val="14"/>
                <w:color w:val="auto"/>
              </w:rPr>
              <w:t>a slate of director nominees who can best sustain the Company’s success and represent our</w:t>
            </w:r>
          </w:p>
        </w:tc>
      </w:tr>
      <w:tr>
        <w:trPr>
          <w:trHeight w:val="190"/>
        </w:trPr>
        <w:tc>
          <w:tcPr>
            <w:tcW w:w="2860" w:type="dxa"/>
            <w:vAlign w:val="bottom"/>
          </w:tcPr>
          <w:p>
            <w:pPr>
              <w:spacing w:after="0"/>
              <w:rPr>
                <w:sz w:val="16"/>
                <w:szCs w:val="16"/>
                <w:color w:val="auto"/>
              </w:rPr>
            </w:pPr>
          </w:p>
        </w:tc>
        <w:tc>
          <w:tcPr>
            <w:tcW w:w="6180" w:type="dxa"/>
            <w:vAlign w:val="bottom"/>
          </w:tcPr>
          <w:p>
            <w:pPr>
              <w:ind w:left="60"/>
              <w:spacing w:after="0"/>
              <w:rPr>
                <w:sz w:val="20"/>
                <w:szCs w:val="20"/>
                <w:color w:val="auto"/>
              </w:rPr>
            </w:pPr>
            <w:r>
              <w:rPr>
                <w:rFonts w:ascii="Arial" w:cs="Arial" w:eastAsia="Arial" w:hAnsi="Arial"/>
                <w:sz w:val="14"/>
                <w:szCs w:val="14"/>
                <w:color w:val="auto"/>
              </w:rPr>
              <w:t>shareholders’ interests through the exercise of sound judgment and informed decision-making.</w:t>
            </w:r>
          </w:p>
        </w:tc>
      </w:tr>
      <w:tr>
        <w:trPr>
          <w:trHeight w:val="62"/>
        </w:trPr>
        <w:tc>
          <w:tcPr>
            <w:tcW w:w="2860" w:type="dxa"/>
            <w:vAlign w:val="bottom"/>
            <w:tcBorders>
              <w:bottom w:val="single" w:sz="8" w:color="582C83"/>
            </w:tcBorders>
          </w:tcPr>
          <w:p>
            <w:pPr>
              <w:spacing w:after="0"/>
              <w:rPr>
                <w:sz w:val="5"/>
                <w:szCs w:val="5"/>
                <w:color w:val="auto"/>
              </w:rPr>
            </w:pPr>
          </w:p>
        </w:tc>
        <w:tc>
          <w:tcPr>
            <w:tcW w:w="6180" w:type="dxa"/>
            <w:vAlign w:val="bottom"/>
            <w:tcBorders>
              <w:bottom w:val="single" w:sz="8" w:color="582C83"/>
            </w:tcBorders>
          </w:tcPr>
          <w:p>
            <w:pPr>
              <w:spacing w:after="0"/>
              <w:rPr>
                <w:sz w:val="5"/>
                <w:szCs w:val="5"/>
                <w:color w:val="auto"/>
              </w:rPr>
            </w:pPr>
          </w:p>
        </w:tc>
      </w:tr>
      <w:tr>
        <w:trPr>
          <w:trHeight w:val="227"/>
        </w:trPr>
        <w:tc>
          <w:tcPr>
            <w:tcW w:w="286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582C83"/>
              </w:rPr>
              <w:t>Board Refreshment Through Director</w:t>
            </w:r>
          </w:p>
        </w:tc>
        <w:tc>
          <w:tcPr>
            <w:tcW w:w="6180" w:type="dxa"/>
            <w:vAlign w:val="bottom"/>
            <w:shd w:val="clear" w:color="auto" w:fill="E0DBEA"/>
          </w:tcPr>
          <w:p>
            <w:pPr>
              <w:ind w:left="60"/>
              <w:spacing w:after="0"/>
              <w:rPr>
                <w:sz w:val="20"/>
                <w:szCs w:val="20"/>
                <w:color w:val="auto"/>
              </w:rPr>
            </w:pPr>
            <w:r>
              <w:rPr>
                <w:rFonts w:ascii="Arial" w:cs="Arial" w:eastAsia="Arial" w:hAnsi="Arial"/>
                <w:sz w:val="14"/>
                <w:szCs w:val="14"/>
                <w:color w:val="auto"/>
              </w:rPr>
              <w:t>Our Guidelines provide that non-employee directors have a term limit of 15 years. In addition,</w:t>
            </w:r>
          </w:p>
        </w:tc>
      </w:tr>
      <w:tr>
        <w:trPr>
          <w:trHeight w:val="189"/>
        </w:trPr>
        <w:tc>
          <w:tcPr>
            <w:tcW w:w="286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582C83"/>
              </w:rPr>
              <w:t>Tenure and Age Limits</w:t>
            </w:r>
          </w:p>
        </w:tc>
        <w:tc>
          <w:tcPr>
            <w:tcW w:w="6180" w:type="dxa"/>
            <w:vAlign w:val="bottom"/>
            <w:shd w:val="clear" w:color="auto" w:fill="E0DBEA"/>
          </w:tcPr>
          <w:p>
            <w:pPr>
              <w:ind w:left="60"/>
              <w:spacing w:after="0"/>
              <w:rPr>
                <w:sz w:val="20"/>
                <w:szCs w:val="20"/>
                <w:color w:val="auto"/>
              </w:rPr>
            </w:pPr>
            <w:r>
              <w:rPr>
                <w:rFonts w:ascii="Arial" w:cs="Arial" w:eastAsia="Arial" w:hAnsi="Arial"/>
                <w:sz w:val="14"/>
                <w:szCs w:val="14"/>
                <w:color w:val="auto"/>
              </w:rPr>
              <w:t>non-employee directors will not be nominated for re-election to the Board after they reach age</w:t>
            </w:r>
          </w:p>
        </w:tc>
      </w:tr>
      <w:tr>
        <w:trPr>
          <w:trHeight w:val="189"/>
        </w:trPr>
        <w:tc>
          <w:tcPr>
            <w:tcW w:w="2860" w:type="dxa"/>
            <w:vAlign w:val="bottom"/>
            <w:shd w:val="clear" w:color="auto" w:fill="E0DBEA"/>
          </w:tcPr>
          <w:p>
            <w:pPr>
              <w:ind w:left="60"/>
              <w:spacing w:after="0"/>
              <w:rPr>
                <w:sz w:val="20"/>
                <w:szCs w:val="20"/>
                <w:color w:val="auto"/>
              </w:rPr>
            </w:pPr>
            <w:r>
              <w:rPr>
                <w:rFonts w:ascii="Arial" w:cs="Arial" w:eastAsia="Arial" w:hAnsi="Arial"/>
                <w:sz w:val="14"/>
                <w:szCs w:val="14"/>
                <w:color w:val="auto"/>
              </w:rPr>
              <w:t>The Board believes it is helpful to have</w:t>
            </w:r>
          </w:p>
        </w:tc>
        <w:tc>
          <w:tcPr>
            <w:tcW w:w="6180" w:type="dxa"/>
            <w:vAlign w:val="bottom"/>
            <w:shd w:val="clear" w:color="auto" w:fill="E0DBEA"/>
          </w:tcPr>
          <w:p>
            <w:pPr>
              <w:ind w:left="60"/>
              <w:spacing w:after="0"/>
              <w:rPr>
                <w:sz w:val="20"/>
                <w:szCs w:val="20"/>
                <w:color w:val="auto"/>
              </w:rPr>
            </w:pPr>
            <w:r>
              <w:rPr>
                <w:rFonts w:ascii="Arial" w:cs="Arial" w:eastAsia="Arial" w:hAnsi="Arial"/>
                <w:sz w:val="14"/>
                <w:szCs w:val="14"/>
                <w:color w:val="auto"/>
              </w:rPr>
              <w:t>75. The current Board composition reflects the Board’s commitment to ongoing refreshment</w:t>
            </w:r>
          </w:p>
        </w:tc>
      </w:tr>
      <w:tr>
        <w:trPr>
          <w:trHeight w:val="189"/>
        </w:trPr>
        <w:tc>
          <w:tcPr>
            <w:tcW w:w="2860" w:type="dxa"/>
            <w:vAlign w:val="bottom"/>
            <w:shd w:val="clear" w:color="auto" w:fill="E0DBEA"/>
          </w:tcPr>
          <w:p>
            <w:pPr>
              <w:ind w:left="60"/>
              <w:spacing w:after="0"/>
              <w:rPr>
                <w:sz w:val="20"/>
                <w:szCs w:val="20"/>
                <w:color w:val="auto"/>
              </w:rPr>
            </w:pPr>
            <w:r>
              <w:rPr>
                <w:rFonts w:ascii="Arial" w:cs="Arial" w:eastAsia="Arial" w:hAnsi="Arial"/>
                <w:sz w:val="14"/>
                <w:szCs w:val="14"/>
                <w:color w:val="auto"/>
              </w:rPr>
              <w:t>a balance of long-term members with</w:t>
            </w:r>
          </w:p>
        </w:tc>
        <w:tc>
          <w:tcPr>
            <w:tcW w:w="6180" w:type="dxa"/>
            <w:vAlign w:val="bottom"/>
            <w:shd w:val="clear" w:color="auto" w:fill="E0DBEA"/>
          </w:tcPr>
          <w:p>
            <w:pPr>
              <w:ind w:left="60"/>
              <w:spacing w:after="0"/>
              <w:rPr>
                <w:sz w:val="20"/>
                <w:szCs w:val="20"/>
                <w:color w:val="auto"/>
              </w:rPr>
            </w:pPr>
            <w:r>
              <w:rPr>
                <w:rFonts w:ascii="Arial" w:cs="Arial" w:eastAsia="Arial" w:hAnsi="Arial"/>
                <w:sz w:val="14"/>
                <w:szCs w:val="14"/>
                <w:color w:val="auto"/>
              </w:rPr>
              <w:t>and the importance of maintaining a balance of tenure and experience.</w:t>
            </w:r>
          </w:p>
        </w:tc>
      </w:tr>
      <w:tr>
        <w:trPr>
          <w:trHeight w:val="189"/>
        </w:trPr>
        <w:tc>
          <w:tcPr>
            <w:tcW w:w="2860" w:type="dxa"/>
            <w:vAlign w:val="bottom"/>
            <w:shd w:val="clear" w:color="auto" w:fill="E0DBEA"/>
          </w:tcPr>
          <w:p>
            <w:pPr>
              <w:ind w:left="60"/>
              <w:spacing w:after="0"/>
              <w:rPr>
                <w:sz w:val="20"/>
                <w:szCs w:val="20"/>
                <w:color w:val="auto"/>
              </w:rPr>
            </w:pPr>
            <w:r>
              <w:rPr>
                <w:rFonts w:ascii="Arial" w:cs="Arial" w:eastAsia="Arial" w:hAnsi="Arial"/>
                <w:sz w:val="14"/>
                <w:szCs w:val="14"/>
                <w:color w:val="auto"/>
              </w:rPr>
              <w:t>in-depth knowledge of our business and</w:t>
            </w:r>
          </w:p>
        </w:tc>
        <w:tc>
          <w:tcPr>
            <w:tcW w:w="6180" w:type="dxa"/>
            <w:vAlign w:val="bottom"/>
            <w:shd w:val="clear" w:color="auto" w:fill="E0DBEA"/>
          </w:tcPr>
          <w:p>
            <w:pPr>
              <w:spacing w:after="0"/>
              <w:rPr>
                <w:sz w:val="16"/>
                <w:szCs w:val="16"/>
                <w:color w:val="auto"/>
              </w:rPr>
            </w:pPr>
          </w:p>
        </w:tc>
      </w:tr>
      <w:tr>
        <w:trPr>
          <w:trHeight w:val="189"/>
        </w:trPr>
        <w:tc>
          <w:tcPr>
            <w:tcW w:w="2860" w:type="dxa"/>
            <w:vAlign w:val="bottom"/>
            <w:shd w:val="clear" w:color="auto" w:fill="E0DBEA"/>
          </w:tcPr>
          <w:p>
            <w:pPr>
              <w:ind w:left="60"/>
              <w:spacing w:after="0"/>
              <w:rPr>
                <w:sz w:val="20"/>
                <w:szCs w:val="20"/>
                <w:color w:val="auto"/>
              </w:rPr>
            </w:pPr>
            <w:r>
              <w:rPr>
                <w:rFonts w:ascii="Arial" w:cs="Arial" w:eastAsia="Arial" w:hAnsi="Arial"/>
                <w:sz w:val="14"/>
                <w:szCs w:val="14"/>
                <w:color w:val="auto"/>
              </w:rPr>
              <w:t>new members who bring valuable skills</w:t>
            </w:r>
          </w:p>
        </w:tc>
        <w:tc>
          <w:tcPr>
            <w:tcW w:w="6180" w:type="dxa"/>
            <w:vAlign w:val="bottom"/>
            <w:shd w:val="clear" w:color="auto" w:fill="E0DBEA"/>
          </w:tcPr>
          <w:p>
            <w:pPr>
              <w:spacing w:after="0"/>
              <w:rPr>
                <w:sz w:val="16"/>
                <w:szCs w:val="16"/>
                <w:color w:val="auto"/>
              </w:rPr>
            </w:pPr>
          </w:p>
        </w:tc>
      </w:tr>
      <w:tr>
        <w:trPr>
          <w:trHeight w:val="190"/>
        </w:trPr>
        <w:tc>
          <w:tcPr>
            <w:tcW w:w="2860" w:type="dxa"/>
            <w:vAlign w:val="bottom"/>
            <w:shd w:val="clear" w:color="auto" w:fill="E0DBEA"/>
          </w:tcPr>
          <w:p>
            <w:pPr>
              <w:ind w:left="60"/>
              <w:spacing w:after="0"/>
              <w:rPr>
                <w:sz w:val="20"/>
                <w:szCs w:val="20"/>
                <w:color w:val="auto"/>
              </w:rPr>
            </w:pPr>
            <w:r>
              <w:rPr>
                <w:rFonts w:ascii="Arial" w:cs="Arial" w:eastAsia="Arial" w:hAnsi="Arial"/>
                <w:sz w:val="14"/>
                <w:szCs w:val="14"/>
                <w:color w:val="auto"/>
              </w:rPr>
              <w:t>and fresh perspectives.</w:t>
            </w:r>
          </w:p>
        </w:tc>
        <w:tc>
          <w:tcPr>
            <w:tcW w:w="6180" w:type="dxa"/>
            <w:vAlign w:val="bottom"/>
            <w:shd w:val="clear" w:color="auto" w:fill="E0DBEA"/>
          </w:tcPr>
          <w:p>
            <w:pPr>
              <w:spacing w:after="0"/>
              <w:rPr>
                <w:sz w:val="16"/>
                <w:szCs w:val="16"/>
                <w:color w:val="auto"/>
              </w:rPr>
            </w:pPr>
          </w:p>
        </w:tc>
      </w:tr>
      <w:tr>
        <w:trPr>
          <w:trHeight w:val="62"/>
        </w:trPr>
        <w:tc>
          <w:tcPr>
            <w:tcW w:w="2860" w:type="dxa"/>
            <w:vAlign w:val="bottom"/>
            <w:tcBorders>
              <w:bottom w:val="single" w:sz="8" w:color="582C83"/>
            </w:tcBorders>
            <w:shd w:val="clear" w:color="auto" w:fill="E0DBEA"/>
          </w:tcPr>
          <w:p>
            <w:pPr>
              <w:spacing w:after="0"/>
              <w:rPr>
                <w:sz w:val="5"/>
                <w:szCs w:val="5"/>
                <w:color w:val="auto"/>
              </w:rPr>
            </w:pPr>
          </w:p>
        </w:tc>
        <w:tc>
          <w:tcPr>
            <w:tcW w:w="6180" w:type="dxa"/>
            <w:vAlign w:val="bottom"/>
            <w:tcBorders>
              <w:bottom w:val="single" w:sz="8" w:color="582C83"/>
            </w:tcBorders>
            <w:shd w:val="clear" w:color="auto" w:fill="E0DBEA"/>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18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1447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10375" cy="144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600" w:type="dxa"/>
            <w:vAlign w:val="bottom"/>
          </w:tcPr>
          <w:p>
            <w:pPr>
              <w:spacing w:after="0"/>
              <w:rPr>
                <w:sz w:val="23"/>
                <w:szCs w:val="23"/>
                <w:color w:val="auto"/>
              </w:rPr>
            </w:pPr>
          </w:p>
        </w:tc>
        <w:tc>
          <w:tcPr>
            <w:tcW w:w="6440" w:type="dxa"/>
            <w:vAlign w:val="bottom"/>
          </w:tcPr>
          <w:p>
            <w:pPr>
              <w:jc w:val="right"/>
              <w:spacing w:after="0"/>
              <w:rPr>
                <w:sz w:val="20"/>
                <w:szCs w:val="20"/>
                <w:color w:val="auto"/>
              </w:rPr>
            </w:pPr>
            <w:r>
              <w:rPr>
                <w:rFonts w:ascii="Arial" w:cs="Arial" w:eastAsia="Arial" w:hAnsi="Arial"/>
                <w:sz w:val="22"/>
                <w:szCs w:val="22"/>
                <w:b w:val="1"/>
                <w:bCs w:val="1"/>
                <w:color w:val="auto"/>
              </w:rPr>
              <w:t>ITEM 1. ELECTION OF DIRECTORS</w:t>
            </w:r>
          </w:p>
        </w:tc>
      </w:tr>
      <w:tr>
        <w:trPr>
          <w:trHeight w:val="171"/>
        </w:trPr>
        <w:tc>
          <w:tcPr>
            <w:tcW w:w="2600" w:type="dxa"/>
            <w:vAlign w:val="bottom"/>
            <w:tcBorders>
              <w:bottom w:val="single" w:sz="8" w:color="592B82"/>
            </w:tcBorders>
          </w:tcPr>
          <w:p>
            <w:pPr>
              <w:spacing w:after="0"/>
              <w:rPr>
                <w:sz w:val="14"/>
                <w:szCs w:val="14"/>
                <w:color w:val="auto"/>
              </w:rPr>
            </w:pPr>
          </w:p>
        </w:tc>
        <w:tc>
          <w:tcPr>
            <w:tcW w:w="6440" w:type="dxa"/>
            <w:vAlign w:val="bottom"/>
            <w:tcBorders>
              <w:bottom w:val="single" w:sz="8" w:color="592B82"/>
            </w:tcBorders>
          </w:tcPr>
          <w:p>
            <w:pPr>
              <w:jc w:val="right"/>
              <w:spacing w:after="0"/>
              <w:rPr>
                <w:sz w:val="20"/>
                <w:szCs w:val="20"/>
                <w:color w:val="auto"/>
              </w:rPr>
            </w:pPr>
            <w:r>
              <w:rPr>
                <w:rFonts w:ascii="Arial" w:cs="Arial" w:eastAsia="Arial" w:hAnsi="Arial"/>
                <w:sz w:val="14"/>
                <w:szCs w:val="14"/>
                <w:color w:val="auto"/>
              </w:rPr>
              <w:t>How We Build an Experienced and Qualified Board</w:t>
            </w:r>
          </w:p>
        </w:tc>
      </w:tr>
      <w:tr>
        <w:trPr>
          <w:trHeight w:val="740"/>
        </w:trPr>
        <w:tc>
          <w:tcPr>
            <w:tcW w:w="2600" w:type="dxa"/>
            <w:vAlign w:val="bottom"/>
          </w:tcPr>
          <w:p>
            <w:pPr>
              <w:ind w:left="60"/>
              <w:spacing w:after="0"/>
              <w:rPr>
                <w:sz w:val="20"/>
                <w:szCs w:val="20"/>
                <w:color w:val="auto"/>
              </w:rPr>
            </w:pPr>
            <w:r>
              <w:rPr>
                <w:rFonts w:ascii="Arial" w:cs="Arial" w:eastAsia="Arial" w:hAnsi="Arial"/>
                <w:sz w:val="14"/>
                <w:szCs w:val="14"/>
                <w:b w:val="1"/>
                <w:bCs w:val="1"/>
                <w:color w:val="582C83"/>
              </w:rPr>
              <w:t>The Board Values Diverse Views</w:t>
            </w:r>
          </w:p>
        </w:tc>
        <w:tc>
          <w:tcPr>
            <w:tcW w:w="6440" w:type="dxa"/>
            <w:vAlign w:val="bottom"/>
          </w:tcPr>
          <w:p>
            <w:pPr>
              <w:ind w:left="320"/>
              <w:spacing w:after="0"/>
              <w:rPr>
                <w:sz w:val="20"/>
                <w:szCs w:val="20"/>
                <w:color w:val="auto"/>
              </w:rPr>
            </w:pPr>
            <w:r>
              <w:rPr>
                <w:rFonts w:ascii="Arial" w:cs="Arial" w:eastAsia="Arial" w:hAnsi="Arial"/>
                <w:sz w:val="14"/>
                <w:szCs w:val="14"/>
                <w:color w:val="auto"/>
              </w:rPr>
              <w:t>When assembling the pool of candidates from which directors are selected, the Governance</w:t>
            </w:r>
          </w:p>
        </w:tc>
      </w:tr>
      <w:tr>
        <w:trPr>
          <w:trHeight w:val="175"/>
        </w:trPr>
        <w:tc>
          <w:tcPr>
            <w:tcW w:w="2600" w:type="dxa"/>
            <w:vAlign w:val="bottom"/>
          </w:tcPr>
          <w:p>
            <w:pPr>
              <w:ind w:left="60"/>
              <w:spacing w:after="0"/>
              <w:rPr>
                <w:sz w:val="20"/>
                <w:szCs w:val="20"/>
                <w:color w:val="auto"/>
              </w:rPr>
            </w:pPr>
            <w:r>
              <w:rPr>
                <w:rFonts w:ascii="Arial" w:cs="Arial" w:eastAsia="Arial" w:hAnsi="Arial"/>
                <w:sz w:val="14"/>
                <w:szCs w:val="14"/>
                <w:b w:val="1"/>
                <w:bCs w:val="1"/>
                <w:color w:val="582C83"/>
              </w:rPr>
              <w:t>and Experiences</w:t>
            </w:r>
          </w:p>
        </w:tc>
        <w:tc>
          <w:tcPr>
            <w:tcW w:w="6440" w:type="dxa"/>
            <w:vAlign w:val="bottom"/>
          </w:tcPr>
          <w:p>
            <w:pPr>
              <w:ind w:left="320"/>
              <w:spacing w:after="0"/>
              <w:rPr>
                <w:sz w:val="20"/>
                <w:szCs w:val="20"/>
                <w:color w:val="auto"/>
              </w:rPr>
            </w:pPr>
            <w:r>
              <w:rPr>
                <w:rFonts w:ascii="Arial" w:cs="Arial" w:eastAsia="Arial" w:hAnsi="Arial"/>
                <w:sz w:val="14"/>
                <w:szCs w:val="14"/>
                <w:color w:val="auto"/>
              </w:rPr>
              <w:t>Committee considers diverse views, knowledge, experience, and backgrounds which contribute</w:t>
            </w:r>
          </w:p>
        </w:tc>
      </w:tr>
      <w:tr>
        <w:trPr>
          <w:trHeight w:val="190"/>
        </w:trPr>
        <w:tc>
          <w:tcPr>
            <w:tcW w:w="2600" w:type="dxa"/>
            <w:vAlign w:val="bottom"/>
          </w:tcPr>
          <w:p>
            <w:pPr>
              <w:spacing w:after="0"/>
              <w:rPr>
                <w:sz w:val="16"/>
                <w:szCs w:val="16"/>
                <w:color w:val="auto"/>
              </w:rPr>
            </w:pPr>
          </w:p>
        </w:tc>
        <w:tc>
          <w:tcPr>
            <w:tcW w:w="6440" w:type="dxa"/>
            <w:vAlign w:val="bottom"/>
          </w:tcPr>
          <w:p>
            <w:pPr>
              <w:ind w:left="320"/>
              <w:spacing w:after="0"/>
              <w:rPr>
                <w:sz w:val="20"/>
                <w:szCs w:val="20"/>
                <w:color w:val="auto"/>
              </w:rPr>
            </w:pPr>
            <w:r>
              <w:rPr>
                <w:rFonts w:ascii="Arial" w:cs="Arial" w:eastAsia="Arial" w:hAnsi="Arial"/>
                <w:sz w:val="14"/>
                <w:szCs w:val="14"/>
                <w:color w:val="auto"/>
              </w:rPr>
              <w:t>to more informed and effective decision-making. As part of the search process for new</w:t>
            </w:r>
          </w:p>
        </w:tc>
      </w:tr>
    </w:tbl>
    <w:p>
      <w:pPr>
        <w:sectPr>
          <w:pgSz w:w="11900" w:h="16870" w:orient="portrait"/>
          <w:cols w:equalWidth="0" w:num="1">
            <w:col w:w="9040"/>
          </w:cols>
          <w:pgMar w:left="1420" w:top="1077" w:right="1439" w:bottom="0" w:gutter="0" w:footer="0" w:header="0"/>
          <w:type w:val="continuous"/>
        </w:sectPr>
      </w:pPr>
    </w:p>
    <w:bookmarkStart w:id="18" w:name="page19"/>
    <w:bookmarkEnd w:id="18"/>
    <w:p>
      <w:pPr>
        <w:ind w:left="2920" w:right="220"/>
        <w:spacing w:after="0" w:line="241" w:lineRule="auto"/>
        <w:rPr>
          <w:sz w:val="20"/>
          <w:szCs w:val="20"/>
          <w:color w:val="auto"/>
        </w:rPr>
      </w:pPr>
      <w:r>
        <w:rPr>
          <w:rFonts w:ascii="Arial" w:cs="Arial" w:eastAsia="Arial" w:hAnsi="Arial"/>
          <w:sz w:val="14"/>
          <w:szCs w:val="14"/>
          <w:color w:val="auto"/>
        </w:rPr>
        <w:t>directors, the Governance Committee seeks out women and ethnically diverse candidates to include in the pool from which director nominees are chosen, with the ultimate decision on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-190500</wp:posOffset>
            </wp:positionV>
            <wp:extent cx="6810375" cy="7408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10375" cy="7408545"/>
                    </a:xfrm>
                    <a:prstGeom prst="rect">
                      <a:avLst/>
                    </a:prstGeom>
                    <a:noFill/>
                  </pic:spPr>
                </pic:pic>
              </a:graphicData>
            </a:graphic>
          </wp:anchor>
        </w:drawing>
      </w:r>
    </w:p>
    <w:p>
      <w:pPr>
        <w:ind w:left="2920" w:right="280"/>
        <w:spacing w:after="0" w:line="262" w:lineRule="auto"/>
        <w:rPr>
          <w:sz w:val="20"/>
          <w:szCs w:val="20"/>
          <w:color w:val="auto"/>
        </w:rPr>
      </w:pPr>
      <w:r>
        <w:rPr>
          <w:rFonts w:ascii="Arial" w:cs="Arial" w:eastAsia="Arial" w:hAnsi="Arial"/>
          <w:sz w:val="14"/>
          <w:szCs w:val="14"/>
          <w:color w:val="auto"/>
        </w:rPr>
        <w:t>Board nominations being based on the contributions that the selected nominees will bring to the Board. The Governance Committee assesses the effectiveness of these efforts in its annual assessment.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year, the Board is nominating 10 incumbent directors.</w:t>
      </w:r>
    </w:p>
    <w:p>
      <w:pPr>
        <w:spacing w:after="0" w:line="230" w:lineRule="exact"/>
        <w:rPr>
          <w:sz w:val="20"/>
          <w:szCs w:val="20"/>
          <w:color w:val="auto"/>
        </w:rPr>
      </w:pPr>
    </w:p>
    <w:p>
      <w:pPr>
        <w:ind w:right="1900"/>
        <w:spacing w:after="0" w:line="311" w:lineRule="auto"/>
        <w:rPr>
          <w:sz w:val="20"/>
          <w:szCs w:val="20"/>
          <w:color w:val="auto"/>
        </w:rPr>
      </w:pPr>
      <w:r>
        <w:rPr>
          <w:rFonts w:ascii="Arial" w:cs="Arial" w:eastAsia="Arial" w:hAnsi="Arial"/>
          <w:sz w:val="22"/>
          <w:szCs w:val="22"/>
          <w:b w:val="1"/>
          <w:bCs w:val="1"/>
          <w:color w:val="582C83"/>
        </w:rPr>
        <w:t>BOARD COMPOSITION: DIRECTOR QUALIFICATIONS, KNOWLEDGE, AND EXPERIENCE</w:t>
      </w:r>
    </w:p>
    <w:p>
      <w:pPr>
        <w:spacing w:after="0" w:line="26"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color w:val="auto"/>
        </w:rPr>
        <w:t>Based upon its discussions with the Board, the Governance Committee has identified seven key director competencies that are desirable in order for the Board to fulfill its current and future obligations.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8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Key Competencies</w:t>
            </w:r>
          </w:p>
        </w:tc>
        <w:tc>
          <w:tcPr>
            <w:tcW w:w="4140" w:type="dxa"/>
            <w:vAlign w:val="bottom"/>
            <w:tcBorders>
              <w:bottom w:val="single" w:sz="8" w:color="582C83"/>
            </w:tcBorders>
          </w:tcPr>
          <w:p>
            <w:pPr>
              <w:spacing w:after="0"/>
              <w:rPr>
                <w:sz w:val="15"/>
                <w:szCs w:val="15"/>
                <w:color w:val="auto"/>
              </w:rPr>
            </w:pPr>
          </w:p>
        </w:tc>
        <w:tc>
          <w:tcPr>
            <w:tcW w:w="3220" w:type="dxa"/>
            <w:vAlign w:val="bottom"/>
            <w:tcBorders>
              <w:bottom w:val="single" w:sz="8" w:color="582C83"/>
            </w:tcBorders>
            <w:gridSpan w:val="2"/>
          </w:tcPr>
          <w:p>
            <w:pPr>
              <w:ind w:left="60"/>
              <w:spacing w:after="0"/>
              <w:rPr>
                <w:sz w:val="20"/>
                <w:szCs w:val="20"/>
                <w:color w:val="auto"/>
              </w:rPr>
            </w:pPr>
            <w:r>
              <w:rPr>
                <w:rFonts w:ascii="Arial" w:cs="Arial" w:eastAsia="Arial" w:hAnsi="Arial"/>
                <w:sz w:val="14"/>
                <w:szCs w:val="14"/>
                <w:b w:val="1"/>
                <w:bCs w:val="1"/>
                <w:color w:val="auto"/>
              </w:rPr>
              <w:t>Relevant Experience</w:t>
            </w:r>
          </w:p>
        </w:tc>
        <w:tc>
          <w:tcPr>
            <w:tcW w:w="0" w:type="dxa"/>
            <w:vAlign w:val="bottom"/>
          </w:tcPr>
          <w:p>
            <w:pPr>
              <w:spacing w:after="0"/>
              <w:rPr>
                <w:sz w:val="1"/>
                <w:szCs w:val="1"/>
                <w:color w:val="auto"/>
              </w:rPr>
            </w:pPr>
          </w:p>
        </w:tc>
      </w:tr>
      <w:tr>
        <w:trPr>
          <w:trHeight w:val="301"/>
        </w:trPr>
        <w:tc>
          <w:tcPr>
            <w:tcW w:w="1680" w:type="dxa"/>
            <w:vAlign w:val="bottom"/>
            <w:shd w:val="clear" w:color="auto" w:fill="E7E1F0"/>
          </w:tcPr>
          <w:p>
            <w:pPr>
              <w:spacing w:after="0"/>
              <w:rPr>
                <w:sz w:val="24"/>
                <w:szCs w:val="24"/>
                <w:color w:val="auto"/>
              </w:rPr>
            </w:pPr>
          </w:p>
        </w:tc>
        <w:tc>
          <w:tcPr>
            <w:tcW w:w="4140" w:type="dxa"/>
            <w:vAlign w:val="bottom"/>
            <w:shd w:val="clear" w:color="auto" w:fill="E7E1F0"/>
          </w:tcPr>
          <w:p>
            <w:pPr>
              <w:ind w:left="180"/>
              <w:spacing w:after="0"/>
              <w:rPr>
                <w:sz w:val="20"/>
                <w:szCs w:val="20"/>
                <w:color w:val="auto"/>
              </w:rPr>
            </w:pPr>
            <w:r>
              <w:rPr>
                <w:rFonts w:ascii="Arial" w:cs="Arial" w:eastAsia="Arial" w:hAnsi="Arial"/>
                <w:sz w:val="14"/>
                <w:szCs w:val="14"/>
                <w:color w:val="auto"/>
              </w:rPr>
              <w:t>Industry Experience is vital to reviewing and understanding</w:t>
            </w:r>
          </w:p>
        </w:tc>
        <w:tc>
          <w:tcPr>
            <w:tcW w:w="140" w:type="dxa"/>
            <w:vAlign w:val="bottom"/>
            <w:shd w:val="clear" w:color="auto" w:fill="E7E1F0"/>
          </w:tcPr>
          <w:p>
            <w:pPr>
              <w:ind w:left="60"/>
              <w:spacing w:after="0"/>
              <w:rPr>
                <w:sz w:val="20"/>
                <w:szCs w:val="20"/>
                <w:color w:val="auto"/>
              </w:rPr>
            </w:pPr>
            <w:r>
              <w:rPr>
                <w:rFonts w:ascii="Arial" w:cs="Arial" w:eastAsia="Arial" w:hAnsi="Arial"/>
                <w:sz w:val="14"/>
                <w:szCs w:val="14"/>
                <w:color w:val="582C83"/>
              </w:rPr>
              <w:t>•</w:t>
            </w:r>
          </w:p>
        </w:tc>
        <w:tc>
          <w:tcPr>
            <w:tcW w:w="3080" w:type="dxa"/>
            <w:vAlign w:val="bottom"/>
            <w:shd w:val="clear" w:color="auto" w:fill="E7E1F0"/>
          </w:tcPr>
          <w:p>
            <w:pPr>
              <w:ind w:left="40"/>
              <w:spacing w:after="0"/>
              <w:rPr>
                <w:sz w:val="20"/>
                <w:szCs w:val="20"/>
                <w:color w:val="auto"/>
              </w:rPr>
            </w:pPr>
            <w:r>
              <w:rPr>
                <w:rFonts w:ascii="Arial" w:cs="Arial" w:eastAsia="Arial" w:hAnsi="Arial"/>
                <w:sz w:val="14"/>
                <w:szCs w:val="14"/>
                <w:color w:val="auto"/>
              </w:rPr>
              <w:t>Food and beverage</w:t>
            </w:r>
          </w:p>
        </w:tc>
        <w:tc>
          <w:tcPr>
            <w:tcW w:w="0" w:type="dxa"/>
            <w:vAlign w:val="bottom"/>
          </w:tcPr>
          <w:p>
            <w:pPr>
              <w:spacing w:after="0"/>
              <w:rPr>
                <w:sz w:val="1"/>
                <w:szCs w:val="1"/>
                <w:color w:val="auto"/>
              </w:rPr>
            </w:pPr>
          </w:p>
        </w:tc>
      </w:tr>
      <w:tr>
        <w:trPr>
          <w:trHeight w:val="162"/>
        </w:trPr>
        <w:tc>
          <w:tcPr>
            <w:tcW w:w="1680" w:type="dxa"/>
            <w:vAlign w:val="bottom"/>
            <w:shd w:val="clear" w:color="auto" w:fill="E7E1F0"/>
          </w:tcPr>
          <w:p>
            <w:pPr>
              <w:spacing w:after="0"/>
              <w:rPr>
                <w:sz w:val="14"/>
                <w:szCs w:val="14"/>
                <w:color w:val="auto"/>
              </w:rPr>
            </w:pPr>
          </w:p>
        </w:tc>
        <w:tc>
          <w:tcPr>
            <w:tcW w:w="4140" w:type="dxa"/>
            <w:vAlign w:val="bottom"/>
            <w:shd w:val="clear" w:color="auto" w:fill="E7E1F0"/>
          </w:tcPr>
          <w:p>
            <w:pPr>
              <w:ind w:left="180"/>
              <w:spacing w:after="0"/>
              <w:rPr>
                <w:sz w:val="20"/>
                <w:szCs w:val="20"/>
                <w:color w:val="auto"/>
              </w:rPr>
            </w:pPr>
            <w:r>
              <w:rPr>
                <w:rFonts w:ascii="Arial" w:cs="Arial" w:eastAsia="Arial" w:hAnsi="Arial"/>
                <w:sz w:val="14"/>
                <w:szCs w:val="14"/>
                <w:color w:val="auto"/>
              </w:rPr>
              <w:t>strategy, and the connections between strategy and the</w:t>
            </w:r>
          </w:p>
        </w:tc>
        <w:tc>
          <w:tcPr>
            <w:tcW w:w="140" w:type="dxa"/>
            <w:vAlign w:val="bottom"/>
            <w:vMerge w:val="restart"/>
            <w:shd w:val="clear" w:color="auto" w:fill="E7E1F0"/>
          </w:tcPr>
          <w:p>
            <w:pPr>
              <w:ind w:left="60"/>
              <w:spacing w:after="0"/>
              <w:rPr>
                <w:sz w:val="20"/>
                <w:szCs w:val="20"/>
                <w:color w:val="auto"/>
              </w:rPr>
            </w:pPr>
            <w:r>
              <w:rPr>
                <w:rFonts w:ascii="Arial" w:cs="Arial" w:eastAsia="Arial" w:hAnsi="Arial"/>
                <w:sz w:val="14"/>
                <w:szCs w:val="14"/>
                <w:color w:val="582C83"/>
              </w:rPr>
              <w:t>•</w:t>
            </w:r>
          </w:p>
        </w:tc>
        <w:tc>
          <w:tcPr>
            <w:tcW w:w="3080" w:type="dxa"/>
            <w:vAlign w:val="bottom"/>
            <w:vMerge w:val="restart"/>
            <w:shd w:val="clear" w:color="auto" w:fill="E7E1F0"/>
          </w:tcPr>
          <w:p>
            <w:pPr>
              <w:ind w:left="40"/>
              <w:spacing w:after="0"/>
              <w:rPr>
                <w:sz w:val="20"/>
                <w:szCs w:val="20"/>
                <w:color w:val="auto"/>
              </w:rPr>
            </w:pPr>
            <w:r>
              <w:rPr>
                <w:rFonts w:ascii="Arial" w:cs="Arial" w:eastAsia="Arial" w:hAnsi="Arial"/>
                <w:sz w:val="14"/>
                <w:szCs w:val="14"/>
                <w:color w:val="auto"/>
              </w:rPr>
              <w:t>Consumer products</w:t>
            </w:r>
          </w:p>
        </w:tc>
        <w:tc>
          <w:tcPr>
            <w:tcW w:w="0" w:type="dxa"/>
            <w:vAlign w:val="bottom"/>
          </w:tcPr>
          <w:p>
            <w:pPr>
              <w:spacing w:after="0"/>
              <w:rPr>
                <w:sz w:val="1"/>
                <w:szCs w:val="1"/>
                <w:color w:val="auto"/>
              </w:rPr>
            </w:pPr>
          </w:p>
        </w:tc>
      </w:tr>
      <w:tr>
        <w:trPr>
          <w:trHeight w:val="109"/>
        </w:trPr>
        <w:tc>
          <w:tcPr>
            <w:tcW w:w="1680" w:type="dxa"/>
            <w:vAlign w:val="bottom"/>
            <w:vMerge w:val="restart"/>
            <w:shd w:val="clear" w:color="auto" w:fill="E7E1F0"/>
          </w:tcPr>
          <w:p>
            <w:pPr>
              <w:jc w:val="center"/>
              <w:spacing w:after="0"/>
              <w:rPr>
                <w:sz w:val="20"/>
                <w:szCs w:val="20"/>
                <w:color w:val="auto"/>
              </w:rPr>
            </w:pPr>
            <w:r>
              <w:rPr>
                <w:rFonts w:ascii="Arial" w:cs="Arial" w:eastAsia="Arial" w:hAnsi="Arial"/>
                <w:sz w:val="14"/>
                <w:szCs w:val="14"/>
                <w:b w:val="1"/>
                <w:bCs w:val="1"/>
                <w:color w:val="auto"/>
              </w:rPr>
              <w:t>INDUSTRY</w:t>
            </w:r>
          </w:p>
        </w:tc>
        <w:tc>
          <w:tcPr>
            <w:tcW w:w="4140" w:type="dxa"/>
            <w:vAlign w:val="bottom"/>
            <w:vMerge w:val="restart"/>
            <w:shd w:val="clear" w:color="auto" w:fill="E7E1F0"/>
          </w:tcPr>
          <w:p>
            <w:pPr>
              <w:ind w:left="180"/>
              <w:spacing w:after="0"/>
              <w:rPr>
                <w:sz w:val="20"/>
                <w:szCs w:val="20"/>
                <w:color w:val="auto"/>
              </w:rPr>
            </w:pPr>
            <w:r>
              <w:rPr>
                <w:rFonts w:ascii="Arial" w:cs="Arial" w:eastAsia="Arial" w:hAnsi="Arial"/>
                <w:sz w:val="14"/>
                <w:szCs w:val="14"/>
                <w:color w:val="auto"/>
              </w:rPr>
              <w:t>potential acquisition of businesses that offer</w:t>
            </w:r>
          </w:p>
        </w:tc>
        <w:tc>
          <w:tcPr>
            <w:tcW w:w="140" w:type="dxa"/>
            <w:vAlign w:val="bottom"/>
            <w:vMerge w:val="continue"/>
            <w:shd w:val="clear" w:color="auto" w:fill="E7E1F0"/>
          </w:tcPr>
          <w:p>
            <w:pPr>
              <w:spacing w:after="0"/>
              <w:rPr>
                <w:sz w:val="9"/>
                <w:szCs w:val="9"/>
                <w:color w:val="auto"/>
              </w:rPr>
            </w:pPr>
          </w:p>
        </w:tc>
        <w:tc>
          <w:tcPr>
            <w:tcW w:w="3080" w:type="dxa"/>
            <w:vAlign w:val="bottom"/>
            <w:vMerge w:val="continue"/>
            <w:shd w:val="clear" w:color="auto" w:fill="E7E1F0"/>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680" w:type="dxa"/>
            <w:vAlign w:val="bottom"/>
            <w:vMerge w:val="continue"/>
            <w:shd w:val="clear" w:color="auto" w:fill="E7E1F0"/>
          </w:tcPr>
          <w:p>
            <w:pPr>
              <w:spacing w:after="0"/>
              <w:rPr>
                <w:sz w:val="5"/>
                <w:szCs w:val="5"/>
                <w:color w:val="auto"/>
              </w:rPr>
            </w:pPr>
          </w:p>
        </w:tc>
        <w:tc>
          <w:tcPr>
            <w:tcW w:w="4140" w:type="dxa"/>
            <w:vAlign w:val="bottom"/>
            <w:vMerge w:val="continue"/>
            <w:shd w:val="clear" w:color="auto" w:fill="E7E1F0"/>
          </w:tcPr>
          <w:p>
            <w:pPr>
              <w:spacing w:after="0"/>
              <w:rPr>
                <w:sz w:val="5"/>
                <w:szCs w:val="5"/>
                <w:color w:val="auto"/>
              </w:rPr>
            </w:pPr>
          </w:p>
        </w:tc>
        <w:tc>
          <w:tcPr>
            <w:tcW w:w="140" w:type="dxa"/>
            <w:vAlign w:val="bottom"/>
            <w:vMerge w:val="restart"/>
            <w:shd w:val="clear" w:color="auto" w:fill="E7E1F0"/>
          </w:tcPr>
          <w:p>
            <w:pPr>
              <w:ind w:left="60"/>
              <w:spacing w:after="0"/>
              <w:rPr>
                <w:sz w:val="20"/>
                <w:szCs w:val="20"/>
                <w:color w:val="auto"/>
              </w:rPr>
            </w:pPr>
            <w:r>
              <w:rPr>
                <w:rFonts w:ascii="Arial" w:cs="Arial" w:eastAsia="Arial" w:hAnsi="Arial"/>
                <w:sz w:val="14"/>
                <w:szCs w:val="14"/>
                <w:color w:val="582C83"/>
              </w:rPr>
              <w:t>•</w:t>
            </w:r>
          </w:p>
        </w:tc>
        <w:tc>
          <w:tcPr>
            <w:tcW w:w="3080" w:type="dxa"/>
            <w:vAlign w:val="bottom"/>
            <w:vMerge w:val="restart"/>
            <w:shd w:val="clear" w:color="auto" w:fill="E7E1F0"/>
          </w:tcPr>
          <w:p>
            <w:pPr>
              <w:ind w:left="40"/>
              <w:spacing w:after="0"/>
              <w:rPr>
                <w:sz w:val="20"/>
                <w:szCs w:val="20"/>
                <w:color w:val="auto"/>
              </w:rPr>
            </w:pPr>
            <w:r>
              <w:rPr>
                <w:rFonts w:ascii="Arial" w:cs="Arial" w:eastAsia="Arial" w:hAnsi="Arial"/>
                <w:sz w:val="14"/>
                <w:szCs w:val="14"/>
                <w:color w:val="auto"/>
              </w:rPr>
              <w:t>Global food strategies</w:t>
            </w:r>
          </w:p>
        </w:tc>
        <w:tc>
          <w:tcPr>
            <w:tcW w:w="0" w:type="dxa"/>
            <w:vAlign w:val="bottom"/>
          </w:tcPr>
          <w:p>
            <w:pPr>
              <w:spacing w:after="0"/>
              <w:rPr>
                <w:sz w:val="1"/>
                <w:szCs w:val="1"/>
                <w:color w:val="auto"/>
              </w:rPr>
            </w:pPr>
          </w:p>
        </w:tc>
      </w:tr>
      <w:tr>
        <w:trPr>
          <w:trHeight w:val="68"/>
        </w:trPr>
        <w:tc>
          <w:tcPr>
            <w:tcW w:w="1680" w:type="dxa"/>
            <w:vAlign w:val="bottom"/>
            <w:vMerge w:val="continue"/>
            <w:shd w:val="clear" w:color="auto" w:fill="E7E1F0"/>
          </w:tcPr>
          <w:p>
            <w:pPr>
              <w:spacing w:after="0"/>
              <w:rPr>
                <w:sz w:val="5"/>
                <w:szCs w:val="5"/>
                <w:color w:val="auto"/>
              </w:rPr>
            </w:pPr>
          </w:p>
        </w:tc>
        <w:tc>
          <w:tcPr>
            <w:tcW w:w="4140" w:type="dxa"/>
            <w:vAlign w:val="bottom"/>
            <w:vMerge w:val="restart"/>
            <w:shd w:val="clear" w:color="auto" w:fill="E7E1F0"/>
          </w:tcPr>
          <w:p>
            <w:pPr>
              <w:ind w:left="180"/>
              <w:spacing w:after="0"/>
              <w:rPr>
                <w:sz w:val="20"/>
                <w:szCs w:val="20"/>
                <w:color w:val="auto"/>
              </w:rPr>
            </w:pPr>
            <w:r>
              <w:rPr>
                <w:rFonts w:ascii="Arial" w:cs="Arial" w:eastAsia="Arial" w:hAnsi="Arial"/>
                <w:sz w:val="14"/>
                <w:szCs w:val="14"/>
                <w:color w:val="auto"/>
              </w:rPr>
              <w:t>complementary products or services.</w:t>
            </w:r>
          </w:p>
        </w:tc>
        <w:tc>
          <w:tcPr>
            <w:tcW w:w="140" w:type="dxa"/>
            <w:vAlign w:val="bottom"/>
            <w:vMerge w:val="continue"/>
            <w:shd w:val="clear" w:color="auto" w:fill="E7E1F0"/>
          </w:tcPr>
          <w:p>
            <w:pPr>
              <w:spacing w:after="0"/>
              <w:rPr>
                <w:sz w:val="5"/>
                <w:szCs w:val="5"/>
                <w:color w:val="auto"/>
              </w:rPr>
            </w:pPr>
          </w:p>
        </w:tc>
        <w:tc>
          <w:tcPr>
            <w:tcW w:w="3080" w:type="dxa"/>
            <w:vAlign w:val="bottom"/>
            <w:vMerge w:val="continue"/>
            <w:shd w:val="clear" w:color="auto" w:fill="E7E1F0"/>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680" w:type="dxa"/>
            <w:vAlign w:val="bottom"/>
            <w:vMerge w:val="restart"/>
            <w:shd w:val="clear" w:color="auto" w:fill="E7E1F0"/>
          </w:tcPr>
          <w:p>
            <w:pPr>
              <w:jc w:val="center"/>
              <w:spacing w:after="0"/>
              <w:rPr>
                <w:sz w:val="20"/>
                <w:szCs w:val="20"/>
                <w:color w:val="auto"/>
              </w:rPr>
            </w:pPr>
            <w:r>
              <w:rPr>
                <w:rFonts w:ascii="Arial" w:cs="Arial" w:eastAsia="Arial" w:hAnsi="Arial"/>
                <w:sz w:val="14"/>
                <w:szCs w:val="14"/>
                <w:b w:val="1"/>
                <w:bCs w:val="1"/>
                <w:color w:val="auto"/>
              </w:rPr>
              <w:t>EXPERIENCE</w:t>
            </w:r>
          </w:p>
        </w:tc>
        <w:tc>
          <w:tcPr>
            <w:tcW w:w="4140" w:type="dxa"/>
            <w:vAlign w:val="bottom"/>
            <w:vMerge w:val="continue"/>
            <w:shd w:val="clear" w:color="auto" w:fill="E7E1F0"/>
          </w:tcPr>
          <w:p>
            <w:pPr>
              <w:spacing w:after="0"/>
              <w:rPr>
                <w:sz w:val="10"/>
                <w:szCs w:val="10"/>
                <w:color w:val="auto"/>
              </w:rPr>
            </w:pPr>
          </w:p>
        </w:tc>
        <w:tc>
          <w:tcPr>
            <w:tcW w:w="140" w:type="dxa"/>
            <w:vAlign w:val="bottom"/>
            <w:vMerge w:val="continue"/>
            <w:shd w:val="clear" w:color="auto" w:fill="E7E1F0"/>
          </w:tcPr>
          <w:p>
            <w:pPr>
              <w:spacing w:after="0"/>
              <w:rPr>
                <w:sz w:val="10"/>
                <w:szCs w:val="10"/>
                <w:color w:val="auto"/>
              </w:rPr>
            </w:pPr>
          </w:p>
        </w:tc>
        <w:tc>
          <w:tcPr>
            <w:tcW w:w="3080" w:type="dxa"/>
            <w:vAlign w:val="bottom"/>
            <w:vMerge w:val="continue"/>
            <w:shd w:val="clear" w:color="auto" w:fill="E7E1F0"/>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680" w:type="dxa"/>
            <w:vAlign w:val="bottom"/>
            <w:tcBorders>
              <w:bottom w:val="single" w:sz="8" w:color="E7E1F0"/>
            </w:tcBorders>
            <w:vMerge w:val="continue"/>
            <w:shd w:val="clear" w:color="auto" w:fill="E7E1F0"/>
          </w:tcPr>
          <w:p>
            <w:pPr>
              <w:spacing w:after="0"/>
              <w:rPr>
                <w:sz w:val="10"/>
                <w:szCs w:val="10"/>
                <w:color w:val="auto"/>
              </w:rPr>
            </w:pPr>
          </w:p>
        </w:tc>
        <w:tc>
          <w:tcPr>
            <w:tcW w:w="4140" w:type="dxa"/>
            <w:vAlign w:val="bottom"/>
            <w:tcBorders>
              <w:bottom w:val="single" w:sz="8" w:color="E7E1F0"/>
            </w:tcBorders>
            <w:shd w:val="clear" w:color="auto" w:fill="E7E1F0"/>
          </w:tcPr>
          <w:p>
            <w:pPr>
              <w:spacing w:after="0"/>
              <w:rPr>
                <w:sz w:val="10"/>
                <w:szCs w:val="10"/>
                <w:color w:val="auto"/>
              </w:rPr>
            </w:pPr>
          </w:p>
        </w:tc>
        <w:tc>
          <w:tcPr>
            <w:tcW w:w="140" w:type="dxa"/>
            <w:vAlign w:val="bottom"/>
            <w:tcBorders>
              <w:bottom w:val="single" w:sz="8" w:color="E7E1F0"/>
            </w:tcBorders>
            <w:shd w:val="clear" w:color="auto" w:fill="E7E1F0"/>
          </w:tcPr>
          <w:p>
            <w:pPr>
              <w:spacing w:after="0"/>
              <w:rPr>
                <w:sz w:val="10"/>
                <w:szCs w:val="10"/>
                <w:color w:val="auto"/>
              </w:rPr>
            </w:pPr>
          </w:p>
        </w:tc>
        <w:tc>
          <w:tcPr>
            <w:tcW w:w="3080" w:type="dxa"/>
            <w:vAlign w:val="bottom"/>
            <w:tcBorders>
              <w:bottom w:val="single" w:sz="8" w:color="E7E1F0"/>
            </w:tcBorders>
            <w:shd w:val="clear" w:color="auto" w:fill="E7E1F0"/>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1680" w:type="dxa"/>
            <w:vAlign w:val="bottom"/>
            <w:tcBorders>
              <w:top w:val="single" w:sz="8" w:color="582C83"/>
            </w:tcBorders>
          </w:tcPr>
          <w:p>
            <w:pPr>
              <w:spacing w:after="0"/>
              <w:rPr>
                <w:sz w:val="19"/>
                <w:szCs w:val="19"/>
                <w:color w:val="auto"/>
              </w:rPr>
            </w:pPr>
          </w:p>
        </w:tc>
        <w:tc>
          <w:tcPr>
            <w:tcW w:w="4140" w:type="dxa"/>
            <w:vAlign w:val="bottom"/>
            <w:tcBorders>
              <w:top w:val="single" w:sz="8" w:color="582C83"/>
            </w:tcBorders>
          </w:tcPr>
          <w:p>
            <w:pPr>
              <w:ind w:left="180"/>
              <w:spacing w:after="0"/>
              <w:rPr>
                <w:sz w:val="20"/>
                <w:szCs w:val="20"/>
                <w:color w:val="auto"/>
              </w:rPr>
            </w:pPr>
            <w:r>
              <w:rPr>
                <w:rFonts w:ascii="Arial" w:cs="Arial" w:eastAsia="Arial" w:hAnsi="Arial"/>
                <w:sz w:val="14"/>
                <w:szCs w:val="14"/>
                <w:color w:val="auto"/>
              </w:rPr>
              <w:t>Significant Operating Experience as a current or former</w:t>
            </w:r>
          </w:p>
        </w:tc>
        <w:tc>
          <w:tcPr>
            <w:tcW w:w="3220" w:type="dxa"/>
            <w:vAlign w:val="bottom"/>
            <w:tcBorders>
              <w:top w:val="single" w:sz="8" w:color="582C83"/>
            </w:tcBorders>
            <w:gridSpan w:val="2"/>
            <w:vMerge w:val="restart"/>
          </w:tcPr>
          <w:p>
            <w:pPr>
              <w:ind w:left="60"/>
              <w:spacing w:after="0"/>
              <w:rPr>
                <w:sz w:val="20"/>
                <w:szCs w:val="20"/>
                <w:color w:val="auto"/>
              </w:rPr>
            </w:pPr>
            <w:r>
              <w:rPr>
                <w:rFonts w:ascii="Arial" w:cs="Arial" w:eastAsia="Arial" w:hAnsi="Arial"/>
                <w:sz w:val="14"/>
                <w:szCs w:val="14"/>
                <w:color w:val="582C83"/>
              </w:rPr>
              <w:t xml:space="preserve">• </w:t>
            </w:r>
            <w:r>
              <w:rPr>
                <w:rFonts w:ascii="Arial" w:cs="Arial" w:eastAsia="Arial" w:hAnsi="Arial"/>
                <w:sz w:val="14"/>
                <w:szCs w:val="14"/>
                <w:color w:val="000000"/>
              </w:rPr>
              <w:t>CEO/COO</w:t>
            </w:r>
          </w:p>
        </w:tc>
        <w:tc>
          <w:tcPr>
            <w:tcW w:w="0" w:type="dxa"/>
            <w:vAlign w:val="bottom"/>
          </w:tcPr>
          <w:p>
            <w:pPr>
              <w:spacing w:after="0"/>
              <w:rPr>
                <w:sz w:val="1"/>
                <w:szCs w:val="1"/>
                <w:color w:val="auto"/>
              </w:rPr>
            </w:pPr>
          </w:p>
        </w:tc>
      </w:tr>
      <w:tr>
        <w:trPr>
          <w:trHeight w:val="123"/>
        </w:trPr>
        <w:tc>
          <w:tcPr>
            <w:tcW w:w="1680" w:type="dxa"/>
            <w:vAlign w:val="bottom"/>
          </w:tcPr>
          <w:p>
            <w:pPr>
              <w:spacing w:after="0"/>
              <w:rPr>
                <w:sz w:val="10"/>
                <w:szCs w:val="10"/>
                <w:color w:val="auto"/>
              </w:rPr>
            </w:pPr>
          </w:p>
        </w:tc>
        <w:tc>
          <w:tcPr>
            <w:tcW w:w="4140" w:type="dxa"/>
            <w:vAlign w:val="bottom"/>
            <w:vMerge w:val="restart"/>
          </w:tcPr>
          <w:p>
            <w:pPr>
              <w:ind w:left="180"/>
              <w:spacing w:after="0"/>
              <w:rPr>
                <w:sz w:val="20"/>
                <w:szCs w:val="20"/>
                <w:color w:val="auto"/>
              </w:rPr>
            </w:pPr>
            <w:r>
              <w:rPr>
                <w:rFonts w:ascii="Arial" w:cs="Arial" w:eastAsia="Arial" w:hAnsi="Arial"/>
                <w:sz w:val="14"/>
                <w:szCs w:val="14"/>
                <w:color w:val="auto"/>
              </w:rPr>
              <w:t>executive of a large global company or other large</w:t>
            </w:r>
          </w:p>
        </w:tc>
        <w:tc>
          <w:tcPr>
            <w:tcW w:w="3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680" w:type="dxa"/>
            <w:vAlign w:val="bottom"/>
          </w:tcPr>
          <w:p>
            <w:pPr>
              <w:spacing w:after="0"/>
              <w:rPr>
                <w:sz w:val="4"/>
                <w:szCs w:val="4"/>
                <w:color w:val="auto"/>
              </w:rPr>
            </w:pPr>
          </w:p>
        </w:tc>
        <w:tc>
          <w:tcPr>
            <w:tcW w:w="4140" w:type="dxa"/>
            <w:vAlign w:val="bottom"/>
            <w:vMerge w:val="continue"/>
          </w:tcPr>
          <w:p>
            <w:pPr>
              <w:spacing w:after="0"/>
              <w:rPr>
                <w:sz w:val="4"/>
                <w:szCs w:val="4"/>
                <w:color w:val="auto"/>
              </w:rPr>
            </w:pPr>
          </w:p>
        </w:tc>
        <w:tc>
          <w:tcPr>
            <w:tcW w:w="140" w:type="dxa"/>
            <w:vAlign w:val="bottom"/>
            <w:vMerge w:val="restart"/>
          </w:tcPr>
          <w:p>
            <w:pPr>
              <w:ind w:left="60"/>
              <w:spacing w:after="0"/>
              <w:rPr>
                <w:sz w:val="20"/>
                <w:szCs w:val="20"/>
                <w:color w:val="auto"/>
              </w:rPr>
            </w:pPr>
            <w:r>
              <w:rPr>
                <w:rFonts w:ascii="Arial" w:cs="Arial" w:eastAsia="Arial" w:hAnsi="Arial"/>
                <w:sz w:val="14"/>
                <w:szCs w:val="14"/>
                <w:color w:val="582C83"/>
              </w:rPr>
              <w:t>•</w:t>
            </w:r>
          </w:p>
        </w:tc>
        <w:tc>
          <w:tcPr>
            <w:tcW w:w="3080" w:type="dxa"/>
            <w:vAlign w:val="bottom"/>
            <w:vMerge w:val="restart"/>
          </w:tcPr>
          <w:p>
            <w:pPr>
              <w:ind w:left="40"/>
              <w:spacing w:after="0"/>
              <w:rPr>
                <w:sz w:val="20"/>
                <w:szCs w:val="20"/>
                <w:color w:val="auto"/>
              </w:rPr>
            </w:pPr>
            <w:r>
              <w:rPr>
                <w:rFonts w:ascii="Arial" w:cs="Arial" w:eastAsia="Arial" w:hAnsi="Arial"/>
                <w:sz w:val="14"/>
                <w:szCs w:val="14"/>
                <w:color w:val="auto"/>
              </w:rPr>
              <w:t>Manufacturing operations</w:t>
            </w:r>
          </w:p>
        </w:tc>
        <w:tc>
          <w:tcPr>
            <w:tcW w:w="0" w:type="dxa"/>
            <w:vAlign w:val="bottom"/>
          </w:tcPr>
          <w:p>
            <w:pPr>
              <w:spacing w:after="0"/>
              <w:rPr>
                <w:sz w:val="1"/>
                <w:szCs w:val="1"/>
                <w:color w:val="auto"/>
              </w:rPr>
            </w:pPr>
          </w:p>
        </w:tc>
      </w:tr>
      <w:tr>
        <w:trPr>
          <w:trHeight w:val="175"/>
        </w:trPr>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SIGNIFICANT</w:t>
            </w:r>
          </w:p>
        </w:tc>
        <w:tc>
          <w:tcPr>
            <w:tcW w:w="4140" w:type="dxa"/>
            <w:vAlign w:val="bottom"/>
          </w:tcPr>
          <w:p>
            <w:pPr>
              <w:ind w:left="180"/>
              <w:spacing w:after="0"/>
              <w:rPr>
                <w:sz w:val="20"/>
                <w:szCs w:val="20"/>
                <w:color w:val="auto"/>
              </w:rPr>
            </w:pPr>
            <w:r>
              <w:rPr>
                <w:rFonts w:ascii="Arial" w:cs="Arial" w:eastAsia="Arial" w:hAnsi="Arial"/>
                <w:sz w:val="14"/>
                <w:szCs w:val="14"/>
                <w:color w:val="auto"/>
              </w:rPr>
              <w:t>organization gives a director specific insight and expertise</w:t>
            </w:r>
          </w:p>
        </w:tc>
        <w:tc>
          <w:tcPr>
            <w:tcW w:w="140" w:type="dxa"/>
            <w:vAlign w:val="bottom"/>
            <w:vMerge w:val="continue"/>
          </w:tcPr>
          <w:p>
            <w:pPr>
              <w:spacing w:after="0"/>
              <w:rPr>
                <w:sz w:val="15"/>
                <w:szCs w:val="15"/>
                <w:color w:val="auto"/>
              </w:rPr>
            </w:pPr>
          </w:p>
        </w:tc>
        <w:tc>
          <w:tcPr>
            <w:tcW w:w="3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80" w:type="dxa"/>
            <w:vAlign w:val="bottom"/>
            <w:vMerge w:val="continue"/>
          </w:tcPr>
          <w:p>
            <w:pPr>
              <w:spacing w:after="0"/>
              <w:rPr>
                <w:sz w:val="12"/>
                <w:szCs w:val="12"/>
                <w:color w:val="auto"/>
              </w:rPr>
            </w:pPr>
          </w:p>
        </w:tc>
        <w:tc>
          <w:tcPr>
            <w:tcW w:w="4140" w:type="dxa"/>
            <w:vAlign w:val="bottom"/>
          </w:tcPr>
          <w:p>
            <w:pPr>
              <w:ind w:left="180"/>
              <w:spacing w:after="0" w:line="145" w:lineRule="exact"/>
              <w:rPr>
                <w:sz w:val="20"/>
                <w:szCs w:val="20"/>
                <w:color w:val="auto"/>
              </w:rPr>
            </w:pPr>
            <w:r>
              <w:rPr>
                <w:rFonts w:ascii="Arial" w:cs="Arial" w:eastAsia="Arial" w:hAnsi="Arial"/>
                <w:sz w:val="14"/>
                <w:szCs w:val="14"/>
                <w:color w:val="auto"/>
              </w:rPr>
              <w:t>that will foster active participation in the development and</w:t>
            </w:r>
          </w:p>
        </w:tc>
        <w:tc>
          <w:tcPr>
            <w:tcW w:w="140" w:type="dxa"/>
            <w:vAlign w:val="bottom"/>
          </w:tcPr>
          <w:p>
            <w:pPr>
              <w:ind w:left="60"/>
              <w:spacing w:after="0" w:line="145" w:lineRule="exact"/>
              <w:rPr>
                <w:sz w:val="20"/>
                <w:szCs w:val="20"/>
                <w:color w:val="auto"/>
              </w:rPr>
            </w:pPr>
            <w:r>
              <w:rPr>
                <w:rFonts w:ascii="Arial" w:cs="Arial" w:eastAsia="Arial" w:hAnsi="Arial"/>
                <w:sz w:val="14"/>
                <w:szCs w:val="14"/>
                <w:color w:val="582C83"/>
              </w:rPr>
              <w:t>•</w:t>
            </w:r>
          </w:p>
        </w:tc>
        <w:tc>
          <w:tcPr>
            <w:tcW w:w="3080" w:type="dxa"/>
            <w:vAlign w:val="bottom"/>
          </w:tcPr>
          <w:p>
            <w:pPr>
              <w:ind w:left="40"/>
              <w:spacing w:after="0" w:line="145" w:lineRule="exact"/>
              <w:rPr>
                <w:sz w:val="20"/>
                <w:szCs w:val="20"/>
                <w:color w:val="auto"/>
              </w:rPr>
            </w:pPr>
            <w:r>
              <w:rPr>
                <w:rFonts w:ascii="Arial" w:cs="Arial" w:eastAsia="Arial" w:hAnsi="Arial"/>
                <w:sz w:val="14"/>
                <w:szCs w:val="14"/>
                <w:color w:val="auto"/>
              </w:rPr>
              <w:t>Retail operations</w:t>
            </w:r>
          </w:p>
        </w:tc>
        <w:tc>
          <w:tcPr>
            <w:tcW w:w="0" w:type="dxa"/>
            <w:vAlign w:val="bottom"/>
          </w:tcPr>
          <w:p>
            <w:pPr>
              <w:spacing w:after="0"/>
              <w:rPr>
                <w:sz w:val="1"/>
                <w:szCs w:val="1"/>
                <w:color w:val="auto"/>
              </w:rPr>
            </w:pPr>
          </w:p>
        </w:tc>
      </w:tr>
      <w:tr>
        <w:trPr>
          <w:trHeight w:val="229"/>
        </w:trPr>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OPERATING</w:t>
            </w:r>
          </w:p>
        </w:tc>
        <w:tc>
          <w:tcPr>
            <w:tcW w:w="4140" w:type="dxa"/>
            <w:vAlign w:val="bottom"/>
          </w:tcPr>
          <w:p>
            <w:pPr>
              <w:ind w:left="180"/>
              <w:spacing w:after="0"/>
              <w:rPr>
                <w:sz w:val="20"/>
                <w:szCs w:val="20"/>
                <w:color w:val="auto"/>
              </w:rPr>
            </w:pPr>
            <w:r>
              <w:rPr>
                <w:rFonts w:ascii="Arial" w:cs="Arial" w:eastAsia="Arial" w:hAnsi="Arial"/>
                <w:sz w:val="14"/>
                <w:szCs w:val="14"/>
                <w:color w:val="auto"/>
              </w:rPr>
              <w:t>implementation of the Company’s operating plan and</w:t>
            </w:r>
          </w:p>
        </w:tc>
        <w:tc>
          <w:tcPr>
            <w:tcW w:w="140" w:type="dxa"/>
            <w:vAlign w:val="bottom"/>
          </w:tcPr>
          <w:p>
            <w:pPr>
              <w:ind w:left="60"/>
              <w:spacing w:after="0"/>
              <w:rPr>
                <w:sz w:val="20"/>
                <w:szCs w:val="20"/>
                <w:color w:val="auto"/>
              </w:rPr>
            </w:pPr>
            <w:r>
              <w:rPr>
                <w:rFonts w:ascii="Arial" w:cs="Arial" w:eastAsia="Arial" w:hAnsi="Arial"/>
                <w:sz w:val="17"/>
                <w:szCs w:val="17"/>
                <w:color w:val="582C83"/>
              </w:rPr>
              <w:t>•</w:t>
            </w:r>
          </w:p>
        </w:tc>
        <w:tc>
          <w:tcPr>
            <w:tcW w:w="3080" w:type="dxa"/>
            <w:vAlign w:val="bottom"/>
          </w:tcPr>
          <w:p>
            <w:pPr>
              <w:ind w:left="40"/>
              <w:spacing w:after="0"/>
              <w:rPr>
                <w:sz w:val="20"/>
                <w:szCs w:val="20"/>
                <w:color w:val="auto"/>
              </w:rPr>
            </w:pPr>
            <w:r>
              <w:rPr>
                <w:rFonts w:ascii="Arial" w:cs="Arial" w:eastAsia="Arial" w:hAnsi="Arial"/>
                <w:sz w:val="14"/>
                <w:szCs w:val="14"/>
                <w:color w:val="auto"/>
              </w:rPr>
              <w:t>Technology/information technology strategy</w:t>
            </w:r>
          </w:p>
        </w:tc>
        <w:tc>
          <w:tcPr>
            <w:tcW w:w="0" w:type="dxa"/>
            <w:vAlign w:val="bottom"/>
          </w:tcPr>
          <w:p>
            <w:pPr>
              <w:spacing w:after="0"/>
              <w:rPr>
                <w:sz w:val="1"/>
                <w:szCs w:val="1"/>
                <w:color w:val="auto"/>
              </w:rPr>
            </w:pPr>
          </w:p>
        </w:tc>
      </w:tr>
      <w:tr>
        <w:trPr>
          <w:trHeight w:val="210"/>
        </w:trPr>
        <w:tc>
          <w:tcPr>
            <w:tcW w:w="1680" w:type="dxa"/>
            <w:vAlign w:val="bottom"/>
            <w:tcBorders>
              <w:bottom w:val="single" w:sz="8" w:color="582C83"/>
            </w:tcBorders>
          </w:tcPr>
          <w:p>
            <w:pPr>
              <w:jc w:val="center"/>
              <w:spacing w:after="0"/>
              <w:rPr>
                <w:sz w:val="20"/>
                <w:szCs w:val="20"/>
                <w:color w:val="auto"/>
              </w:rPr>
            </w:pPr>
            <w:r>
              <w:rPr>
                <w:rFonts w:ascii="Arial" w:cs="Arial" w:eastAsia="Arial" w:hAnsi="Arial"/>
                <w:sz w:val="14"/>
                <w:szCs w:val="14"/>
                <w:b w:val="1"/>
                <w:bCs w:val="1"/>
                <w:color w:val="auto"/>
              </w:rPr>
              <w:t>EXPERIENCE</w:t>
            </w:r>
          </w:p>
        </w:tc>
        <w:tc>
          <w:tcPr>
            <w:tcW w:w="4140" w:type="dxa"/>
            <w:vAlign w:val="bottom"/>
            <w:tcBorders>
              <w:bottom w:val="single" w:sz="8" w:color="582C83"/>
            </w:tcBorders>
          </w:tcPr>
          <w:p>
            <w:pPr>
              <w:ind w:left="180"/>
              <w:spacing w:after="0"/>
              <w:rPr>
                <w:sz w:val="20"/>
                <w:szCs w:val="20"/>
                <w:color w:val="auto"/>
              </w:rPr>
            </w:pPr>
            <w:r>
              <w:rPr>
                <w:rFonts w:ascii="Arial" w:cs="Arial" w:eastAsia="Arial" w:hAnsi="Arial"/>
                <w:sz w:val="14"/>
                <w:szCs w:val="14"/>
                <w:color w:val="auto"/>
              </w:rPr>
              <w:t>business strategy.</w:t>
            </w:r>
          </w:p>
        </w:tc>
        <w:tc>
          <w:tcPr>
            <w:tcW w:w="140" w:type="dxa"/>
            <w:vAlign w:val="bottom"/>
            <w:tcBorders>
              <w:bottom w:val="single" w:sz="8" w:color="582C83"/>
            </w:tcBorders>
          </w:tcPr>
          <w:p>
            <w:pPr>
              <w:spacing w:after="0"/>
              <w:rPr>
                <w:sz w:val="18"/>
                <w:szCs w:val="18"/>
                <w:color w:val="auto"/>
              </w:rPr>
            </w:pPr>
          </w:p>
        </w:tc>
        <w:tc>
          <w:tcPr>
            <w:tcW w:w="3080" w:type="dxa"/>
            <w:vAlign w:val="bottom"/>
            <w:tcBorders>
              <w:bottom w:val="single" w:sz="8" w:color="582C83"/>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680" w:type="dxa"/>
            <w:vAlign w:val="bottom"/>
            <w:shd w:val="clear" w:color="auto" w:fill="E7E1F0"/>
          </w:tcPr>
          <w:p>
            <w:pPr>
              <w:spacing w:after="0"/>
              <w:rPr>
                <w:sz w:val="21"/>
                <w:szCs w:val="21"/>
                <w:color w:val="auto"/>
              </w:rPr>
            </w:pPr>
          </w:p>
        </w:tc>
        <w:tc>
          <w:tcPr>
            <w:tcW w:w="4140" w:type="dxa"/>
            <w:vAlign w:val="bottom"/>
            <w:vMerge w:val="restart"/>
            <w:shd w:val="clear" w:color="auto" w:fill="E7E1F0"/>
          </w:tcPr>
          <w:p>
            <w:pPr>
              <w:ind w:left="180"/>
              <w:spacing w:after="0"/>
              <w:rPr>
                <w:sz w:val="20"/>
                <w:szCs w:val="20"/>
                <w:color w:val="auto"/>
              </w:rPr>
            </w:pPr>
            <w:r>
              <w:rPr>
                <w:rFonts w:ascii="Arial" w:cs="Arial" w:eastAsia="Arial" w:hAnsi="Arial"/>
                <w:sz w:val="14"/>
                <w:szCs w:val="14"/>
                <w:color w:val="auto"/>
              </w:rPr>
              <w:t>Leadership Experience gives a director the ability to</w:t>
            </w:r>
          </w:p>
        </w:tc>
        <w:tc>
          <w:tcPr>
            <w:tcW w:w="140" w:type="dxa"/>
            <w:vAlign w:val="bottom"/>
            <w:shd w:val="clear" w:color="auto" w:fill="E7E1F0"/>
          </w:tcPr>
          <w:p>
            <w:pPr>
              <w:ind w:left="60"/>
              <w:spacing w:after="0"/>
              <w:rPr>
                <w:sz w:val="20"/>
                <w:szCs w:val="20"/>
                <w:color w:val="auto"/>
              </w:rPr>
            </w:pPr>
            <w:r>
              <w:rPr>
                <w:rFonts w:ascii="Arial" w:cs="Arial" w:eastAsia="Arial" w:hAnsi="Arial"/>
                <w:sz w:val="14"/>
                <w:szCs w:val="14"/>
                <w:color w:val="582C83"/>
              </w:rPr>
              <w:t>•</w:t>
            </w:r>
          </w:p>
        </w:tc>
        <w:tc>
          <w:tcPr>
            <w:tcW w:w="3080" w:type="dxa"/>
            <w:vAlign w:val="bottom"/>
            <w:shd w:val="clear" w:color="auto" w:fill="E7E1F0"/>
          </w:tcPr>
          <w:p>
            <w:pPr>
              <w:ind w:left="40"/>
              <w:spacing w:after="0"/>
              <w:rPr>
                <w:sz w:val="20"/>
                <w:szCs w:val="20"/>
                <w:color w:val="auto"/>
              </w:rPr>
            </w:pPr>
            <w:r>
              <w:rPr>
                <w:rFonts w:ascii="Arial" w:cs="Arial" w:eastAsia="Arial" w:hAnsi="Arial"/>
                <w:sz w:val="14"/>
                <w:szCs w:val="14"/>
                <w:color w:val="auto"/>
              </w:rPr>
              <w:t>CEO/COO or other leadership positions at</w:t>
            </w:r>
          </w:p>
        </w:tc>
        <w:tc>
          <w:tcPr>
            <w:tcW w:w="0" w:type="dxa"/>
            <w:vAlign w:val="bottom"/>
          </w:tcPr>
          <w:p>
            <w:pPr>
              <w:spacing w:after="0"/>
              <w:rPr>
                <w:sz w:val="1"/>
                <w:szCs w:val="1"/>
                <w:color w:val="auto"/>
              </w:rPr>
            </w:pPr>
          </w:p>
        </w:tc>
      </w:tr>
      <w:tr>
        <w:trPr>
          <w:trHeight w:val="162"/>
        </w:trPr>
        <w:tc>
          <w:tcPr>
            <w:tcW w:w="1680" w:type="dxa"/>
            <w:vAlign w:val="bottom"/>
            <w:shd w:val="clear" w:color="auto" w:fill="E7E1F0"/>
          </w:tcPr>
          <w:p>
            <w:pPr>
              <w:spacing w:after="0"/>
              <w:rPr>
                <w:sz w:val="14"/>
                <w:szCs w:val="14"/>
                <w:color w:val="auto"/>
              </w:rPr>
            </w:pPr>
          </w:p>
        </w:tc>
        <w:tc>
          <w:tcPr>
            <w:tcW w:w="4140" w:type="dxa"/>
            <w:vAlign w:val="bottom"/>
            <w:vMerge w:val="continue"/>
            <w:shd w:val="clear" w:color="auto" w:fill="E7E1F0"/>
          </w:tcPr>
          <w:p>
            <w:pPr>
              <w:spacing w:after="0"/>
              <w:rPr>
                <w:sz w:val="14"/>
                <w:szCs w:val="14"/>
                <w:color w:val="auto"/>
              </w:rPr>
            </w:pPr>
          </w:p>
        </w:tc>
        <w:tc>
          <w:tcPr>
            <w:tcW w:w="140" w:type="dxa"/>
            <w:vAlign w:val="bottom"/>
            <w:shd w:val="clear" w:color="auto" w:fill="E7E1F0"/>
          </w:tcPr>
          <w:p>
            <w:pPr>
              <w:spacing w:after="0"/>
              <w:rPr>
                <w:sz w:val="14"/>
                <w:szCs w:val="14"/>
                <w:color w:val="auto"/>
              </w:rPr>
            </w:pPr>
          </w:p>
        </w:tc>
        <w:tc>
          <w:tcPr>
            <w:tcW w:w="3080" w:type="dxa"/>
            <w:vAlign w:val="bottom"/>
            <w:shd w:val="clear" w:color="auto" w:fill="E7E1F0"/>
          </w:tcPr>
          <w:p>
            <w:pPr>
              <w:ind w:left="40"/>
              <w:spacing w:after="0"/>
              <w:rPr>
                <w:sz w:val="20"/>
                <w:szCs w:val="20"/>
                <w:color w:val="auto"/>
              </w:rPr>
            </w:pPr>
            <w:r>
              <w:rPr>
                <w:rFonts w:ascii="Arial" w:cs="Arial" w:eastAsia="Arial" w:hAnsi="Arial"/>
                <w:sz w:val="14"/>
                <w:szCs w:val="14"/>
                <w:color w:val="auto"/>
              </w:rPr>
              <w:t>complex organizations</w:t>
            </w:r>
          </w:p>
        </w:tc>
        <w:tc>
          <w:tcPr>
            <w:tcW w:w="0" w:type="dxa"/>
            <w:vAlign w:val="bottom"/>
          </w:tcPr>
          <w:p>
            <w:pPr>
              <w:spacing w:after="0"/>
              <w:rPr>
                <w:sz w:val="1"/>
                <w:szCs w:val="1"/>
                <w:color w:val="auto"/>
              </w:rPr>
            </w:pPr>
          </w:p>
        </w:tc>
      </w:tr>
      <w:tr>
        <w:trPr>
          <w:trHeight w:val="176"/>
        </w:trPr>
        <w:tc>
          <w:tcPr>
            <w:tcW w:w="1680" w:type="dxa"/>
            <w:vAlign w:val="bottom"/>
            <w:shd w:val="clear" w:color="auto" w:fill="E7E1F0"/>
          </w:tcPr>
          <w:p>
            <w:pPr>
              <w:spacing w:after="0"/>
              <w:rPr>
                <w:sz w:val="15"/>
                <w:szCs w:val="15"/>
                <w:color w:val="auto"/>
              </w:rPr>
            </w:pPr>
          </w:p>
        </w:tc>
        <w:tc>
          <w:tcPr>
            <w:tcW w:w="4140" w:type="dxa"/>
            <w:vAlign w:val="bottom"/>
            <w:shd w:val="clear" w:color="auto" w:fill="E7E1F0"/>
          </w:tcPr>
          <w:p>
            <w:pPr>
              <w:ind w:left="180"/>
              <w:spacing w:after="0"/>
              <w:rPr>
                <w:sz w:val="20"/>
                <w:szCs w:val="20"/>
                <w:color w:val="auto"/>
              </w:rPr>
            </w:pPr>
            <w:r>
              <w:rPr>
                <w:rFonts w:ascii="Arial" w:cs="Arial" w:eastAsia="Arial" w:hAnsi="Arial"/>
                <w:sz w:val="14"/>
                <w:szCs w:val="14"/>
                <w:color w:val="auto"/>
              </w:rPr>
              <w:t>motivate, manage, identify, and develop leadership</w:t>
            </w:r>
          </w:p>
        </w:tc>
        <w:tc>
          <w:tcPr>
            <w:tcW w:w="140" w:type="dxa"/>
            <w:vAlign w:val="bottom"/>
            <w:vMerge w:val="restart"/>
            <w:shd w:val="clear" w:color="auto" w:fill="E7E1F0"/>
          </w:tcPr>
          <w:p>
            <w:pPr>
              <w:ind w:left="60"/>
              <w:spacing w:after="0"/>
              <w:rPr>
                <w:sz w:val="20"/>
                <w:szCs w:val="20"/>
                <w:color w:val="auto"/>
              </w:rPr>
            </w:pPr>
            <w:r>
              <w:rPr>
                <w:rFonts w:ascii="Arial" w:cs="Arial" w:eastAsia="Arial" w:hAnsi="Arial"/>
                <w:sz w:val="14"/>
                <w:szCs w:val="14"/>
                <w:color w:val="582C83"/>
              </w:rPr>
              <w:t>•</w:t>
            </w:r>
          </w:p>
        </w:tc>
        <w:tc>
          <w:tcPr>
            <w:tcW w:w="3080" w:type="dxa"/>
            <w:vAlign w:val="bottom"/>
            <w:vMerge w:val="restart"/>
            <w:shd w:val="clear" w:color="auto" w:fill="E7E1F0"/>
          </w:tcPr>
          <w:p>
            <w:pPr>
              <w:ind w:left="40"/>
              <w:spacing w:after="0"/>
              <w:rPr>
                <w:sz w:val="20"/>
                <w:szCs w:val="20"/>
                <w:color w:val="auto"/>
              </w:rPr>
            </w:pPr>
            <w:r>
              <w:rPr>
                <w:rFonts w:ascii="Arial" w:cs="Arial" w:eastAsia="Arial" w:hAnsi="Arial"/>
                <w:sz w:val="14"/>
                <w:szCs w:val="14"/>
                <w:color w:val="auto"/>
              </w:rPr>
              <w:t>M&amp;A/alliances/partnerships</w:t>
            </w:r>
          </w:p>
        </w:tc>
        <w:tc>
          <w:tcPr>
            <w:tcW w:w="0" w:type="dxa"/>
            <w:vAlign w:val="bottom"/>
          </w:tcPr>
          <w:p>
            <w:pPr>
              <w:spacing w:after="0"/>
              <w:rPr>
                <w:sz w:val="1"/>
                <w:szCs w:val="1"/>
                <w:color w:val="auto"/>
              </w:rPr>
            </w:pPr>
          </w:p>
        </w:tc>
      </w:tr>
      <w:tr>
        <w:trPr>
          <w:trHeight w:val="82"/>
        </w:trPr>
        <w:tc>
          <w:tcPr>
            <w:tcW w:w="1680" w:type="dxa"/>
            <w:vAlign w:val="bottom"/>
            <w:shd w:val="clear" w:color="auto" w:fill="E7E1F0"/>
          </w:tcPr>
          <w:p>
            <w:pPr>
              <w:spacing w:after="0"/>
              <w:rPr>
                <w:sz w:val="7"/>
                <w:szCs w:val="7"/>
                <w:color w:val="auto"/>
              </w:rPr>
            </w:pPr>
          </w:p>
        </w:tc>
        <w:tc>
          <w:tcPr>
            <w:tcW w:w="4140" w:type="dxa"/>
            <w:vAlign w:val="bottom"/>
            <w:vMerge w:val="restart"/>
            <w:shd w:val="clear" w:color="auto" w:fill="E7E1F0"/>
          </w:tcPr>
          <w:p>
            <w:pPr>
              <w:ind w:left="180"/>
              <w:spacing w:after="0"/>
              <w:rPr>
                <w:sz w:val="20"/>
                <w:szCs w:val="20"/>
                <w:color w:val="auto"/>
              </w:rPr>
            </w:pPr>
            <w:r>
              <w:rPr>
                <w:rFonts w:ascii="Arial" w:cs="Arial" w:eastAsia="Arial" w:hAnsi="Arial"/>
                <w:sz w:val="14"/>
                <w:szCs w:val="14"/>
                <w:color w:val="auto"/>
              </w:rPr>
              <w:t>qualities in others and promotes strong critical thinking and</w:t>
            </w:r>
          </w:p>
        </w:tc>
        <w:tc>
          <w:tcPr>
            <w:tcW w:w="140" w:type="dxa"/>
            <w:vAlign w:val="bottom"/>
            <w:vMerge w:val="continue"/>
            <w:shd w:val="clear" w:color="auto" w:fill="E7E1F0"/>
          </w:tcPr>
          <w:p>
            <w:pPr>
              <w:spacing w:after="0"/>
              <w:rPr>
                <w:sz w:val="7"/>
                <w:szCs w:val="7"/>
                <w:color w:val="auto"/>
              </w:rPr>
            </w:pPr>
          </w:p>
        </w:tc>
        <w:tc>
          <w:tcPr>
            <w:tcW w:w="3080" w:type="dxa"/>
            <w:vAlign w:val="bottom"/>
            <w:vMerge w:val="continue"/>
            <w:shd w:val="clear" w:color="auto" w:fill="E7E1F0"/>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shd w:val="clear" w:color="auto" w:fill="E7E1F0"/>
          </w:tcPr>
          <w:p>
            <w:pPr>
              <w:spacing w:after="0"/>
              <w:rPr>
                <w:sz w:val="8"/>
                <w:szCs w:val="8"/>
                <w:color w:val="auto"/>
              </w:rPr>
            </w:pPr>
          </w:p>
        </w:tc>
        <w:tc>
          <w:tcPr>
            <w:tcW w:w="4140" w:type="dxa"/>
            <w:vAlign w:val="bottom"/>
            <w:vMerge w:val="continue"/>
            <w:shd w:val="clear" w:color="auto" w:fill="E7E1F0"/>
          </w:tcPr>
          <w:p>
            <w:pPr>
              <w:spacing w:after="0"/>
              <w:rPr>
                <w:sz w:val="8"/>
                <w:szCs w:val="8"/>
                <w:color w:val="auto"/>
              </w:rPr>
            </w:pPr>
          </w:p>
        </w:tc>
        <w:tc>
          <w:tcPr>
            <w:tcW w:w="140" w:type="dxa"/>
            <w:vAlign w:val="bottom"/>
            <w:vMerge w:val="restart"/>
            <w:shd w:val="clear" w:color="auto" w:fill="E7E1F0"/>
          </w:tcPr>
          <w:p>
            <w:pPr>
              <w:ind w:left="60"/>
              <w:spacing w:after="0"/>
              <w:rPr>
                <w:sz w:val="20"/>
                <w:szCs w:val="20"/>
                <w:color w:val="auto"/>
              </w:rPr>
            </w:pPr>
            <w:r>
              <w:rPr>
                <w:rFonts w:ascii="Arial" w:cs="Arial" w:eastAsia="Arial" w:hAnsi="Arial"/>
                <w:sz w:val="14"/>
                <w:szCs w:val="14"/>
                <w:color w:val="582C83"/>
              </w:rPr>
              <w:t>•</w:t>
            </w:r>
          </w:p>
        </w:tc>
        <w:tc>
          <w:tcPr>
            <w:tcW w:w="3080" w:type="dxa"/>
            <w:vAlign w:val="bottom"/>
            <w:vMerge w:val="restart"/>
            <w:shd w:val="clear" w:color="auto" w:fill="E7E1F0"/>
          </w:tcPr>
          <w:p>
            <w:pPr>
              <w:ind w:left="40"/>
              <w:spacing w:after="0"/>
              <w:rPr>
                <w:sz w:val="20"/>
                <w:szCs w:val="20"/>
                <w:color w:val="auto"/>
              </w:rPr>
            </w:pPr>
            <w:r>
              <w:rPr>
                <w:rFonts w:ascii="Arial" w:cs="Arial" w:eastAsia="Arial" w:hAnsi="Arial"/>
                <w:sz w:val="14"/>
                <w:szCs w:val="14"/>
                <w:color w:val="auto"/>
              </w:rPr>
              <w:t>Strategic planning</w:t>
            </w:r>
          </w:p>
        </w:tc>
        <w:tc>
          <w:tcPr>
            <w:tcW w:w="0" w:type="dxa"/>
            <w:vAlign w:val="bottom"/>
          </w:tcPr>
          <w:p>
            <w:pPr>
              <w:spacing w:after="0"/>
              <w:rPr>
                <w:sz w:val="1"/>
                <w:szCs w:val="1"/>
                <w:color w:val="auto"/>
              </w:rPr>
            </w:pPr>
          </w:p>
        </w:tc>
      </w:tr>
      <w:tr>
        <w:trPr>
          <w:trHeight w:val="123"/>
        </w:trPr>
        <w:tc>
          <w:tcPr>
            <w:tcW w:w="1680" w:type="dxa"/>
            <w:vAlign w:val="bottom"/>
            <w:vMerge w:val="restart"/>
            <w:shd w:val="clear" w:color="auto" w:fill="E7E1F0"/>
          </w:tcPr>
          <w:p>
            <w:pPr>
              <w:jc w:val="center"/>
              <w:spacing w:after="0"/>
              <w:rPr>
                <w:sz w:val="20"/>
                <w:szCs w:val="20"/>
                <w:color w:val="auto"/>
              </w:rPr>
            </w:pPr>
            <w:r>
              <w:rPr>
                <w:rFonts w:ascii="Arial" w:cs="Arial" w:eastAsia="Arial" w:hAnsi="Arial"/>
                <w:sz w:val="14"/>
                <w:szCs w:val="14"/>
                <w:b w:val="1"/>
                <w:bCs w:val="1"/>
                <w:color w:val="auto"/>
              </w:rPr>
              <w:t>LEADERSHIP</w:t>
            </w:r>
          </w:p>
        </w:tc>
        <w:tc>
          <w:tcPr>
            <w:tcW w:w="4140" w:type="dxa"/>
            <w:vAlign w:val="bottom"/>
            <w:vMerge w:val="restart"/>
            <w:shd w:val="clear" w:color="auto" w:fill="E7E1F0"/>
          </w:tcPr>
          <w:p>
            <w:pPr>
              <w:ind w:left="180"/>
              <w:spacing w:after="0"/>
              <w:rPr>
                <w:sz w:val="20"/>
                <w:szCs w:val="20"/>
                <w:color w:val="auto"/>
              </w:rPr>
            </w:pPr>
            <w:r>
              <w:rPr>
                <w:rFonts w:ascii="Arial" w:cs="Arial" w:eastAsia="Arial" w:hAnsi="Arial"/>
                <w:sz w:val="14"/>
                <w:szCs w:val="14"/>
                <w:color w:val="auto"/>
              </w:rPr>
              <w:t>verbal communication skills, as well as diverse views and</w:t>
            </w:r>
          </w:p>
        </w:tc>
        <w:tc>
          <w:tcPr>
            <w:tcW w:w="140" w:type="dxa"/>
            <w:vAlign w:val="bottom"/>
            <w:vMerge w:val="continue"/>
            <w:shd w:val="clear" w:color="auto" w:fill="E7E1F0"/>
          </w:tcPr>
          <w:p>
            <w:pPr>
              <w:spacing w:after="0"/>
              <w:rPr>
                <w:sz w:val="10"/>
                <w:szCs w:val="10"/>
                <w:color w:val="auto"/>
              </w:rPr>
            </w:pPr>
          </w:p>
        </w:tc>
        <w:tc>
          <w:tcPr>
            <w:tcW w:w="3080" w:type="dxa"/>
            <w:vAlign w:val="bottom"/>
            <w:vMerge w:val="continue"/>
            <w:shd w:val="clear" w:color="auto" w:fill="E7E1F0"/>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680" w:type="dxa"/>
            <w:vAlign w:val="bottom"/>
            <w:vMerge w:val="continue"/>
            <w:shd w:val="clear" w:color="auto" w:fill="E7E1F0"/>
          </w:tcPr>
          <w:p>
            <w:pPr>
              <w:spacing w:after="0"/>
              <w:rPr>
                <w:sz w:val="4"/>
                <w:szCs w:val="4"/>
                <w:color w:val="auto"/>
              </w:rPr>
            </w:pPr>
          </w:p>
        </w:tc>
        <w:tc>
          <w:tcPr>
            <w:tcW w:w="4140" w:type="dxa"/>
            <w:vAlign w:val="bottom"/>
            <w:vMerge w:val="continue"/>
            <w:shd w:val="clear" w:color="auto" w:fill="E7E1F0"/>
          </w:tcPr>
          <w:p>
            <w:pPr>
              <w:spacing w:after="0"/>
              <w:rPr>
                <w:sz w:val="4"/>
                <w:szCs w:val="4"/>
                <w:color w:val="auto"/>
              </w:rPr>
            </w:pPr>
          </w:p>
        </w:tc>
        <w:tc>
          <w:tcPr>
            <w:tcW w:w="140" w:type="dxa"/>
            <w:vAlign w:val="bottom"/>
            <w:vMerge w:val="restart"/>
            <w:shd w:val="clear" w:color="auto" w:fill="E7E1F0"/>
          </w:tcPr>
          <w:p>
            <w:pPr>
              <w:ind w:left="60"/>
              <w:spacing w:after="0"/>
              <w:rPr>
                <w:sz w:val="20"/>
                <w:szCs w:val="20"/>
                <w:color w:val="auto"/>
              </w:rPr>
            </w:pPr>
            <w:r>
              <w:rPr>
                <w:rFonts w:ascii="Arial" w:cs="Arial" w:eastAsia="Arial" w:hAnsi="Arial"/>
                <w:sz w:val="14"/>
                <w:szCs w:val="14"/>
                <w:color w:val="582C83"/>
              </w:rPr>
              <w:t>•</w:t>
            </w:r>
          </w:p>
        </w:tc>
        <w:tc>
          <w:tcPr>
            <w:tcW w:w="3080" w:type="dxa"/>
            <w:vAlign w:val="bottom"/>
            <w:vMerge w:val="restart"/>
            <w:shd w:val="clear" w:color="auto" w:fill="E7E1F0"/>
          </w:tcPr>
          <w:p>
            <w:pPr>
              <w:ind w:left="40"/>
              <w:spacing w:after="0"/>
              <w:rPr>
                <w:sz w:val="20"/>
                <w:szCs w:val="20"/>
                <w:color w:val="auto"/>
              </w:rPr>
            </w:pPr>
            <w:r>
              <w:rPr>
                <w:rFonts w:ascii="Arial" w:cs="Arial" w:eastAsia="Arial" w:hAnsi="Arial"/>
                <w:sz w:val="14"/>
                <w:szCs w:val="14"/>
                <w:color w:val="auto"/>
              </w:rPr>
              <w:t>Talent assessment and people development/</w:t>
            </w:r>
          </w:p>
        </w:tc>
        <w:tc>
          <w:tcPr>
            <w:tcW w:w="0" w:type="dxa"/>
            <w:vAlign w:val="bottom"/>
          </w:tcPr>
          <w:p>
            <w:pPr>
              <w:spacing w:after="0"/>
              <w:rPr>
                <w:sz w:val="1"/>
                <w:szCs w:val="1"/>
                <w:color w:val="auto"/>
              </w:rPr>
            </w:pPr>
          </w:p>
        </w:tc>
      </w:tr>
      <w:tr>
        <w:trPr>
          <w:trHeight w:val="176"/>
        </w:trPr>
        <w:tc>
          <w:tcPr>
            <w:tcW w:w="1680" w:type="dxa"/>
            <w:vAlign w:val="bottom"/>
            <w:shd w:val="clear" w:color="auto" w:fill="E7E1F0"/>
          </w:tcPr>
          <w:p>
            <w:pPr>
              <w:jc w:val="center"/>
              <w:spacing w:after="0"/>
              <w:rPr>
                <w:sz w:val="20"/>
                <w:szCs w:val="20"/>
                <w:color w:val="auto"/>
              </w:rPr>
            </w:pPr>
            <w:r>
              <w:rPr>
                <w:rFonts w:ascii="Arial" w:cs="Arial" w:eastAsia="Arial" w:hAnsi="Arial"/>
                <w:sz w:val="14"/>
                <w:szCs w:val="14"/>
                <w:b w:val="1"/>
                <w:bCs w:val="1"/>
                <w:color w:val="auto"/>
              </w:rPr>
              <w:t>EXPERIENCE</w:t>
            </w:r>
          </w:p>
        </w:tc>
        <w:tc>
          <w:tcPr>
            <w:tcW w:w="4140" w:type="dxa"/>
            <w:vAlign w:val="bottom"/>
            <w:shd w:val="clear" w:color="auto" w:fill="E7E1F0"/>
          </w:tcPr>
          <w:p>
            <w:pPr>
              <w:ind w:left="180"/>
              <w:spacing w:after="0"/>
              <w:rPr>
                <w:sz w:val="20"/>
                <w:szCs w:val="20"/>
                <w:color w:val="auto"/>
              </w:rPr>
            </w:pPr>
            <w:r>
              <w:rPr>
                <w:rFonts w:ascii="Arial" w:cs="Arial" w:eastAsia="Arial" w:hAnsi="Arial"/>
                <w:sz w:val="14"/>
                <w:szCs w:val="14"/>
                <w:color w:val="auto"/>
              </w:rPr>
              <w:t>thought processes.</w:t>
            </w:r>
          </w:p>
        </w:tc>
        <w:tc>
          <w:tcPr>
            <w:tcW w:w="140" w:type="dxa"/>
            <w:vAlign w:val="bottom"/>
            <w:vMerge w:val="continue"/>
            <w:shd w:val="clear" w:color="auto" w:fill="E7E1F0"/>
          </w:tcPr>
          <w:p>
            <w:pPr>
              <w:spacing w:after="0"/>
              <w:rPr>
                <w:sz w:val="15"/>
                <w:szCs w:val="15"/>
                <w:color w:val="auto"/>
              </w:rPr>
            </w:pPr>
          </w:p>
        </w:tc>
        <w:tc>
          <w:tcPr>
            <w:tcW w:w="3080" w:type="dxa"/>
            <w:vAlign w:val="bottom"/>
            <w:vMerge w:val="continue"/>
            <w:shd w:val="clear" w:color="auto" w:fill="E7E1F0"/>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680" w:type="dxa"/>
            <w:vAlign w:val="bottom"/>
            <w:tcBorders>
              <w:bottom w:val="single" w:sz="8" w:color="E7E1F0"/>
            </w:tcBorders>
            <w:shd w:val="clear" w:color="auto" w:fill="E7E1F0"/>
          </w:tcPr>
          <w:p>
            <w:pPr>
              <w:spacing w:after="0"/>
              <w:rPr>
                <w:sz w:val="19"/>
                <w:szCs w:val="19"/>
                <w:color w:val="auto"/>
              </w:rPr>
            </w:pPr>
          </w:p>
        </w:tc>
        <w:tc>
          <w:tcPr>
            <w:tcW w:w="4140" w:type="dxa"/>
            <w:vAlign w:val="bottom"/>
            <w:tcBorders>
              <w:bottom w:val="single" w:sz="8" w:color="E7E1F0"/>
            </w:tcBorders>
            <w:shd w:val="clear" w:color="auto" w:fill="E7E1F0"/>
          </w:tcPr>
          <w:p>
            <w:pPr>
              <w:spacing w:after="0"/>
              <w:rPr>
                <w:sz w:val="19"/>
                <w:szCs w:val="19"/>
                <w:color w:val="auto"/>
              </w:rPr>
            </w:pPr>
          </w:p>
        </w:tc>
        <w:tc>
          <w:tcPr>
            <w:tcW w:w="140" w:type="dxa"/>
            <w:vAlign w:val="bottom"/>
            <w:tcBorders>
              <w:bottom w:val="single" w:sz="8" w:color="E7E1F0"/>
            </w:tcBorders>
            <w:shd w:val="clear" w:color="auto" w:fill="E7E1F0"/>
          </w:tcPr>
          <w:p>
            <w:pPr>
              <w:spacing w:after="0"/>
              <w:rPr>
                <w:sz w:val="19"/>
                <w:szCs w:val="19"/>
                <w:color w:val="auto"/>
              </w:rPr>
            </w:pPr>
          </w:p>
        </w:tc>
        <w:tc>
          <w:tcPr>
            <w:tcW w:w="3080" w:type="dxa"/>
            <w:vAlign w:val="bottom"/>
            <w:tcBorders>
              <w:bottom w:val="single" w:sz="8" w:color="E7E1F0"/>
            </w:tcBorders>
            <w:shd w:val="clear" w:color="auto" w:fill="E7E1F0"/>
          </w:tcPr>
          <w:p>
            <w:pPr>
              <w:ind w:left="40"/>
              <w:spacing w:after="0"/>
              <w:rPr>
                <w:sz w:val="20"/>
                <w:szCs w:val="20"/>
                <w:color w:val="auto"/>
              </w:rPr>
            </w:pP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20"/>
        </w:trPr>
        <w:tc>
          <w:tcPr>
            <w:tcW w:w="1680" w:type="dxa"/>
            <w:vAlign w:val="bottom"/>
            <w:shd w:val="clear" w:color="auto" w:fill="582C83"/>
          </w:tcPr>
          <w:p>
            <w:pPr>
              <w:spacing w:after="0" w:line="20" w:lineRule="exact"/>
              <w:rPr>
                <w:sz w:val="1"/>
                <w:szCs w:val="1"/>
                <w:color w:val="auto"/>
              </w:rPr>
            </w:pPr>
          </w:p>
        </w:tc>
        <w:tc>
          <w:tcPr>
            <w:tcW w:w="4140" w:type="dxa"/>
            <w:vAlign w:val="bottom"/>
            <w:shd w:val="clear" w:color="auto" w:fill="582C83"/>
          </w:tcPr>
          <w:p>
            <w:pPr>
              <w:spacing w:after="0" w:line="20" w:lineRule="exact"/>
              <w:rPr>
                <w:sz w:val="1"/>
                <w:szCs w:val="1"/>
                <w:color w:val="auto"/>
              </w:rPr>
            </w:pPr>
          </w:p>
        </w:tc>
        <w:tc>
          <w:tcPr>
            <w:tcW w:w="140" w:type="dxa"/>
            <w:vAlign w:val="bottom"/>
            <w:shd w:val="clear" w:color="auto" w:fill="582C83"/>
          </w:tcPr>
          <w:p>
            <w:pPr>
              <w:spacing w:after="0" w:line="20" w:lineRule="exact"/>
              <w:rPr>
                <w:sz w:val="1"/>
                <w:szCs w:val="1"/>
                <w:color w:val="auto"/>
              </w:rPr>
            </w:pPr>
          </w:p>
        </w:tc>
        <w:tc>
          <w:tcPr>
            <w:tcW w:w="3080" w:type="dxa"/>
            <w:vAlign w:val="bottom"/>
            <w:shd w:val="clear" w:color="auto" w:fill="582C8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40"/>
          </w:cols>
          <w:pgMar w:left="1420" w:top="118" w:right="1439" w:bottom="0" w:gutter="0" w:footer="0" w:header="0"/>
        </w:sectPr>
      </w:pPr>
    </w:p>
    <w:p>
      <w:pPr>
        <w:spacing w:after="0" w:line="33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GLOBAL BUSINESS</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AND OTHER</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INTERNATIONAL</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EXPERIENCE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780" w:type="dxa"/>
            <w:vAlign w:val="bottom"/>
            <w:vMerge w:val="restart"/>
          </w:tcPr>
          <w:p>
            <w:pPr>
              <w:spacing w:after="0"/>
              <w:rPr>
                <w:sz w:val="20"/>
                <w:szCs w:val="20"/>
                <w:color w:val="auto"/>
              </w:rPr>
            </w:pPr>
            <w:r>
              <w:rPr>
                <w:rFonts w:ascii="Arial" w:cs="Arial" w:eastAsia="Arial" w:hAnsi="Arial"/>
                <w:sz w:val="14"/>
                <w:szCs w:val="14"/>
                <w:color w:val="auto"/>
              </w:rPr>
              <w:t>Global Business and Other International Experience are</w:t>
            </w:r>
          </w:p>
        </w:tc>
        <w:tc>
          <w:tcPr>
            <w:tcW w:w="3040" w:type="dxa"/>
            <w:vAlign w:val="bottom"/>
          </w:tcPr>
          <w:p>
            <w:pPr>
              <w:ind w:left="240"/>
              <w:spacing w:after="0"/>
              <w:rPr>
                <w:sz w:val="20"/>
                <w:szCs w:val="20"/>
                <w:color w:val="auto"/>
              </w:rPr>
            </w:pPr>
            <w:r>
              <w:rPr>
                <w:rFonts w:ascii="Arial" w:cs="Arial" w:eastAsia="Arial" w:hAnsi="Arial"/>
                <w:sz w:val="14"/>
                <w:szCs w:val="14"/>
                <w:color w:val="582C83"/>
              </w:rPr>
              <w:t xml:space="preserve">• </w:t>
            </w:r>
            <w:r>
              <w:rPr>
                <w:rFonts w:ascii="Arial" w:cs="Arial" w:eastAsia="Arial" w:hAnsi="Arial"/>
                <w:sz w:val="14"/>
                <w:szCs w:val="14"/>
                <w:color w:val="000000"/>
              </w:rPr>
              <w:t>Developed markets</w:t>
            </w:r>
          </w:p>
        </w:tc>
        <w:tc>
          <w:tcPr>
            <w:tcW w:w="0" w:type="dxa"/>
            <w:vAlign w:val="bottom"/>
          </w:tcPr>
          <w:p>
            <w:pPr>
              <w:spacing w:after="0"/>
              <w:rPr>
                <w:sz w:val="1"/>
                <w:szCs w:val="1"/>
                <w:color w:val="auto"/>
              </w:rPr>
            </w:pPr>
          </w:p>
        </w:tc>
      </w:tr>
      <w:tr>
        <w:trPr>
          <w:trHeight w:val="134"/>
        </w:trPr>
        <w:tc>
          <w:tcPr>
            <w:tcW w:w="3780" w:type="dxa"/>
            <w:vAlign w:val="bottom"/>
            <w:vMerge w:val="continue"/>
          </w:tcPr>
          <w:p>
            <w:pPr>
              <w:spacing w:after="0"/>
              <w:rPr>
                <w:sz w:val="11"/>
                <w:szCs w:val="11"/>
                <w:color w:val="auto"/>
              </w:rPr>
            </w:pPr>
          </w:p>
        </w:tc>
        <w:tc>
          <w:tcPr>
            <w:tcW w:w="3040" w:type="dxa"/>
            <w:vAlign w:val="bottom"/>
            <w:vMerge w:val="restart"/>
          </w:tcPr>
          <w:p>
            <w:pPr>
              <w:ind w:left="240"/>
              <w:spacing w:after="0"/>
              <w:rPr>
                <w:sz w:val="20"/>
                <w:szCs w:val="20"/>
                <w:color w:val="auto"/>
              </w:rPr>
            </w:pPr>
            <w:r>
              <w:rPr>
                <w:rFonts w:ascii="Arial" w:cs="Arial" w:eastAsia="Arial" w:hAnsi="Arial"/>
                <w:sz w:val="14"/>
                <w:szCs w:val="14"/>
                <w:color w:val="582C83"/>
              </w:rPr>
              <w:t xml:space="preserve">• </w:t>
            </w:r>
            <w:r>
              <w:rPr>
                <w:rFonts w:ascii="Arial" w:cs="Arial" w:eastAsia="Arial" w:hAnsi="Arial"/>
                <w:sz w:val="14"/>
                <w:szCs w:val="14"/>
                <w:color w:val="000000"/>
              </w:rPr>
              <w:t>Emerging markets</w:t>
            </w:r>
          </w:p>
        </w:tc>
        <w:tc>
          <w:tcPr>
            <w:tcW w:w="0" w:type="dxa"/>
            <w:vAlign w:val="bottom"/>
          </w:tcPr>
          <w:p>
            <w:pPr>
              <w:spacing w:after="0"/>
              <w:rPr>
                <w:sz w:val="1"/>
                <w:szCs w:val="1"/>
                <w:color w:val="auto"/>
              </w:rPr>
            </w:pPr>
          </w:p>
        </w:tc>
      </w:tr>
      <w:tr>
        <w:trPr>
          <w:trHeight w:val="96"/>
        </w:trPr>
        <w:tc>
          <w:tcPr>
            <w:tcW w:w="3780" w:type="dxa"/>
            <w:vAlign w:val="bottom"/>
            <w:vMerge w:val="restart"/>
          </w:tcPr>
          <w:p>
            <w:pPr>
              <w:spacing w:after="0"/>
              <w:rPr>
                <w:sz w:val="20"/>
                <w:szCs w:val="20"/>
                <w:color w:val="auto"/>
              </w:rPr>
            </w:pPr>
            <w:r>
              <w:rPr>
                <w:rFonts w:ascii="Arial" w:cs="Arial" w:eastAsia="Arial" w:hAnsi="Arial"/>
                <w:sz w:val="14"/>
                <w:szCs w:val="14"/>
                <w:color w:val="auto"/>
              </w:rPr>
              <w:t>important given the Company’s global presence.</w:t>
            </w:r>
          </w:p>
        </w:tc>
        <w:tc>
          <w:tcPr>
            <w:tcW w:w="3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780" w:type="dxa"/>
            <w:vAlign w:val="bottom"/>
            <w:vMerge w:val="continue"/>
          </w:tcPr>
          <w:p>
            <w:pPr>
              <w:spacing w:after="0"/>
              <w:rPr>
                <w:sz w:val="8"/>
                <w:szCs w:val="8"/>
                <w:color w:val="auto"/>
              </w:rPr>
            </w:pPr>
          </w:p>
        </w:tc>
        <w:tc>
          <w:tcPr>
            <w:tcW w:w="3040" w:type="dxa"/>
            <w:vAlign w:val="bottom"/>
            <w:vMerge w:val="restart"/>
          </w:tcPr>
          <w:p>
            <w:pPr>
              <w:ind w:left="240"/>
              <w:spacing w:after="0"/>
              <w:rPr>
                <w:sz w:val="20"/>
                <w:szCs w:val="20"/>
                <w:color w:val="auto"/>
              </w:rPr>
            </w:pPr>
            <w:r>
              <w:rPr>
                <w:rFonts w:ascii="Arial" w:cs="Arial" w:eastAsia="Arial" w:hAnsi="Arial"/>
                <w:sz w:val="14"/>
                <w:szCs w:val="14"/>
                <w:color w:val="582C83"/>
              </w:rPr>
              <w:t xml:space="preserve">• </w:t>
            </w:r>
            <w:r>
              <w:rPr>
                <w:rFonts w:ascii="Arial" w:cs="Arial" w:eastAsia="Arial" w:hAnsi="Arial"/>
                <w:sz w:val="14"/>
                <w:szCs w:val="14"/>
                <w:color w:val="000000"/>
              </w:rPr>
              <w:t>Government affairs/regulatory compliance</w:t>
            </w:r>
          </w:p>
        </w:tc>
        <w:tc>
          <w:tcPr>
            <w:tcW w:w="0" w:type="dxa"/>
            <w:vAlign w:val="bottom"/>
          </w:tcPr>
          <w:p>
            <w:pPr>
              <w:spacing w:after="0"/>
              <w:rPr>
                <w:sz w:val="1"/>
                <w:szCs w:val="1"/>
                <w:color w:val="auto"/>
              </w:rPr>
            </w:pPr>
          </w:p>
        </w:tc>
      </w:tr>
      <w:tr>
        <w:trPr>
          <w:trHeight w:val="121"/>
        </w:trPr>
        <w:tc>
          <w:tcPr>
            <w:tcW w:w="378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ectPr>
          <w:pgSz w:w="11900" w:h="16838" w:orient="portrait"/>
          <w:cols w:equalWidth="0" w:num="2">
            <w:col w:w="1540" w:space="320"/>
            <w:col w:w="7180"/>
          </w:cols>
          <w:pgMar w:left="1420" w:top="118" w:right="1439" w:bottom="0" w:gutter="0" w:footer="0" w:header="0"/>
          <w:type w:val="continuous"/>
        </w:sectPr>
      </w:pPr>
    </w:p>
    <w:tbl>
      <w:tblPr>
        <w:tblLayout w:type="fixed"/>
        <w:tblInd w:w="0" w:type="dxa"/>
        <w:tblCellMar>
          <w:top w:w="0" w:type="dxa"/>
          <w:left w:w="0" w:type="dxa"/>
          <w:bottom w:w="0" w:type="dxa"/>
          <w:right w:w="0" w:type="dxa"/>
        </w:tblCellMar>
      </w:tblPr>
      <w:tr>
        <w:trPr>
          <w:trHeight w:val="330"/>
        </w:trPr>
        <w:tc>
          <w:tcPr>
            <w:tcW w:w="1680" w:type="dxa"/>
            <w:vAlign w:val="bottom"/>
            <w:tcBorders>
              <w:top w:val="single" w:sz="8" w:color="582C83"/>
            </w:tcBorders>
            <w:shd w:val="clear" w:color="auto" w:fill="E7E1F0"/>
          </w:tcPr>
          <w:p>
            <w:pPr>
              <w:spacing w:after="0"/>
              <w:rPr>
                <w:sz w:val="24"/>
                <w:szCs w:val="24"/>
                <w:color w:val="auto"/>
              </w:rPr>
            </w:pPr>
          </w:p>
        </w:tc>
        <w:tc>
          <w:tcPr>
            <w:tcW w:w="4140" w:type="dxa"/>
            <w:vAlign w:val="bottom"/>
            <w:tcBorders>
              <w:top w:val="single" w:sz="8" w:color="E7E1F0"/>
            </w:tcBorders>
            <w:vMerge w:val="restart"/>
            <w:shd w:val="clear" w:color="auto" w:fill="E7E1F0"/>
          </w:tcPr>
          <w:p>
            <w:pPr>
              <w:ind w:left="180"/>
              <w:spacing w:after="0"/>
              <w:rPr>
                <w:sz w:val="20"/>
                <w:szCs w:val="20"/>
                <w:color w:val="auto"/>
              </w:rPr>
            </w:pPr>
            <w:r>
              <w:rPr>
                <w:rFonts w:ascii="Arial" w:cs="Arial" w:eastAsia="Arial" w:hAnsi="Arial"/>
                <w:sz w:val="14"/>
                <w:szCs w:val="14"/>
                <w:color w:val="auto"/>
              </w:rPr>
              <w:t>Accounting and Financial Expertise enables a director to</w:t>
            </w:r>
          </w:p>
        </w:tc>
        <w:tc>
          <w:tcPr>
            <w:tcW w:w="3220" w:type="dxa"/>
            <w:vAlign w:val="bottom"/>
            <w:tcBorders>
              <w:top w:val="single" w:sz="8" w:color="E7E1F0"/>
            </w:tcBorders>
            <w:gridSpan w:val="2"/>
            <w:shd w:val="clear" w:color="auto" w:fill="E7E1F0"/>
          </w:tcPr>
          <w:p>
            <w:pPr>
              <w:ind w:left="60"/>
              <w:spacing w:after="0"/>
              <w:rPr>
                <w:sz w:val="20"/>
                <w:szCs w:val="20"/>
                <w:color w:val="auto"/>
              </w:rPr>
            </w:pPr>
            <w:r>
              <w:rPr>
                <w:rFonts w:ascii="Arial" w:cs="Arial" w:eastAsia="Arial" w:hAnsi="Arial"/>
                <w:sz w:val="14"/>
                <w:szCs w:val="14"/>
                <w:color w:val="582C83"/>
              </w:rPr>
              <w:t xml:space="preserve">• </w:t>
            </w:r>
            <w:r>
              <w:rPr>
                <w:rFonts w:ascii="Arial" w:cs="Arial" w:eastAsia="Arial" w:hAnsi="Arial"/>
                <w:sz w:val="14"/>
                <w:szCs w:val="14"/>
                <w:color w:val="000000"/>
              </w:rPr>
              <w:t>CFO</w:t>
            </w:r>
          </w:p>
        </w:tc>
        <w:tc>
          <w:tcPr>
            <w:tcW w:w="0" w:type="dxa"/>
            <w:vAlign w:val="bottom"/>
          </w:tcPr>
          <w:p>
            <w:pPr>
              <w:spacing w:after="0"/>
              <w:rPr>
                <w:sz w:val="1"/>
                <w:szCs w:val="1"/>
                <w:color w:val="auto"/>
              </w:rPr>
            </w:pPr>
          </w:p>
        </w:tc>
      </w:tr>
      <w:tr>
        <w:trPr>
          <w:trHeight w:val="66"/>
        </w:trPr>
        <w:tc>
          <w:tcPr>
            <w:tcW w:w="1680" w:type="dxa"/>
            <w:vAlign w:val="bottom"/>
            <w:shd w:val="clear" w:color="auto" w:fill="E7E1F0"/>
          </w:tcPr>
          <w:p>
            <w:pPr>
              <w:spacing w:after="0"/>
              <w:rPr>
                <w:sz w:val="5"/>
                <w:szCs w:val="5"/>
                <w:color w:val="auto"/>
              </w:rPr>
            </w:pPr>
          </w:p>
        </w:tc>
        <w:tc>
          <w:tcPr>
            <w:tcW w:w="4140" w:type="dxa"/>
            <w:vAlign w:val="bottom"/>
            <w:vMerge w:val="continue"/>
            <w:shd w:val="clear" w:color="auto" w:fill="E7E1F0"/>
          </w:tcPr>
          <w:p>
            <w:pPr>
              <w:spacing w:after="0"/>
              <w:rPr>
                <w:sz w:val="5"/>
                <w:szCs w:val="5"/>
                <w:color w:val="auto"/>
              </w:rPr>
            </w:pPr>
          </w:p>
        </w:tc>
        <w:tc>
          <w:tcPr>
            <w:tcW w:w="140" w:type="dxa"/>
            <w:vAlign w:val="bottom"/>
            <w:vMerge w:val="restart"/>
            <w:shd w:val="clear" w:color="auto" w:fill="E7E1F0"/>
          </w:tcPr>
          <w:p>
            <w:pPr>
              <w:ind w:left="60"/>
              <w:spacing w:after="0"/>
              <w:rPr>
                <w:sz w:val="20"/>
                <w:szCs w:val="20"/>
                <w:color w:val="auto"/>
              </w:rPr>
            </w:pPr>
            <w:r>
              <w:rPr>
                <w:rFonts w:ascii="Arial" w:cs="Arial" w:eastAsia="Arial" w:hAnsi="Arial"/>
                <w:sz w:val="14"/>
                <w:szCs w:val="14"/>
                <w:color w:val="582C83"/>
              </w:rPr>
              <w:t>•</w:t>
            </w:r>
          </w:p>
        </w:tc>
        <w:tc>
          <w:tcPr>
            <w:tcW w:w="3080" w:type="dxa"/>
            <w:vAlign w:val="bottom"/>
            <w:vMerge w:val="restart"/>
            <w:shd w:val="clear" w:color="auto" w:fill="E7E1F0"/>
          </w:tcPr>
          <w:p>
            <w:pPr>
              <w:ind w:left="40"/>
              <w:spacing w:after="0"/>
              <w:rPr>
                <w:sz w:val="20"/>
                <w:szCs w:val="20"/>
                <w:color w:val="auto"/>
              </w:rPr>
            </w:pPr>
            <w:r>
              <w:rPr>
                <w:rFonts w:ascii="Arial" w:cs="Arial" w:eastAsia="Arial" w:hAnsi="Arial"/>
                <w:sz w:val="14"/>
                <w:szCs w:val="14"/>
                <w:color w:val="auto"/>
              </w:rPr>
              <w:t>M&amp;A/alliances/partnerships</w:t>
            </w:r>
          </w:p>
        </w:tc>
        <w:tc>
          <w:tcPr>
            <w:tcW w:w="0" w:type="dxa"/>
            <w:vAlign w:val="bottom"/>
          </w:tcPr>
          <w:p>
            <w:pPr>
              <w:spacing w:after="0"/>
              <w:rPr>
                <w:sz w:val="1"/>
                <w:szCs w:val="1"/>
                <w:color w:val="auto"/>
              </w:rPr>
            </w:pPr>
          </w:p>
        </w:tc>
      </w:tr>
      <w:tr>
        <w:trPr>
          <w:trHeight w:val="162"/>
        </w:trPr>
        <w:tc>
          <w:tcPr>
            <w:tcW w:w="1680" w:type="dxa"/>
            <w:vAlign w:val="bottom"/>
            <w:vMerge w:val="restart"/>
            <w:shd w:val="clear" w:color="auto" w:fill="E7E1F0"/>
          </w:tcPr>
          <w:p>
            <w:pPr>
              <w:jc w:val="center"/>
              <w:spacing w:after="0"/>
              <w:rPr>
                <w:sz w:val="20"/>
                <w:szCs w:val="20"/>
                <w:color w:val="auto"/>
              </w:rPr>
            </w:pPr>
            <w:r>
              <w:rPr>
                <w:rFonts w:ascii="Arial" w:cs="Arial" w:eastAsia="Arial" w:hAnsi="Arial"/>
                <w:sz w:val="14"/>
                <w:szCs w:val="14"/>
                <w:b w:val="1"/>
                <w:bCs w:val="1"/>
                <w:color w:val="auto"/>
              </w:rPr>
              <w:t>ACCOUNTING</w:t>
            </w:r>
          </w:p>
        </w:tc>
        <w:tc>
          <w:tcPr>
            <w:tcW w:w="4140" w:type="dxa"/>
            <w:vAlign w:val="bottom"/>
            <w:shd w:val="clear" w:color="auto" w:fill="E7E1F0"/>
          </w:tcPr>
          <w:p>
            <w:pPr>
              <w:ind w:left="180"/>
              <w:spacing w:after="0"/>
              <w:rPr>
                <w:sz w:val="20"/>
                <w:szCs w:val="20"/>
                <w:color w:val="auto"/>
              </w:rPr>
            </w:pPr>
            <w:r>
              <w:rPr>
                <w:rFonts w:ascii="Arial" w:cs="Arial" w:eastAsia="Arial" w:hAnsi="Arial"/>
                <w:sz w:val="14"/>
                <w:szCs w:val="14"/>
                <w:color w:val="auto"/>
              </w:rPr>
              <w:t>analyze financial statements, capital structure, and</w:t>
            </w:r>
          </w:p>
        </w:tc>
        <w:tc>
          <w:tcPr>
            <w:tcW w:w="140" w:type="dxa"/>
            <w:vAlign w:val="bottom"/>
            <w:vMerge w:val="continue"/>
            <w:shd w:val="clear" w:color="auto" w:fill="E7E1F0"/>
          </w:tcPr>
          <w:p>
            <w:pPr>
              <w:spacing w:after="0"/>
              <w:rPr>
                <w:sz w:val="14"/>
                <w:szCs w:val="14"/>
                <w:color w:val="auto"/>
              </w:rPr>
            </w:pPr>
          </w:p>
        </w:tc>
        <w:tc>
          <w:tcPr>
            <w:tcW w:w="3080" w:type="dxa"/>
            <w:vAlign w:val="bottom"/>
            <w:vMerge w:val="continue"/>
            <w:shd w:val="clear" w:color="auto" w:fill="E7E1F0"/>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80" w:type="dxa"/>
            <w:vAlign w:val="bottom"/>
            <w:vMerge w:val="continue"/>
            <w:shd w:val="clear" w:color="auto" w:fill="E7E1F0"/>
          </w:tcPr>
          <w:p>
            <w:pPr>
              <w:spacing w:after="0"/>
              <w:rPr>
                <w:sz w:val="14"/>
                <w:szCs w:val="14"/>
                <w:color w:val="auto"/>
              </w:rPr>
            </w:pPr>
          </w:p>
        </w:tc>
        <w:tc>
          <w:tcPr>
            <w:tcW w:w="4140" w:type="dxa"/>
            <w:vAlign w:val="bottom"/>
            <w:shd w:val="clear" w:color="auto" w:fill="E7E1F0"/>
          </w:tcPr>
          <w:p>
            <w:pPr>
              <w:ind w:left="180"/>
              <w:spacing w:after="0"/>
              <w:rPr>
                <w:sz w:val="20"/>
                <w:szCs w:val="20"/>
                <w:color w:val="auto"/>
              </w:rPr>
            </w:pPr>
            <w:r>
              <w:rPr>
                <w:rFonts w:ascii="Arial" w:cs="Arial" w:eastAsia="Arial" w:hAnsi="Arial"/>
                <w:sz w:val="14"/>
                <w:szCs w:val="14"/>
                <w:color w:val="auto"/>
              </w:rPr>
              <w:t>complex financial transactions, and oversee accounting</w:t>
            </w:r>
          </w:p>
        </w:tc>
        <w:tc>
          <w:tcPr>
            <w:tcW w:w="140" w:type="dxa"/>
            <w:vAlign w:val="bottom"/>
            <w:shd w:val="clear" w:color="auto" w:fill="E7E1F0"/>
          </w:tcPr>
          <w:p>
            <w:pPr>
              <w:ind w:left="60"/>
              <w:spacing w:after="0"/>
              <w:rPr>
                <w:sz w:val="20"/>
                <w:szCs w:val="20"/>
                <w:color w:val="auto"/>
              </w:rPr>
            </w:pPr>
            <w:r>
              <w:rPr>
                <w:rFonts w:ascii="Arial" w:cs="Arial" w:eastAsia="Arial" w:hAnsi="Arial"/>
                <w:sz w:val="14"/>
                <w:szCs w:val="14"/>
                <w:color w:val="582C83"/>
              </w:rPr>
              <w:t>•</w:t>
            </w:r>
          </w:p>
        </w:tc>
        <w:tc>
          <w:tcPr>
            <w:tcW w:w="3080" w:type="dxa"/>
            <w:vAlign w:val="bottom"/>
            <w:shd w:val="clear" w:color="auto" w:fill="E7E1F0"/>
          </w:tcPr>
          <w:p>
            <w:pPr>
              <w:ind w:left="40"/>
              <w:spacing w:after="0"/>
              <w:rPr>
                <w:sz w:val="20"/>
                <w:szCs w:val="20"/>
                <w:color w:val="auto"/>
              </w:rPr>
            </w:pPr>
            <w:r>
              <w:rPr>
                <w:rFonts w:ascii="Arial" w:cs="Arial" w:eastAsia="Arial" w:hAnsi="Arial"/>
                <w:sz w:val="14"/>
                <w:szCs w:val="14"/>
                <w:color w:val="auto"/>
              </w:rPr>
              <w:t>Financial acumen/capital markets</w:t>
            </w:r>
          </w:p>
        </w:tc>
        <w:tc>
          <w:tcPr>
            <w:tcW w:w="0" w:type="dxa"/>
            <w:vAlign w:val="bottom"/>
          </w:tcPr>
          <w:p>
            <w:pPr>
              <w:spacing w:after="0"/>
              <w:rPr>
                <w:sz w:val="1"/>
                <w:szCs w:val="1"/>
                <w:color w:val="auto"/>
              </w:rPr>
            </w:pPr>
          </w:p>
        </w:tc>
      </w:tr>
      <w:tr>
        <w:trPr>
          <w:trHeight w:val="148"/>
        </w:trPr>
        <w:tc>
          <w:tcPr>
            <w:tcW w:w="1680" w:type="dxa"/>
            <w:vAlign w:val="bottom"/>
            <w:shd w:val="clear" w:color="auto" w:fill="E7E1F0"/>
          </w:tcPr>
          <w:p>
            <w:pPr>
              <w:jc w:val="center"/>
              <w:spacing w:after="0" w:line="149" w:lineRule="exact"/>
              <w:rPr>
                <w:sz w:val="20"/>
                <w:szCs w:val="20"/>
                <w:color w:val="auto"/>
              </w:rPr>
            </w:pPr>
            <w:r>
              <w:rPr>
                <w:rFonts w:ascii="Arial" w:cs="Arial" w:eastAsia="Arial" w:hAnsi="Arial"/>
                <w:sz w:val="14"/>
                <w:szCs w:val="14"/>
                <w:b w:val="1"/>
                <w:bCs w:val="1"/>
                <w:color w:val="auto"/>
              </w:rPr>
              <w:t>AND FINANCIAL</w:t>
            </w:r>
          </w:p>
        </w:tc>
        <w:tc>
          <w:tcPr>
            <w:tcW w:w="4140" w:type="dxa"/>
            <w:vAlign w:val="bottom"/>
            <w:shd w:val="clear" w:color="auto" w:fill="E7E1F0"/>
          </w:tcPr>
          <w:p>
            <w:pPr>
              <w:ind w:left="180"/>
              <w:spacing w:after="0" w:line="149" w:lineRule="exact"/>
              <w:rPr>
                <w:sz w:val="20"/>
                <w:szCs w:val="20"/>
                <w:color w:val="auto"/>
              </w:rPr>
            </w:pPr>
            <w:r>
              <w:rPr>
                <w:rFonts w:ascii="Arial" w:cs="Arial" w:eastAsia="Arial" w:hAnsi="Arial"/>
                <w:sz w:val="14"/>
                <w:szCs w:val="14"/>
                <w:color w:val="auto"/>
              </w:rPr>
              <w:t>and financial reporting processes.</w:t>
            </w:r>
          </w:p>
        </w:tc>
        <w:tc>
          <w:tcPr>
            <w:tcW w:w="3220" w:type="dxa"/>
            <w:vAlign w:val="bottom"/>
            <w:gridSpan w:val="2"/>
            <w:vMerge w:val="restart"/>
            <w:shd w:val="clear" w:color="auto" w:fill="E7E1F0"/>
          </w:tcPr>
          <w:p>
            <w:pPr>
              <w:ind w:left="60"/>
              <w:spacing w:after="0"/>
              <w:rPr>
                <w:sz w:val="20"/>
                <w:szCs w:val="20"/>
                <w:color w:val="auto"/>
              </w:rPr>
            </w:pPr>
            <w:r>
              <w:rPr>
                <w:rFonts w:ascii="Arial" w:cs="Arial" w:eastAsia="Arial" w:hAnsi="Arial"/>
                <w:sz w:val="14"/>
                <w:szCs w:val="14"/>
                <w:color w:val="582C83"/>
              </w:rPr>
              <w:t xml:space="preserve">• </w:t>
            </w:r>
            <w:r>
              <w:rPr>
                <w:rFonts w:ascii="Arial" w:cs="Arial" w:eastAsia="Arial" w:hAnsi="Arial"/>
                <w:sz w:val="14"/>
                <w:szCs w:val="14"/>
                <w:color w:val="000000"/>
              </w:rPr>
              <w:t>Cost management</w:t>
            </w:r>
          </w:p>
        </w:tc>
        <w:tc>
          <w:tcPr>
            <w:tcW w:w="0" w:type="dxa"/>
            <w:vAlign w:val="bottom"/>
          </w:tcPr>
          <w:p>
            <w:pPr>
              <w:spacing w:after="0"/>
              <w:rPr>
                <w:sz w:val="1"/>
                <w:szCs w:val="1"/>
                <w:color w:val="auto"/>
              </w:rPr>
            </w:pPr>
          </w:p>
        </w:tc>
      </w:tr>
      <w:tr>
        <w:trPr>
          <w:trHeight w:val="127"/>
        </w:trPr>
        <w:tc>
          <w:tcPr>
            <w:tcW w:w="1680" w:type="dxa"/>
            <w:vAlign w:val="bottom"/>
            <w:vMerge w:val="restart"/>
            <w:shd w:val="clear" w:color="auto" w:fill="E7E1F0"/>
          </w:tcPr>
          <w:p>
            <w:pPr>
              <w:jc w:val="center"/>
              <w:spacing w:after="0"/>
              <w:rPr>
                <w:sz w:val="20"/>
                <w:szCs w:val="20"/>
                <w:color w:val="auto"/>
              </w:rPr>
            </w:pPr>
            <w:r>
              <w:rPr>
                <w:rFonts w:ascii="Arial" w:cs="Arial" w:eastAsia="Arial" w:hAnsi="Arial"/>
                <w:sz w:val="14"/>
                <w:szCs w:val="14"/>
                <w:b w:val="1"/>
                <w:bCs w:val="1"/>
                <w:color w:val="auto"/>
              </w:rPr>
              <w:t>EXPERTISE</w:t>
            </w:r>
          </w:p>
        </w:tc>
        <w:tc>
          <w:tcPr>
            <w:tcW w:w="4140" w:type="dxa"/>
            <w:vAlign w:val="bottom"/>
            <w:shd w:val="clear" w:color="auto" w:fill="E7E1F0"/>
          </w:tcPr>
          <w:p>
            <w:pPr>
              <w:spacing w:after="0"/>
              <w:rPr>
                <w:sz w:val="11"/>
                <w:szCs w:val="11"/>
                <w:color w:val="auto"/>
              </w:rPr>
            </w:pPr>
          </w:p>
        </w:tc>
        <w:tc>
          <w:tcPr>
            <w:tcW w:w="3220" w:type="dxa"/>
            <w:vAlign w:val="bottom"/>
            <w:gridSpan w:val="2"/>
            <w:vMerge w:val="continue"/>
            <w:shd w:val="clear" w:color="auto" w:fill="E7E1F0"/>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680" w:type="dxa"/>
            <w:vAlign w:val="bottom"/>
            <w:tcBorders>
              <w:bottom w:val="single" w:sz="8" w:color="E7E1F0"/>
            </w:tcBorders>
            <w:vMerge w:val="continue"/>
            <w:shd w:val="clear" w:color="auto" w:fill="E7E1F0"/>
          </w:tcPr>
          <w:p>
            <w:pPr>
              <w:spacing w:after="0"/>
              <w:rPr>
                <w:sz w:val="8"/>
                <w:szCs w:val="8"/>
                <w:color w:val="auto"/>
              </w:rPr>
            </w:pPr>
          </w:p>
        </w:tc>
        <w:tc>
          <w:tcPr>
            <w:tcW w:w="4140" w:type="dxa"/>
            <w:vAlign w:val="bottom"/>
            <w:tcBorders>
              <w:bottom w:val="single" w:sz="8" w:color="E7E1F0"/>
            </w:tcBorders>
            <w:shd w:val="clear" w:color="auto" w:fill="E7E1F0"/>
          </w:tcPr>
          <w:p>
            <w:pPr>
              <w:spacing w:after="0"/>
              <w:rPr>
                <w:sz w:val="8"/>
                <w:szCs w:val="8"/>
                <w:color w:val="auto"/>
              </w:rPr>
            </w:pPr>
          </w:p>
        </w:tc>
        <w:tc>
          <w:tcPr>
            <w:tcW w:w="140" w:type="dxa"/>
            <w:vAlign w:val="bottom"/>
            <w:tcBorders>
              <w:bottom w:val="single" w:sz="8" w:color="E7E1F0"/>
            </w:tcBorders>
            <w:shd w:val="clear" w:color="auto" w:fill="E7E1F0"/>
          </w:tcPr>
          <w:p>
            <w:pPr>
              <w:spacing w:after="0"/>
              <w:rPr>
                <w:sz w:val="8"/>
                <w:szCs w:val="8"/>
                <w:color w:val="auto"/>
              </w:rPr>
            </w:pPr>
          </w:p>
        </w:tc>
        <w:tc>
          <w:tcPr>
            <w:tcW w:w="3080" w:type="dxa"/>
            <w:vAlign w:val="bottom"/>
            <w:tcBorders>
              <w:bottom w:val="single" w:sz="8" w:color="E7E1F0"/>
            </w:tcBorders>
            <w:shd w:val="clear" w:color="auto" w:fill="E7E1F0"/>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582C83"/>
          </w:tcPr>
          <w:p>
            <w:pPr>
              <w:spacing w:after="0" w:line="20" w:lineRule="exact"/>
              <w:rPr>
                <w:sz w:val="1"/>
                <w:szCs w:val="1"/>
                <w:color w:val="auto"/>
              </w:rPr>
            </w:pPr>
          </w:p>
        </w:tc>
        <w:tc>
          <w:tcPr>
            <w:tcW w:w="4140" w:type="dxa"/>
            <w:vAlign w:val="bottom"/>
            <w:shd w:val="clear" w:color="auto" w:fill="582C83"/>
          </w:tcPr>
          <w:p>
            <w:pPr>
              <w:spacing w:after="0" w:line="20" w:lineRule="exact"/>
              <w:rPr>
                <w:sz w:val="1"/>
                <w:szCs w:val="1"/>
                <w:color w:val="auto"/>
              </w:rPr>
            </w:pPr>
          </w:p>
        </w:tc>
        <w:tc>
          <w:tcPr>
            <w:tcW w:w="140" w:type="dxa"/>
            <w:vAlign w:val="bottom"/>
            <w:shd w:val="clear" w:color="auto" w:fill="582C83"/>
          </w:tcPr>
          <w:p>
            <w:pPr>
              <w:spacing w:after="0" w:line="20" w:lineRule="exact"/>
              <w:rPr>
                <w:sz w:val="1"/>
                <w:szCs w:val="1"/>
                <w:color w:val="auto"/>
              </w:rPr>
            </w:pPr>
          </w:p>
        </w:tc>
        <w:tc>
          <w:tcPr>
            <w:tcW w:w="3080" w:type="dxa"/>
            <w:vAlign w:val="bottom"/>
            <w:shd w:val="clear" w:color="auto" w:fill="582C8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30251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10375" cy="302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 ELECTION OF DIRECTORS</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How We Build an Experienced and Qualified Board</w:t>
      </w:r>
    </w:p>
    <w:p>
      <w:pPr>
        <w:sectPr>
          <w:pgSz w:w="11900" w:h="16838" w:orient="portrait"/>
          <w:cols w:equalWidth="0" w:num="1">
            <w:col w:w="9040"/>
          </w:cols>
          <w:pgMar w:left="1420" w:top="118" w:right="1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PRODUCT</w:t>
      </w:r>
    </w:p>
    <w:p>
      <w:pPr>
        <w:spacing w:after="0" w:line="29"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RESEARCH,</w:t>
      </w:r>
    </w:p>
    <w:p>
      <w:pPr>
        <w:spacing w:after="0" w:line="15" w:lineRule="exact"/>
        <w:rPr>
          <w:sz w:val="20"/>
          <w:szCs w:val="20"/>
          <w:color w:val="auto"/>
        </w:rPr>
      </w:pPr>
    </w:p>
    <w:p>
      <w:pPr>
        <w:jc w:val="center"/>
        <w:ind w:left="200"/>
        <w:spacing w:after="0" w:line="297" w:lineRule="auto"/>
        <w:rPr>
          <w:sz w:val="20"/>
          <w:szCs w:val="20"/>
          <w:color w:val="auto"/>
        </w:rPr>
      </w:pPr>
      <w:r>
        <w:rPr>
          <w:rFonts w:ascii="Arial" w:cs="Arial" w:eastAsia="Arial" w:hAnsi="Arial"/>
          <w:sz w:val="14"/>
          <w:szCs w:val="14"/>
          <w:b w:val="1"/>
          <w:bCs w:val="1"/>
          <w:color w:val="auto"/>
        </w:rPr>
        <w:t>DEVELOPMENT, AND MARKETING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PUBLIC</w:t>
      </w:r>
    </w:p>
    <w:p>
      <w:pPr>
        <w:spacing w:after="0" w:line="29"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auto"/>
        </w:rPr>
        <w:t>COMPANY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color w:val="auto"/>
        </w:rPr>
        <w:t>Product Research, Development, and Marketing Experience in the food and beverage sector or a complementary industry contributes to a director’s ability to oversee efforts to identify and develop new food</w:t>
      </w:r>
    </w:p>
    <w:p>
      <w:pPr>
        <w:spacing w:after="0" w:line="323" w:lineRule="auto"/>
        <w:rPr>
          <w:sz w:val="20"/>
          <w:szCs w:val="20"/>
          <w:color w:val="auto"/>
        </w:rPr>
      </w:pPr>
      <w:r>
        <w:rPr>
          <w:rFonts w:ascii="Arial" w:cs="Arial" w:eastAsia="Arial" w:hAnsi="Arial"/>
          <w:sz w:val="14"/>
          <w:szCs w:val="14"/>
          <w:color w:val="auto"/>
        </w:rPr>
        <w:t>and beverage products and implement marketing strategies that will improve performance.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spacing w:after="0" w:line="289" w:lineRule="auto"/>
        <w:rPr>
          <w:sz w:val="20"/>
          <w:szCs w:val="20"/>
          <w:color w:val="auto"/>
        </w:rPr>
      </w:pPr>
      <w:r>
        <w:rPr>
          <w:rFonts w:ascii="Arial" w:cs="Arial" w:eastAsia="Arial" w:hAnsi="Arial"/>
          <w:sz w:val="14"/>
          <w:szCs w:val="14"/>
          <w:color w:val="auto"/>
        </w:rPr>
        <w:t>Public Company Board and Corporate Governance Experience at a large publicly traded company provides a director with a solid understanding of the extensive and complex oversight responsibilities of public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7" w:hanging="127"/>
        <w:spacing w:after="0"/>
        <w:tabs>
          <w:tab w:leader="none" w:pos="127" w:val="left"/>
        </w:tabs>
        <w:numPr>
          <w:ilvl w:val="0"/>
          <w:numId w:val="15"/>
        </w:numPr>
        <w:rPr>
          <w:rFonts w:ascii="Arial" w:cs="Arial" w:eastAsia="Arial" w:hAnsi="Arial"/>
          <w:sz w:val="14"/>
          <w:szCs w:val="14"/>
          <w:color w:val="582C83"/>
        </w:rPr>
      </w:pPr>
      <w:r>
        <w:rPr>
          <w:rFonts w:ascii="Arial" w:cs="Arial" w:eastAsia="Arial" w:hAnsi="Arial"/>
          <w:sz w:val="14"/>
          <w:szCs w:val="14"/>
          <w:color w:val="auto"/>
        </w:rPr>
        <w:t>Consumer insights and analytics</w:t>
      </w:r>
    </w:p>
    <w:p>
      <w:pPr>
        <w:spacing w:after="0" w:line="76" w:lineRule="exact"/>
        <w:rPr>
          <w:rFonts w:ascii="Arial" w:cs="Arial" w:eastAsia="Arial" w:hAnsi="Arial"/>
          <w:sz w:val="14"/>
          <w:szCs w:val="14"/>
          <w:color w:val="582C83"/>
        </w:rPr>
      </w:pPr>
    </w:p>
    <w:p>
      <w:pPr>
        <w:ind w:left="127" w:hanging="127"/>
        <w:spacing w:after="0"/>
        <w:tabs>
          <w:tab w:leader="none" w:pos="127" w:val="left"/>
        </w:tabs>
        <w:numPr>
          <w:ilvl w:val="0"/>
          <w:numId w:val="15"/>
        </w:numPr>
        <w:rPr>
          <w:rFonts w:ascii="Arial" w:cs="Arial" w:eastAsia="Arial" w:hAnsi="Arial"/>
          <w:sz w:val="17"/>
          <w:szCs w:val="17"/>
          <w:color w:val="582C83"/>
        </w:rPr>
      </w:pPr>
      <w:r>
        <w:rPr>
          <w:rFonts w:ascii="Arial" w:cs="Arial" w:eastAsia="Arial" w:hAnsi="Arial"/>
          <w:sz w:val="14"/>
          <w:szCs w:val="14"/>
          <w:color w:val="auto"/>
        </w:rPr>
        <w:t>Research &amp; development</w:t>
      </w:r>
    </w:p>
    <w:p>
      <w:pPr>
        <w:spacing w:after="0" w:line="52" w:lineRule="exact"/>
        <w:rPr>
          <w:rFonts w:ascii="Arial" w:cs="Arial" w:eastAsia="Arial" w:hAnsi="Arial"/>
          <w:sz w:val="17"/>
          <w:szCs w:val="17"/>
          <w:color w:val="582C83"/>
        </w:rPr>
      </w:pPr>
    </w:p>
    <w:p>
      <w:pPr>
        <w:ind w:left="127" w:hanging="127"/>
        <w:spacing w:after="0"/>
        <w:tabs>
          <w:tab w:leader="none" w:pos="127" w:val="left"/>
        </w:tabs>
        <w:numPr>
          <w:ilvl w:val="0"/>
          <w:numId w:val="15"/>
        </w:numPr>
        <w:rPr>
          <w:rFonts w:ascii="Arial" w:cs="Arial" w:eastAsia="Arial" w:hAnsi="Arial"/>
          <w:sz w:val="14"/>
          <w:szCs w:val="14"/>
          <w:color w:val="582C83"/>
        </w:rPr>
      </w:pPr>
      <w:r>
        <w:rPr>
          <w:rFonts w:ascii="Arial" w:cs="Arial" w:eastAsia="Arial" w:hAnsi="Arial"/>
          <w:sz w:val="14"/>
          <w:szCs w:val="14"/>
          <w:color w:val="auto"/>
        </w:rPr>
        <w:t>Innovation</w:t>
      </w:r>
    </w:p>
    <w:p>
      <w:pPr>
        <w:spacing w:after="0" w:line="55" w:lineRule="exact"/>
        <w:rPr>
          <w:rFonts w:ascii="Arial" w:cs="Arial" w:eastAsia="Arial" w:hAnsi="Arial"/>
          <w:sz w:val="14"/>
          <w:szCs w:val="14"/>
          <w:color w:val="582C83"/>
        </w:rPr>
      </w:pPr>
    </w:p>
    <w:p>
      <w:pPr>
        <w:ind w:left="127" w:right="1120" w:hanging="127"/>
        <w:spacing w:after="0" w:line="325" w:lineRule="auto"/>
        <w:tabs>
          <w:tab w:leader="none" w:pos="127" w:val="left"/>
        </w:tabs>
        <w:numPr>
          <w:ilvl w:val="0"/>
          <w:numId w:val="15"/>
        </w:numPr>
        <w:rPr>
          <w:rFonts w:ascii="Arial" w:cs="Arial" w:eastAsia="Arial" w:hAnsi="Arial"/>
          <w:sz w:val="14"/>
          <w:szCs w:val="14"/>
          <w:color w:val="582C83"/>
        </w:rPr>
      </w:pPr>
      <w:r>
        <w:rPr>
          <w:rFonts w:ascii="Arial" w:cs="Arial" w:eastAsia="Arial" w:hAnsi="Arial"/>
          <w:sz w:val="14"/>
          <w:szCs w:val="14"/>
          <w:color w:val="auto"/>
        </w:rPr>
        <w:t>New media/digital technology/ digital commerce</w:t>
      </w:r>
    </w:p>
    <w:p>
      <w:pPr>
        <w:spacing w:after="0" w:line="292" w:lineRule="exact"/>
        <w:rPr>
          <w:rFonts w:ascii="Arial" w:cs="Arial" w:eastAsia="Arial" w:hAnsi="Arial"/>
          <w:sz w:val="14"/>
          <w:szCs w:val="14"/>
          <w:color w:val="582C83"/>
        </w:rPr>
      </w:pPr>
    </w:p>
    <w:p>
      <w:pPr>
        <w:ind w:left="127" w:right="1200" w:hanging="127"/>
        <w:spacing w:after="0" w:line="294" w:lineRule="auto"/>
        <w:tabs>
          <w:tab w:leader="none" w:pos="127" w:val="left"/>
        </w:tabs>
        <w:numPr>
          <w:ilvl w:val="0"/>
          <w:numId w:val="15"/>
        </w:numPr>
        <w:rPr>
          <w:rFonts w:ascii="Arial" w:cs="Arial" w:eastAsia="Arial" w:hAnsi="Arial"/>
          <w:sz w:val="17"/>
          <w:szCs w:val="17"/>
          <w:color w:val="582C83"/>
        </w:rPr>
      </w:pPr>
      <w:r>
        <w:rPr>
          <w:rFonts w:ascii="Arial" w:cs="Arial" w:eastAsia="Arial" w:hAnsi="Arial"/>
          <w:sz w:val="14"/>
          <w:szCs w:val="14"/>
          <w:color w:val="auto"/>
        </w:rPr>
        <w:t>CEO/COO/other governance leadership positions</w:t>
      </w:r>
    </w:p>
    <w:p>
      <w:pPr>
        <w:spacing w:after="0" w:line="22" w:lineRule="exact"/>
        <w:rPr>
          <w:rFonts w:ascii="Arial" w:cs="Arial" w:eastAsia="Arial" w:hAnsi="Arial"/>
          <w:sz w:val="17"/>
          <w:szCs w:val="17"/>
          <w:color w:val="582C83"/>
        </w:rPr>
      </w:pPr>
    </w:p>
    <w:p>
      <w:pPr>
        <w:ind w:left="127" w:hanging="127"/>
        <w:spacing w:after="0"/>
        <w:tabs>
          <w:tab w:leader="none" w:pos="127" w:val="left"/>
        </w:tabs>
        <w:numPr>
          <w:ilvl w:val="0"/>
          <w:numId w:val="15"/>
        </w:numPr>
        <w:rPr>
          <w:rFonts w:ascii="Arial" w:cs="Arial" w:eastAsia="Arial" w:hAnsi="Arial"/>
          <w:sz w:val="14"/>
          <w:szCs w:val="14"/>
          <w:color w:val="582C83"/>
        </w:rPr>
      </w:pPr>
      <w:r>
        <w:rPr>
          <w:rFonts w:ascii="Arial" w:cs="Arial" w:eastAsia="Arial" w:hAnsi="Arial"/>
          <w:sz w:val="14"/>
          <w:szCs w:val="14"/>
          <w:color w:val="auto"/>
        </w:rPr>
        <w:t>Government affairs/regulatory compliance</w:t>
      </w:r>
    </w:p>
    <w:p>
      <w:pPr>
        <w:spacing w:after="0" w:line="68" w:lineRule="exact"/>
        <w:rPr>
          <w:rFonts w:ascii="Arial" w:cs="Arial" w:eastAsia="Arial" w:hAnsi="Arial"/>
          <w:sz w:val="14"/>
          <w:szCs w:val="14"/>
          <w:color w:val="582C83"/>
        </w:rPr>
      </w:pPr>
    </w:p>
    <w:p>
      <w:pPr>
        <w:ind w:left="127" w:hanging="127"/>
        <w:spacing w:after="0"/>
        <w:tabs>
          <w:tab w:leader="none" w:pos="127" w:val="left"/>
        </w:tabs>
        <w:numPr>
          <w:ilvl w:val="0"/>
          <w:numId w:val="15"/>
        </w:numPr>
        <w:rPr>
          <w:rFonts w:ascii="Arial" w:cs="Arial" w:eastAsia="Arial" w:hAnsi="Arial"/>
          <w:sz w:val="14"/>
          <w:szCs w:val="14"/>
          <w:color w:val="582C83"/>
        </w:rPr>
      </w:pPr>
      <w:r>
        <w:rPr>
          <w:rFonts w:ascii="Arial" w:cs="Arial" w:eastAsia="Arial" w:hAnsi="Arial"/>
          <w:sz w:val="14"/>
          <w:szCs w:val="14"/>
          <w:color w:val="auto"/>
        </w:rPr>
        <w:t>Public company board service</w:t>
      </w:r>
    </w:p>
    <w:p>
      <w:pPr>
        <w:spacing w:after="0" w:line="68" w:lineRule="exact"/>
        <w:rPr>
          <w:rFonts w:ascii="Arial" w:cs="Arial" w:eastAsia="Arial" w:hAnsi="Arial"/>
          <w:sz w:val="14"/>
          <w:szCs w:val="14"/>
          <w:color w:val="582C83"/>
        </w:rPr>
      </w:pPr>
    </w:p>
    <w:p>
      <w:pPr>
        <w:ind w:left="127" w:hanging="127"/>
        <w:spacing w:after="0"/>
        <w:tabs>
          <w:tab w:leader="none" w:pos="127" w:val="left"/>
        </w:tabs>
        <w:numPr>
          <w:ilvl w:val="0"/>
          <w:numId w:val="15"/>
        </w:numPr>
        <w:rPr>
          <w:rFonts w:ascii="Arial" w:cs="Arial" w:eastAsia="Arial" w:hAnsi="Arial"/>
          <w:sz w:val="14"/>
          <w:szCs w:val="14"/>
          <w:color w:val="582C83"/>
        </w:rPr>
      </w:pPr>
      <w:r>
        <w:rPr>
          <w:rFonts w:ascii="Arial" w:cs="Arial" w:eastAsia="Arial" w:hAnsi="Arial"/>
          <w:sz w:val="14"/>
          <w:szCs w:val="14"/>
          <w:color w:val="auto"/>
        </w:rPr>
        <w:t>Corporate governance knowledge</w:t>
      </w:r>
    </w:p>
    <w:p>
      <w:pPr>
        <w:sectPr>
          <w:pgSz w:w="11900" w:h="16838" w:orient="portrait"/>
          <w:cols w:equalWidth="0" w:num="3">
            <w:col w:w="1500" w:space="360"/>
            <w:col w:w="3780" w:space="233"/>
            <w:col w:w="3167"/>
          </w:cols>
          <w:pgMar w:left="1420" w:top="118" w:right="1439" w:bottom="0" w:gutter="0" w:footer="0" w:header="0"/>
          <w:type w:val="continuous"/>
        </w:sectPr>
      </w:pPr>
    </w:p>
    <w:bookmarkStart w:id="19" w:name="page20"/>
    <w:bookmarkEnd w:id="19"/>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AND CORPORATE</w:t>
            </w:r>
          </w:p>
        </w:tc>
        <w:tc>
          <w:tcPr>
            <w:tcW w:w="3960" w:type="dxa"/>
            <w:vAlign w:val="bottom"/>
          </w:tcPr>
          <w:p>
            <w:pPr>
              <w:ind w:left="180"/>
              <w:spacing w:after="0"/>
              <w:rPr>
                <w:sz w:val="20"/>
                <w:szCs w:val="20"/>
                <w:color w:val="auto"/>
              </w:rPr>
            </w:pPr>
            <w:r>
              <w:rPr>
                <w:rFonts w:ascii="Arial" w:cs="Arial" w:eastAsia="Arial" w:hAnsi="Arial"/>
                <w:sz w:val="14"/>
                <w:szCs w:val="14"/>
                <w:color w:val="auto"/>
              </w:rPr>
              <w:t>boards and furthers the goals of greater transparency,</w:t>
            </w:r>
          </w:p>
        </w:tc>
        <w:tc>
          <w:tcPr>
            <w:tcW w:w="3400" w:type="dxa"/>
            <w:vAlign w:val="bottom"/>
          </w:tcPr>
          <w:p>
            <w:pPr>
              <w:ind w:left="240"/>
              <w:spacing w:after="0"/>
              <w:rPr>
                <w:sz w:val="20"/>
                <w:szCs w:val="20"/>
                <w:color w:val="auto"/>
              </w:rPr>
            </w:pPr>
            <w:r>
              <w:rPr>
                <w:rFonts w:ascii="Arial" w:cs="Arial" w:eastAsia="Arial" w:hAnsi="Arial"/>
                <w:sz w:val="14"/>
                <w:szCs w:val="14"/>
                <w:color w:val="582C83"/>
              </w:rPr>
              <w:t xml:space="preserve">• </w:t>
            </w:r>
            <w:r>
              <w:rPr>
                <w:rFonts w:ascii="Arial" w:cs="Arial" w:eastAsia="Arial" w:hAnsi="Arial"/>
                <w:sz w:val="14"/>
                <w:szCs w:val="14"/>
                <w:color w:val="000000"/>
              </w:rPr>
              <w:t>Risk oversight, including with respect to</w:t>
            </w:r>
          </w:p>
        </w:tc>
        <w:tc>
          <w:tcPr>
            <w:tcW w:w="0" w:type="dxa"/>
            <w:vAlign w:val="bottom"/>
          </w:tcPr>
          <w:p>
            <w:pPr>
              <w:spacing w:after="0"/>
              <w:rPr>
                <w:sz w:val="1"/>
                <w:szCs w:val="1"/>
                <w:color w:val="auto"/>
              </w:rPr>
            </w:pPr>
          </w:p>
        </w:tc>
      </w:tr>
      <w:tr>
        <w:trPr>
          <w:trHeight w:val="68"/>
        </w:trPr>
        <w:tc>
          <w:tcPr>
            <w:tcW w:w="1680" w:type="dxa"/>
            <w:vAlign w:val="bottom"/>
          </w:tcPr>
          <w:p>
            <w:pPr>
              <w:ind w:left="60"/>
              <w:spacing w:after="0" w:line="68" w:lineRule="exact"/>
              <w:rPr>
                <w:sz w:val="20"/>
                <w:szCs w:val="20"/>
                <w:color w:val="auto"/>
              </w:rPr>
            </w:pPr>
            <w:r>
              <w:rPr>
                <w:rFonts w:ascii="Arial" w:cs="Arial" w:eastAsia="Arial" w:hAnsi="Arial"/>
                <w:sz w:val="7"/>
                <w:szCs w:val="7"/>
                <w:b w:val="1"/>
                <w:bCs w:val="1"/>
                <w:color w:val="auto"/>
              </w:rPr>
              <w:t>Key Competencies</w:t>
            </w:r>
          </w:p>
        </w:tc>
        <w:tc>
          <w:tcPr>
            <w:tcW w:w="3960" w:type="dxa"/>
            <w:vAlign w:val="bottom"/>
            <w:vMerge w:val="restart"/>
          </w:tcPr>
          <w:p>
            <w:pPr>
              <w:ind w:left="180"/>
              <w:spacing w:after="0" w:line="88" w:lineRule="exact"/>
              <w:rPr>
                <w:sz w:val="20"/>
                <w:szCs w:val="20"/>
                <w:color w:val="auto"/>
              </w:rPr>
            </w:pPr>
            <w:r>
              <w:rPr>
                <w:rFonts w:ascii="Arial" w:cs="Arial" w:eastAsia="Arial" w:hAnsi="Arial"/>
                <w:sz w:val="10"/>
                <w:szCs w:val="10"/>
                <w:color w:val="auto"/>
              </w:rPr>
              <w:t>accountability, and protection of shareholders’ interests.</w:t>
            </w:r>
          </w:p>
        </w:tc>
        <w:tc>
          <w:tcPr>
            <w:tcW w:w="3400" w:type="dxa"/>
            <w:vAlign w:val="bottom"/>
          </w:tcPr>
          <w:p>
            <w:pPr>
              <w:ind w:left="240"/>
              <w:spacing w:after="0" w:line="68" w:lineRule="exact"/>
              <w:rPr>
                <w:sz w:val="20"/>
                <w:szCs w:val="20"/>
                <w:color w:val="auto"/>
              </w:rPr>
            </w:pPr>
            <w:r>
              <w:rPr>
                <w:rFonts w:ascii="Arial" w:cs="Arial" w:eastAsia="Arial" w:hAnsi="Arial"/>
                <w:sz w:val="7"/>
                <w:szCs w:val="7"/>
                <w:b w:val="1"/>
                <w:bCs w:val="1"/>
                <w:color w:val="auto"/>
              </w:rPr>
              <w:t>Relevant Experience</w:t>
            </w:r>
          </w:p>
        </w:tc>
        <w:tc>
          <w:tcPr>
            <w:tcW w:w="0" w:type="dxa"/>
            <w:vAlign w:val="bottom"/>
          </w:tcPr>
          <w:p>
            <w:pPr>
              <w:spacing w:after="0"/>
              <w:rPr>
                <w:sz w:val="1"/>
                <w:szCs w:val="1"/>
                <w:color w:val="auto"/>
              </w:rPr>
            </w:pPr>
          </w:p>
        </w:tc>
      </w:tr>
      <w:tr>
        <w:trPr>
          <w:trHeight w:val="74"/>
        </w:trPr>
        <w:tc>
          <w:tcPr>
            <w:tcW w:w="168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GOVERNANCE</w:t>
            </w:r>
          </w:p>
        </w:tc>
        <w:tc>
          <w:tcPr>
            <w:tcW w:w="3960" w:type="dxa"/>
            <w:vAlign w:val="bottom"/>
            <w:tcBorders>
              <w:bottom w:val="single" w:sz="8" w:color="E7E1F0"/>
            </w:tcBorders>
            <w:vMerge w:val="continue"/>
          </w:tcPr>
          <w:p>
            <w:pPr>
              <w:spacing w:after="0"/>
              <w:rPr>
                <w:sz w:val="6"/>
                <w:szCs w:val="6"/>
                <w:color w:val="auto"/>
              </w:rPr>
            </w:pPr>
          </w:p>
        </w:tc>
        <w:tc>
          <w:tcPr>
            <w:tcW w:w="3400" w:type="dxa"/>
            <w:vAlign w:val="bottom"/>
            <w:tcBorders>
              <w:bottom w:val="single" w:sz="8" w:color="E7E1F0"/>
            </w:tcBorders>
          </w:tcPr>
          <w:p>
            <w:pPr>
              <w:ind w:left="360"/>
              <w:spacing w:after="0" w:line="21" w:lineRule="exact"/>
              <w:rPr>
                <w:sz w:val="20"/>
                <w:szCs w:val="20"/>
                <w:color w:val="auto"/>
              </w:rPr>
            </w:pPr>
            <w:r>
              <w:rPr>
                <w:rFonts w:ascii="Arial" w:cs="Arial" w:eastAsia="Arial" w:hAnsi="Arial"/>
                <w:sz w:val="2"/>
                <w:szCs w:val="2"/>
                <w:color w:val="auto"/>
              </w:rPr>
              <w:t>cybersecurity risks and risks associated with</w:t>
            </w:r>
          </w:p>
        </w:tc>
        <w:tc>
          <w:tcPr>
            <w:tcW w:w="0" w:type="dxa"/>
            <w:vAlign w:val="bottom"/>
          </w:tcPr>
          <w:p>
            <w:pPr>
              <w:spacing w:after="0"/>
              <w:rPr>
                <w:sz w:val="1"/>
                <w:szCs w:val="1"/>
                <w:color w:val="auto"/>
              </w:rPr>
            </w:pPr>
          </w:p>
        </w:tc>
      </w:tr>
      <w:tr>
        <w:trPr>
          <w:trHeight w:val="180"/>
        </w:trPr>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EXPERIENCE</w:t>
            </w:r>
          </w:p>
        </w:tc>
        <w:tc>
          <w:tcPr>
            <w:tcW w:w="3960" w:type="dxa"/>
            <w:vAlign w:val="bottom"/>
          </w:tcPr>
          <w:p>
            <w:pPr>
              <w:spacing w:after="0"/>
              <w:rPr>
                <w:sz w:val="15"/>
                <w:szCs w:val="15"/>
                <w:color w:val="auto"/>
              </w:rPr>
            </w:pPr>
          </w:p>
        </w:tc>
        <w:tc>
          <w:tcPr>
            <w:tcW w:w="3400" w:type="dxa"/>
            <w:vAlign w:val="bottom"/>
          </w:tcPr>
          <w:p>
            <w:pPr>
              <w:ind w:left="360"/>
              <w:spacing w:after="0"/>
              <w:rPr>
                <w:sz w:val="20"/>
                <w:szCs w:val="20"/>
                <w:color w:val="auto"/>
              </w:rPr>
            </w:pPr>
            <w:r>
              <w:rPr>
                <w:rFonts w:ascii="Arial" w:cs="Arial" w:eastAsia="Arial" w:hAnsi="Arial"/>
                <w:sz w:val="14"/>
                <w:szCs w:val="14"/>
                <w:color w:val="auto"/>
              </w:rPr>
              <w:t>emerging technologies, including</w:t>
            </w:r>
          </w:p>
        </w:tc>
        <w:tc>
          <w:tcPr>
            <w:tcW w:w="0" w:type="dxa"/>
            <w:vAlign w:val="bottom"/>
          </w:tcPr>
          <w:p>
            <w:pPr>
              <w:spacing w:after="0"/>
              <w:rPr>
                <w:sz w:val="1"/>
                <w:szCs w:val="1"/>
                <w:color w:val="auto"/>
              </w:rPr>
            </w:pPr>
          </w:p>
        </w:tc>
      </w:tr>
      <w:tr>
        <w:trPr>
          <w:trHeight w:val="190"/>
        </w:trPr>
        <w:tc>
          <w:tcPr>
            <w:tcW w:w="16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400" w:type="dxa"/>
            <w:vAlign w:val="bottom"/>
          </w:tcPr>
          <w:p>
            <w:pPr>
              <w:ind w:left="360"/>
              <w:spacing w:after="0"/>
              <w:rPr>
                <w:sz w:val="20"/>
                <w:szCs w:val="20"/>
                <w:color w:val="auto"/>
              </w:rPr>
            </w:pPr>
            <w:r>
              <w:rPr>
                <w:rFonts w:ascii="Arial" w:cs="Arial" w:eastAsia="Arial" w:hAnsi="Arial"/>
                <w:sz w:val="14"/>
                <w:szCs w:val="14"/>
                <w:color w:val="auto"/>
              </w:rPr>
              <w:t>artificial intelligence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-414655</wp:posOffset>
            </wp:positionV>
            <wp:extent cx="6810375" cy="58312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10375" cy="583120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543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2560" cy="154305"/>
                    </a:xfrm>
                    <a:prstGeom prst="rect">
                      <a:avLst/>
                    </a:prstGeom>
                    <a:noFill/>
                    <a:ln>
                      <a:noFill/>
                    </a:ln>
                  </pic:spPr>
                </pic:pic>
              </a:graphicData>
            </a:graphic>
          </wp:inline>
        </w:drawing>
      </w:r>
      <w:r>
        <w:rPr>
          <w:rFonts w:ascii="Arial" w:cs="Arial" w:eastAsia="Arial" w:hAnsi="Arial"/>
          <w:sz w:val="29"/>
          <w:szCs w:val="29"/>
          <w:b w:val="1"/>
          <w:bCs w:val="1"/>
          <w:color w:val="auto"/>
        </w:rPr>
        <w:t xml:space="preserve"> DIRECTOR SKILLS</w:t>
      </w:r>
    </w:p>
    <w:p>
      <w:pPr>
        <w:sectPr>
          <w:pgSz w:w="11900" w:h="16874" w:orient="portrait"/>
          <w:cols w:equalWidth="0" w:num="1">
            <w:col w:w="9040"/>
          </w:cols>
          <w:pgMar w:left="1420" w:top="100" w:right="1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0" w:right="1440"/>
        <w:spacing w:after="0" w:line="382" w:lineRule="auto"/>
        <w:rPr>
          <w:sz w:val="20"/>
          <w:szCs w:val="20"/>
          <w:color w:val="auto"/>
        </w:rPr>
      </w:pPr>
      <w:r>
        <w:rPr>
          <w:rFonts w:ascii="Arial" w:cs="Arial" w:eastAsia="Arial" w:hAnsi="Arial"/>
          <w:sz w:val="14"/>
          <w:szCs w:val="14"/>
          <w:b w:val="1"/>
          <w:bCs w:val="1"/>
          <w:color w:val="auto"/>
        </w:rPr>
        <w:t xml:space="preserve">Director Nominee Skills &amp; Experience </w:t>
      </w:r>
      <w:r>
        <w:rPr>
          <w:rFonts w:ascii="Arial" w:cs="Arial" w:eastAsia="Arial" w:hAnsi="Arial"/>
          <w:sz w:val="14"/>
          <w:szCs w:val="14"/>
          <w:color w:val="auto"/>
        </w:rPr>
        <w:t>Industry Experience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Significant Operating Experience</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4"/>
          <w:szCs w:val="14"/>
          <w:color w:val="auto"/>
        </w:rPr>
        <w:t>Leadership Experience</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4"/>
          <w:szCs w:val="14"/>
          <w:color w:val="auto"/>
        </w:rPr>
        <w:t>Global Business and Other International Experience</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4"/>
          <w:szCs w:val="14"/>
          <w:color w:val="auto"/>
        </w:rPr>
        <w:t>Accounting and Financial Expertise</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4"/>
          <w:szCs w:val="14"/>
          <w:color w:val="auto"/>
        </w:rPr>
        <w:t>Product Research, Development, and Marketing Experience</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4"/>
          <w:szCs w:val="14"/>
          <w:color w:val="auto"/>
        </w:rPr>
        <w:t>Public Company Board and Corporate Governance Experience</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35"/>
        </w:trPr>
        <w:tc>
          <w:tcPr>
            <w:tcW w:w="280" w:type="dxa"/>
            <w:vAlign w:val="bottom"/>
            <w:textDirection w:val="btLr"/>
          </w:tcPr>
          <w:p>
            <w:pPr>
              <w:ind w:left="11"/>
              <w:spacing w:after="0"/>
              <w:rPr>
                <w:sz w:val="20"/>
                <w:szCs w:val="20"/>
                <w:color w:val="auto"/>
              </w:rPr>
            </w:pPr>
            <w:r>
              <w:rPr>
                <w:rFonts w:ascii="Arial" w:cs="Arial" w:eastAsia="Arial" w:hAnsi="Arial"/>
                <w:sz w:val="14"/>
                <w:szCs w:val="14"/>
                <w:b w:val="1"/>
                <w:bCs w:val="1"/>
                <w:color w:val="auto"/>
              </w:rPr>
              <w:t>Cousin</w:t>
            </w:r>
          </w:p>
        </w:tc>
        <w:tc>
          <w:tcPr>
            <w:tcW w:w="440" w:type="dxa"/>
            <w:vAlign w:val="bottom"/>
            <w:textDirection w:val="btLr"/>
          </w:tcPr>
          <w:p>
            <w:pPr>
              <w:ind w:left="177"/>
              <w:spacing w:after="0"/>
              <w:rPr>
                <w:sz w:val="20"/>
                <w:szCs w:val="20"/>
                <w:color w:val="auto"/>
              </w:rPr>
            </w:pPr>
            <w:r>
              <w:rPr>
                <w:rFonts w:ascii="Arial" w:cs="Arial" w:eastAsia="Arial" w:hAnsi="Arial"/>
                <w:sz w:val="14"/>
                <w:szCs w:val="14"/>
                <w:b w:val="1"/>
                <w:bCs w:val="1"/>
                <w:color w:val="auto"/>
              </w:rPr>
              <w:t>‘t Hart*</w:t>
            </w:r>
          </w:p>
        </w:tc>
        <w:tc>
          <w:tcPr>
            <w:tcW w:w="440" w:type="dxa"/>
            <w:vAlign w:val="bottom"/>
            <w:textDirection w:val="btLr"/>
          </w:tcPr>
          <w:p>
            <w:pPr>
              <w:ind w:left="182"/>
              <w:spacing w:after="0"/>
              <w:rPr>
                <w:sz w:val="20"/>
                <w:szCs w:val="20"/>
                <w:color w:val="auto"/>
              </w:rPr>
            </w:pPr>
            <w:r>
              <w:rPr>
                <w:rFonts w:ascii="Arial" w:cs="Arial" w:eastAsia="Arial" w:hAnsi="Arial"/>
                <w:sz w:val="14"/>
                <w:szCs w:val="14"/>
                <w:b w:val="1"/>
                <w:bCs w:val="1"/>
                <w:color w:val="auto"/>
              </w:rPr>
              <w:t>McKinstry</w:t>
            </w:r>
          </w:p>
        </w:tc>
        <w:tc>
          <w:tcPr>
            <w:tcW w:w="460" w:type="dxa"/>
            <w:vAlign w:val="bottom"/>
            <w:textDirection w:val="btLr"/>
          </w:tcPr>
          <w:p>
            <w:pPr>
              <w:ind w:left="188"/>
              <w:spacing w:after="0"/>
              <w:rPr>
                <w:sz w:val="20"/>
                <w:szCs w:val="20"/>
                <w:color w:val="auto"/>
              </w:rPr>
            </w:pPr>
            <w:r>
              <w:rPr>
                <w:rFonts w:ascii="Arial" w:cs="Arial" w:eastAsia="Arial" w:hAnsi="Arial"/>
                <w:sz w:val="14"/>
                <w:szCs w:val="14"/>
                <w:b w:val="1"/>
                <w:bCs w:val="1"/>
                <w:color w:val="auto"/>
              </w:rPr>
              <w:t>McNamara</w:t>
            </w:r>
          </w:p>
        </w:tc>
        <w:tc>
          <w:tcPr>
            <w:tcW w:w="440" w:type="dxa"/>
            <w:vAlign w:val="bottom"/>
            <w:textDirection w:val="btLr"/>
          </w:tcPr>
          <w:p>
            <w:pPr>
              <w:ind w:left="173"/>
              <w:spacing w:after="0"/>
              <w:rPr>
                <w:sz w:val="20"/>
                <w:szCs w:val="20"/>
                <w:color w:val="auto"/>
              </w:rPr>
            </w:pPr>
            <w:r>
              <w:rPr>
                <w:rFonts w:ascii="Arial" w:cs="Arial" w:eastAsia="Arial" w:hAnsi="Arial"/>
                <w:sz w:val="14"/>
                <w:szCs w:val="14"/>
                <w:b w:val="1"/>
                <w:bCs w:val="1"/>
                <w:color w:val="auto"/>
              </w:rPr>
              <w:t>Mesquita</w:t>
            </w:r>
          </w:p>
        </w:tc>
        <w:tc>
          <w:tcPr>
            <w:tcW w:w="440" w:type="dxa"/>
            <w:vAlign w:val="bottom"/>
            <w:textDirection w:val="btLr"/>
          </w:tcPr>
          <w:p>
            <w:pPr>
              <w:ind w:left="179"/>
              <w:spacing w:after="0"/>
              <w:rPr>
                <w:sz w:val="20"/>
                <w:szCs w:val="20"/>
                <w:color w:val="auto"/>
              </w:rPr>
            </w:pPr>
            <w:r>
              <w:rPr>
                <w:rFonts w:ascii="Arial" w:cs="Arial" w:eastAsia="Arial" w:hAnsi="Arial"/>
                <w:sz w:val="14"/>
                <w:szCs w:val="14"/>
                <w:b w:val="1"/>
                <w:bCs w:val="1"/>
                <w:color w:val="auto"/>
              </w:rPr>
              <w:t>Nielsen*</w:t>
            </w:r>
          </w:p>
        </w:tc>
        <w:tc>
          <w:tcPr>
            <w:tcW w:w="460" w:type="dxa"/>
            <w:vAlign w:val="bottom"/>
            <w:textDirection w:val="btLr"/>
          </w:tcPr>
          <w:p>
            <w:pPr>
              <w:ind w:left="184"/>
              <w:spacing w:after="0"/>
              <w:rPr>
                <w:sz w:val="20"/>
                <w:szCs w:val="20"/>
                <w:color w:val="auto"/>
              </w:rPr>
            </w:pPr>
            <w:r>
              <w:rPr>
                <w:rFonts w:ascii="Arial" w:cs="Arial" w:eastAsia="Arial" w:hAnsi="Arial"/>
                <w:sz w:val="14"/>
                <w:szCs w:val="14"/>
                <w:b w:val="1"/>
                <w:bCs w:val="1"/>
                <w:color w:val="auto"/>
              </w:rPr>
              <w:t>Price*</w:t>
            </w:r>
          </w:p>
        </w:tc>
        <w:tc>
          <w:tcPr>
            <w:tcW w:w="440" w:type="dxa"/>
            <w:vAlign w:val="bottom"/>
            <w:textDirection w:val="btLr"/>
          </w:tcPr>
          <w:p>
            <w:pPr>
              <w:ind w:left="170"/>
              <w:spacing w:after="0"/>
              <w:rPr>
                <w:sz w:val="20"/>
                <w:szCs w:val="20"/>
                <w:color w:val="auto"/>
              </w:rPr>
            </w:pPr>
            <w:r>
              <w:rPr>
                <w:rFonts w:ascii="Arial" w:cs="Arial" w:eastAsia="Arial" w:hAnsi="Arial"/>
                <w:sz w:val="14"/>
                <w:szCs w:val="14"/>
                <w:b w:val="1"/>
                <w:bCs w:val="1"/>
                <w:color w:val="auto"/>
              </w:rPr>
              <w:t>Siewert*</w:t>
            </w:r>
          </w:p>
        </w:tc>
        <w:tc>
          <w:tcPr>
            <w:tcW w:w="440" w:type="dxa"/>
            <w:vAlign w:val="bottom"/>
            <w:textDirection w:val="btLr"/>
          </w:tcPr>
          <w:p>
            <w:pPr>
              <w:ind w:left="175"/>
              <w:spacing w:after="0"/>
              <w:rPr>
                <w:sz w:val="20"/>
                <w:szCs w:val="20"/>
                <w:color w:val="auto"/>
              </w:rPr>
            </w:pPr>
            <w:r>
              <w:rPr>
                <w:rFonts w:ascii="Arial" w:cs="Arial" w:eastAsia="Arial" w:hAnsi="Arial"/>
                <w:sz w:val="14"/>
                <w:szCs w:val="14"/>
                <w:b w:val="1"/>
                <w:bCs w:val="1"/>
                <w:color w:val="auto"/>
              </w:rPr>
              <w:t>Todman</w:t>
            </w:r>
          </w:p>
        </w:tc>
        <w:tc>
          <w:tcPr>
            <w:tcW w:w="280" w:type="dxa"/>
            <w:vAlign w:val="bottom"/>
            <w:textDirection w:val="btLr"/>
          </w:tcPr>
          <w:p>
            <w:pPr>
              <w:ind w:left="119"/>
              <w:spacing w:after="0"/>
              <w:rPr>
                <w:sz w:val="20"/>
                <w:szCs w:val="20"/>
                <w:color w:val="auto"/>
              </w:rPr>
            </w:pPr>
            <w:r>
              <w:rPr>
                <w:rFonts w:ascii="Arial" w:cs="Arial" w:eastAsia="Arial" w:hAnsi="Arial"/>
                <w:sz w:val="14"/>
                <w:szCs w:val="14"/>
                <w:b w:val="1"/>
                <w:bCs w:val="1"/>
                <w:color w:val="auto"/>
              </w:rPr>
              <w:t>Van de Put</w:t>
            </w:r>
          </w:p>
        </w:tc>
      </w:tr>
    </w:tbl>
    <w:p>
      <w:pPr>
        <w:spacing w:after="0" w:line="2174" w:lineRule="exact"/>
        <w:rPr>
          <w:sz w:val="20"/>
          <w:szCs w:val="20"/>
          <w:color w:val="auto"/>
        </w:rPr>
      </w:pPr>
    </w:p>
    <w:p>
      <w:pPr>
        <w:sectPr>
          <w:pgSz w:w="11900" w:h="16874" w:orient="portrait"/>
          <w:cols w:equalWidth="0" w:num="2">
            <w:col w:w="4080" w:space="560"/>
            <w:col w:w="4400"/>
          </w:cols>
          <w:pgMar w:left="1420" w:top="100" w:right="1439" w:bottom="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420" w:type="dxa"/>
            <w:vAlign w:val="bottom"/>
          </w:tcPr>
          <w:p>
            <w:pPr>
              <w:jc w:val="center"/>
              <w:ind w:right="168"/>
              <w:spacing w:after="0"/>
              <w:rPr>
                <w:sz w:val="20"/>
                <w:szCs w:val="20"/>
                <w:color w:val="auto"/>
              </w:rPr>
            </w:pPr>
            <w:r>
              <w:rPr>
                <w:rFonts w:ascii="Arial" w:cs="Arial" w:eastAsia="Arial" w:hAnsi="Arial"/>
                <w:sz w:val="14"/>
                <w:szCs w:val="14"/>
                <w:color w:val="auto"/>
              </w:rPr>
              <w:t>Deep Proficiency</w:t>
            </w:r>
          </w:p>
        </w:tc>
        <w:tc>
          <w:tcPr>
            <w:tcW w:w="4380" w:type="dxa"/>
            <w:vAlign w:val="bottom"/>
          </w:tcPr>
          <w:p>
            <w:pPr>
              <w:jc w:val="center"/>
              <w:ind w:left="148"/>
              <w:spacing w:after="0"/>
              <w:rPr>
                <w:sz w:val="20"/>
                <w:szCs w:val="20"/>
                <w:color w:val="auto"/>
              </w:rPr>
            </w:pPr>
            <w:r>
              <w:rPr>
                <w:rFonts w:ascii="Arial" w:cs="Arial" w:eastAsia="Arial" w:hAnsi="Arial"/>
                <w:sz w:val="14"/>
                <w:szCs w:val="14"/>
                <w:color w:val="auto"/>
              </w:rPr>
              <w:t>Proficiency</w:t>
            </w:r>
          </w:p>
        </w:tc>
      </w:tr>
      <w:tr>
        <w:trPr>
          <w:trHeight w:val="296"/>
        </w:trPr>
        <w:tc>
          <w:tcPr>
            <w:tcW w:w="4420" w:type="dxa"/>
            <w:vAlign w:val="bottom"/>
          </w:tcPr>
          <w:p>
            <w:pPr>
              <w:jc w:val="center"/>
              <w:ind w:right="148"/>
              <w:spacing w:after="0"/>
              <w:rPr>
                <w:sz w:val="20"/>
                <w:szCs w:val="20"/>
                <w:color w:val="auto"/>
              </w:rPr>
            </w:pPr>
            <w:r>
              <w:rPr>
                <w:rFonts w:ascii="Arial" w:cs="Arial" w:eastAsia="Arial" w:hAnsi="Arial"/>
                <w:sz w:val="14"/>
                <w:szCs w:val="14"/>
                <w:color w:val="auto"/>
              </w:rPr>
              <w:t>A person who has developed in-depth knowledge of or deeper</w:t>
            </w:r>
          </w:p>
        </w:tc>
        <w:tc>
          <w:tcPr>
            <w:tcW w:w="4380" w:type="dxa"/>
            <w:vAlign w:val="bottom"/>
          </w:tcPr>
          <w:p>
            <w:pPr>
              <w:jc w:val="center"/>
              <w:ind w:left="148"/>
              <w:spacing w:after="0"/>
              <w:rPr>
                <w:sz w:val="20"/>
                <w:szCs w:val="20"/>
                <w:color w:val="auto"/>
              </w:rPr>
            </w:pPr>
            <w:r>
              <w:rPr>
                <w:rFonts w:ascii="Arial" w:cs="Arial" w:eastAsia="Arial" w:hAnsi="Arial"/>
                <w:sz w:val="14"/>
                <w:szCs w:val="14"/>
                <w:color w:val="auto"/>
              </w:rPr>
              <w:t>Experience or competence in skill area, including through serving</w:t>
            </w:r>
          </w:p>
        </w:tc>
      </w:tr>
      <w:tr>
        <w:trPr>
          <w:trHeight w:val="189"/>
        </w:trPr>
        <w:tc>
          <w:tcPr>
            <w:tcW w:w="4420" w:type="dxa"/>
            <w:vAlign w:val="bottom"/>
          </w:tcPr>
          <w:p>
            <w:pPr>
              <w:jc w:val="center"/>
              <w:ind w:right="168"/>
              <w:spacing w:after="0"/>
              <w:rPr>
                <w:sz w:val="20"/>
                <w:szCs w:val="20"/>
                <w:color w:val="auto"/>
              </w:rPr>
            </w:pPr>
            <w:r>
              <w:rPr>
                <w:rFonts w:ascii="Arial" w:cs="Arial" w:eastAsia="Arial" w:hAnsi="Arial"/>
                <w:sz w:val="14"/>
                <w:szCs w:val="14"/>
                <w:color w:val="auto"/>
              </w:rPr>
              <w:t>competency in a particular area, including extensive experience in</w:t>
            </w:r>
          </w:p>
        </w:tc>
        <w:tc>
          <w:tcPr>
            <w:tcW w:w="4380" w:type="dxa"/>
            <w:vAlign w:val="bottom"/>
          </w:tcPr>
          <w:p>
            <w:pPr>
              <w:jc w:val="center"/>
              <w:ind w:left="148"/>
              <w:spacing w:after="0"/>
              <w:rPr>
                <w:sz w:val="20"/>
                <w:szCs w:val="20"/>
                <w:color w:val="auto"/>
              </w:rPr>
            </w:pPr>
            <w:r>
              <w:rPr>
                <w:rFonts w:ascii="Arial" w:cs="Arial" w:eastAsia="Arial" w:hAnsi="Arial"/>
                <w:sz w:val="14"/>
                <w:szCs w:val="14"/>
                <w:color w:val="auto"/>
              </w:rPr>
              <w:t>as a member of a relevant board committee at Mondelēz or</w:t>
            </w:r>
          </w:p>
        </w:tc>
      </w:tr>
      <w:tr>
        <w:trPr>
          <w:trHeight w:val="176"/>
        </w:trPr>
        <w:tc>
          <w:tcPr>
            <w:tcW w:w="4420" w:type="dxa"/>
            <w:vAlign w:val="bottom"/>
          </w:tcPr>
          <w:p>
            <w:pPr>
              <w:jc w:val="center"/>
              <w:ind w:right="168"/>
              <w:spacing w:after="0"/>
              <w:rPr>
                <w:sz w:val="20"/>
                <w:szCs w:val="20"/>
                <w:color w:val="auto"/>
              </w:rPr>
            </w:pPr>
            <w:r>
              <w:rPr>
                <w:rFonts w:ascii="Arial" w:cs="Arial" w:eastAsia="Arial" w:hAnsi="Arial"/>
                <w:sz w:val="14"/>
                <w:szCs w:val="14"/>
                <w:color w:val="auto"/>
              </w:rPr>
              <w:t>company governance or executive leadership roles.</w:t>
            </w:r>
          </w:p>
        </w:tc>
        <w:tc>
          <w:tcPr>
            <w:tcW w:w="4380" w:type="dxa"/>
            <w:vAlign w:val="bottom"/>
          </w:tcPr>
          <w:p>
            <w:pPr>
              <w:jc w:val="center"/>
              <w:ind w:left="148"/>
              <w:spacing w:after="0"/>
              <w:rPr>
                <w:sz w:val="20"/>
                <w:szCs w:val="20"/>
                <w:color w:val="auto"/>
              </w:rPr>
            </w:pPr>
            <w:r>
              <w:rPr>
                <w:rFonts w:ascii="Arial" w:cs="Arial" w:eastAsia="Arial" w:hAnsi="Arial"/>
                <w:sz w:val="14"/>
                <w:szCs w:val="14"/>
                <w:color w:val="auto"/>
              </w:rPr>
              <w:t>another company or serving as an executive officer of a</w:t>
            </w:r>
          </w:p>
        </w:tc>
      </w:tr>
      <w:tr>
        <w:trPr>
          <w:trHeight w:val="173"/>
        </w:trPr>
        <w:tc>
          <w:tcPr>
            <w:tcW w:w="4420" w:type="dxa"/>
            <w:vAlign w:val="bottom"/>
          </w:tcPr>
          <w:p>
            <w:pPr>
              <w:spacing w:after="0"/>
              <w:rPr>
                <w:sz w:val="15"/>
                <w:szCs w:val="15"/>
                <w:color w:val="auto"/>
              </w:rPr>
            </w:pPr>
          </w:p>
        </w:tc>
        <w:tc>
          <w:tcPr>
            <w:tcW w:w="4380" w:type="dxa"/>
            <w:vAlign w:val="bottom"/>
          </w:tcPr>
          <w:p>
            <w:pPr>
              <w:jc w:val="center"/>
              <w:ind w:left="148"/>
              <w:spacing w:after="0"/>
              <w:rPr>
                <w:sz w:val="20"/>
                <w:szCs w:val="20"/>
                <w:color w:val="auto"/>
              </w:rPr>
            </w:pPr>
            <w:r>
              <w:rPr>
                <w:rFonts w:ascii="Arial" w:cs="Arial" w:eastAsia="Arial" w:hAnsi="Arial"/>
                <w:sz w:val="14"/>
                <w:szCs w:val="14"/>
                <w:color w:val="auto"/>
              </w:rPr>
              <w:t>public company.</w:t>
            </w:r>
          </w:p>
        </w:tc>
      </w:tr>
    </w:tbl>
    <w:p>
      <w:pPr>
        <w:ind w:left="180" w:hanging="97"/>
        <w:spacing w:after="0" w:line="225"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3"/>
          <w:szCs w:val="13"/>
          <w:i w:val="1"/>
          <w:iCs w:val="1"/>
          <w:color w:val="auto"/>
        </w:rPr>
        <w:t>Denotes Audit Committee Financial Expert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20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4602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10375" cy="4602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400"/>
        <w:spacing w:after="0"/>
        <w:rPr>
          <w:sz w:val="20"/>
          <w:szCs w:val="20"/>
          <w:color w:val="auto"/>
        </w:rPr>
      </w:pPr>
      <w:r>
        <w:rPr>
          <w:rFonts w:ascii="Arial" w:cs="Arial" w:eastAsia="Arial" w:hAnsi="Arial"/>
          <w:sz w:val="21"/>
          <w:szCs w:val="21"/>
          <w:b w:val="1"/>
          <w:bCs w:val="1"/>
          <w:color w:val="auto"/>
        </w:rPr>
        <w:t>ITEM 1. ELECTION OF DIRECTORS</w:t>
      </w:r>
    </w:p>
    <w:p>
      <w:pPr>
        <w:spacing w:after="0" w:line="48" w:lineRule="exact"/>
        <w:rPr>
          <w:sz w:val="20"/>
          <w:szCs w:val="20"/>
          <w:color w:val="auto"/>
        </w:rPr>
      </w:pPr>
    </w:p>
    <w:p>
      <w:pPr>
        <w:ind w:left="8120"/>
        <w:spacing w:after="0"/>
        <w:rPr>
          <w:sz w:val="20"/>
          <w:szCs w:val="20"/>
          <w:color w:val="auto"/>
        </w:rPr>
      </w:pPr>
      <w:r>
        <w:rPr>
          <w:rFonts w:ascii="Arial" w:cs="Arial" w:eastAsia="Arial" w:hAnsi="Arial"/>
          <w:sz w:val="14"/>
          <w:szCs w:val="14"/>
          <w:color w:val="auto"/>
        </w:rPr>
        <w:t>Director Skills</w:t>
      </w:r>
    </w:p>
    <w:p>
      <w:pPr>
        <w:spacing w:after="0" w:line="200" w:lineRule="exact"/>
        <w:rPr>
          <w:sz w:val="20"/>
          <w:szCs w:val="20"/>
          <w:color w:val="auto"/>
        </w:rPr>
      </w:pPr>
    </w:p>
    <w:p>
      <w:pPr>
        <w:spacing w:after="0" w:line="267" w:lineRule="exact"/>
        <w:rPr>
          <w:sz w:val="20"/>
          <w:szCs w:val="20"/>
          <w:color w:val="auto"/>
        </w:rPr>
      </w:pPr>
    </w:p>
    <w:p>
      <w:pPr>
        <w:ind w:right="520"/>
        <w:spacing w:after="0" w:line="285" w:lineRule="auto"/>
        <w:rPr>
          <w:sz w:val="20"/>
          <w:szCs w:val="20"/>
          <w:color w:val="auto"/>
        </w:rPr>
      </w:pPr>
      <w:r>
        <w:rPr>
          <w:rFonts w:ascii="Arial" w:cs="Arial" w:eastAsia="Arial" w:hAnsi="Arial"/>
          <w:sz w:val="22"/>
          <w:szCs w:val="22"/>
          <w:b w:val="1"/>
          <w:bCs w:val="1"/>
          <w:color w:val="582C83"/>
        </w:rPr>
        <w:t>INDIVIDUAL DIRECTOR SELF- AND PEER-ASSESSMENTS AND CONSIDERATIONS FOR RENOMINATION OF INCUMBENT DIRECTORS</w:t>
      </w:r>
    </w:p>
    <w:p>
      <w:pPr>
        <w:spacing w:after="0" w:line="27" w:lineRule="exact"/>
        <w:rPr>
          <w:sz w:val="20"/>
          <w:szCs w:val="20"/>
          <w:color w:val="auto"/>
        </w:rPr>
      </w:pPr>
    </w:p>
    <w:p>
      <w:pPr>
        <w:ind w:right="60"/>
        <w:spacing w:after="0" w:line="317" w:lineRule="auto"/>
        <w:rPr>
          <w:sz w:val="20"/>
          <w:szCs w:val="20"/>
          <w:color w:val="auto"/>
        </w:rPr>
      </w:pPr>
      <w:r>
        <w:rPr>
          <w:rFonts w:ascii="Arial" w:cs="Arial" w:eastAsia="Arial" w:hAnsi="Arial"/>
          <w:sz w:val="17"/>
          <w:szCs w:val="17"/>
          <w:color w:val="auto"/>
        </w:rPr>
        <w:t>The Board does not believe that directors should expect to be automatically renominated. Therefore, annual Board and director self-assessments are important determinants in a director’s renomination and tenure.</w:t>
      </w:r>
    </w:p>
    <w:p>
      <w:pPr>
        <w:spacing w:after="0" w:line="37"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The Governance Committee coordinates annual Board, committee, and director self- and peer-assessments. The peer-assessment component anonymously elicits feedback on individual director performance. The assessments include one-on-one discussions between each director and the Lead Independent Director. All incumbent director nominees complete questionnaires annually to update and confirm their background, qualifications, and skills, and to identify any potential conflicts of interest. The Governance Committee assesses the experience, qualifications, attributes, skills, and contributions of each director. In coordination with the Lead Independent Director, the Governance Committee also considers each individual in the context of the Board’s composition as a whole, with the objective of recruiting and recommending a slate of director nominees who can best sustain the Company’s success and represent shareholders’ interests by exercising sound judgment and informed decision-making.</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The Board expects that a director’s other commitments will not interfere with his or her duties as a Company director.</w:t>
      </w:r>
    </w:p>
    <w:p>
      <w:pPr>
        <w:spacing w:after="0" w:line="1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Governance Committee and the Board take into account the nature and extent of a director’s other commitments when determining whether to nominate that individual for election or re-election, including their attendance at and participation in Board and relevant committee meetings. Under the Company’s Guidelines, directors should not serve on more than three public company boards in addition to the Company’s Board (for a total of four public company boards), and a Board member who also serves as CEO (or equivalent position) at another public company should not serve on more than one public company board in addition to the Company’s Board (for a total of two public company boards).</w:t>
      </w:r>
    </w:p>
    <w:p>
      <w:pPr>
        <w:sectPr>
          <w:pgSz w:w="11900" w:h="16874" w:orient="portrait"/>
          <w:cols w:equalWidth="0" w:num="1">
            <w:col w:w="9040"/>
          </w:cols>
          <w:pgMar w:left="1420" w:top="100" w:right="1439" w:bottom="0" w:gutter="0" w:footer="0" w:header="0"/>
          <w:type w:val="continuous"/>
        </w:sectPr>
      </w:pP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582C83"/>
        </w:rPr>
        <w:t>BOARD REFRESHMENT THROUGH DIRECTOR TENURE AND AGE LIMITS</w:t>
      </w:r>
    </w:p>
    <w:p>
      <w:pPr>
        <w:sectPr>
          <w:pgSz w:w="11900" w:h="16874" w:orient="portrait"/>
          <w:cols w:equalWidth="0" w:num="1">
            <w:col w:w="9040"/>
          </w:cols>
          <w:pgMar w:left="1420" w:top="100" w:right="1439" w:bottom="0" w:gutter="0" w:footer="0" w:header="0"/>
          <w:type w:val="continuous"/>
        </w:sectPr>
      </w:pPr>
    </w:p>
    <w:bookmarkStart w:id="20" w:name="page21"/>
    <w:bookmarkEnd w:id="20"/>
    <w:p>
      <w:pPr>
        <w:ind w:right="60"/>
        <w:spacing w:after="0" w:line="28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25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10375" cy="4253865"/>
                    </a:xfrm>
                    <a:prstGeom prst="rect">
                      <a:avLst/>
                    </a:prstGeom>
                    <a:noFill/>
                  </pic:spPr>
                </pic:pic>
              </a:graphicData>
            </a:graphic>
          </wp:anchor>
        </w:drawing>
        <w:t>The Board believes the optimal Board composition has a balance of tenured members with in-depth knowledge of the Company’s business and operations and newer members who bring fresh perspectives. To that end, our Guidelines provide that non-employee directors have a term limit of 15 years and will not be nominated for re-election to the Board after they turn 75.</w:t>
      </w:r>
    </w:p>
    <w:p>
      <w:pPr>
        <w:spacing w:after="0" w:line="61"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In addition, as noted above, the Board’s annual self-assessment process includes director self- and peer-assessments and discussions between the Lead Independent Director and each director, in coordination with the Governance Committee, regarding the director’s strengths and opportunities to enhance contributions.</w:t>
      </w:r>
    </w:p>
    <w:p>
      <w:pPr>
        <w:spacing w:after="0" w:line="72"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color w:val="auto"/>
        </w:rPr>
        <w:t>The current Board composition reflects the Board’s commitment to ongoing refreshment, with four new directors joining the Board in the last three years.</w:t>
      </w:r>
    </w:p>
    <w:p>
      <w:pPr>
        <w:spacing w:after="0" w:line="240"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SHAREHOLDER RECOMMENDATIONS FOR</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DIRECTOR CANDIDATES</w:t>
      </w:r>
    </w:p>
    <w:p>
      <w:pPr>
        <w:spacing w:after="0" w:line="16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Governance Committee will consider recommendations for director candidates submitted by shareholders. Shareholders should submit the proposed candidate’s name along with the same information required for a shareholder to nominate a candidate for election to the Board at an annual meeting. Recommendations should be sent to our Corporate Secretary in the manner set forth in the advance notice provisions of our Amended and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Restated By-Laws (“By-Laws”).</w:t>
      </w:r>
    </w:p>
    <w:p>
      <w:pPr>
        <w:spacing w:after="0" w:line="129" w:lineRule="exact"/>
        <w:rPr>
          <w:sz w:val="20"/>
          <w:szCs w:val="20"/>
          <w:color w:val="auto"/>
        </w:rPr>
      </w:pPr>
    </w:p>
    <w:p>
      <w:pPr>
        <w:jc w:val="both"/>
        <w:ind w:right="20"/>
        <w:spacing w:after="0" w:line="282" w:lineRule="auto"/>
        <w:rPr>
          <w:sz w:val="20"/>
          <w:szCs w:val="20"/>
          <w:color w:val="auto"/>
        </w:rPr>
      </w:pPr>
      <w:r>
        <w:rPr>
          <w:rFonts w:ascii="Arial" w:cs="Arial" w:eastAsia="Arial" w:hAnsi="Arial"/>
          <w:sz w:val="17"/>
          <w:szCs w:val="17"/>
          <w:color w:val="auto"/>
        </w:rPr>
        <w:t>The Governance Committee evaluates director candidates recommended by shareholders using the same criteria as it uses to evaluate candidates from other sources. Following the evaluation process, the Governance Committee makes a recommendation to the Board regarding the candidate’s appointment or nomination for election to the Board, and the Board considers whether to appoint or nominate the candidate. Shareholders who nominate prospective candidates will be advised of the Board’s decision.</w:t>
      </w:r>
    </w:p>
    <w:p>
      <w:pPr>
        <w:spacing w:after="0" w:line="296"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61798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10375" cy="6179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 ELECTION OF DIRECTORS</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Shareholders Elect Directors Annually</w:t>
      </w: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SHAREHOLDERS ELECT DIRECTORS ANNUALLY</w:t>
      </w:r>
    </w:p>
    <w:p>
      <w:pPr>
        <w:spacing w:after="0" w:line="205"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Directors are elected annually by a majority of votes cast if the election is uncontested. The terms of all directors elected at the Annual Meeting are scheduled to end at the 2027 Annual Meeting of Shareholders or when a director’s successor has been duly elected and qualified.</w:t>
      </w:r>
    </w:p>
    <w:p>
      <w:pPr>
        <w:spacing w:after="0" w:line="58"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The Board currently consists of 10 directors. The Board nominated for election at the Annual Meeting the 10 individuals introduced below. Shareholders most recently elected each of the director nominees to one-year terms at the 2025 Annual Meeting of Shareholders.</w:t>
      </w:r>
    </w:p>
    <w:p>
      <w:pPr>
        <w:spacing w:after="0" w:line="58"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Each director nominee consented to being nominated for election to the Board and to serving on the Board, if elected. If a director nominee should become unavailable to serve as a director, the individuals named as proxies intend to vote the shares for a replacement director nominee designated by the Board. In lieu of naming a substitute, the Board may reduce the number of directors on the Board.</w:t>
      </w:r>
    </w:p>
    <w:p>
      <w:pPr>
        <w:sectPr>
          <w:pgSz w:w="11900" w:h="16838" w:orient="portrait"/>
          <w:cols w:equalWidth="0" w:num="1">
            <w:col w:w="9040"/>
          </w:cols>
          <w:pgMar w:left="1420" w:top="225" w:right="14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676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10375" cy="267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22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775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10375" cy="7757160"/>
                    </a:xfrm>
                    <a:prstGeom prst="rect">
                      <a:avLst/>
                    </a:prstGeom>
                    <a:noFill/>
                  </pic:spPr>
                </pic:pic>
              </a:graphicData>
            </a:graphic>
          </wp:anchor>
        </w:drawing>
      </w:r>
    </w:p>
    <w:p>
      <w:pPr>
        <w:sectPr>
          <w:pgSz w:w="11900" w:h="16838" w:orient="portrait"/>
          <w:cols w:equalWidth="0" w:num="1">
            <w:col w:w="9039"/>
          </w:cols>
          <w:pgMar w:left="142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39"/>
        <w:spacing w:after="0"/>
        <w:rPr>
          <w:sz w:val="20"/>
          <w:szCs w:val="20"/>
          <w:color w:val="auto"/>
        </w:rPr>
      </w:pPr>
      <w:r>
        <w:rPr>
          <w:rFonts w:ascii="Arial" w:cs="Arial" w:eastAsia="Arial" w:hAnsi="Arial"/>
          <w:sz w:val="22"/>
          <w:szCs w:val="22"/>
          <w:b w:val="1"/>
          <w:bCs w:val="1"/>
          <w:color w:val="auto"/>
        </w:rPr>
        <w:t>ITEM 1. ELECTION OF DIRECTORS</w:t>
      </w:r>
    </w:p>
    <w:p>
      <w:pPr>
        <w:spacing w:after="0" w:line="37" w:lineRule="exact"/>
        <w:rPr>
          <w:sz w:val="20"/>
          <w:szCs w:val="20"/>
          <w:color w:val="auto"/>
        </w:rPr>
      </w:pPr>
    </w:p>
    <w:p>
      <w:pPr>
        <w:jc w:val="right"/>
        <w:ind w:right="19"/>
        <w:spacing w:after="0"/>
        <w:rPr>
          <w:sz w:val="20"/>
          <w:szCs w:val="20"/>
          <w:color w:val="auto"/>
        </w:rPr>
      </w:pPr>
      <w:r>
        <w:rPr>
          <w:rFonts w:ascii="Arial" w:cs="Arial" w:eastAsia="Arial" w:hAnsi="Arial"/>
          <w:sz w:val="14"/>
          <w:szCs w:val="14"/>
          <w:color w:val="auto"/>
        </w:rPr>
        <w:t>Director Nominees for Election at the Annual Meeting</w:t>
      </w:r>
    </w:p>
    <w:p>
      <w:pPr>
        <w:spacing w:after="0" w:line="200" w:lineRule="exact"/>
        <w:rPr>
          <w:sz w:val="20"/>
          <w:szCs w:val="20"/>
          <w:color w:val="auto"/>
        </w:rPr>
      </w:pPr>
    </w:p>
    <w:p>
      <w:pPr>
        <w:spacing w:after="0" w:line="329" w:lineRule="exact"/>
        <w:rPr>
          <w:sz w:val="20"/>
          <w:szCs w:val="20"/>
          <w:color w:val="auto"/>
        </w:rPr>
      </w:pPr>
    </w:p>
    <w:p>
      <w:pPr>
        <w:ind w:left="440" w:right="2179" w:hanging="363"/>
        <w:spacing w:after="0"/>
        <w:rPr>
          <w:sz w:val="20"/>
          <w:szCs w:val="20"/>
          <w:color w:val="auto"/>
        </w:rPr>
      </w:pPr>
      <w:r>
        <w:rPr>
          <w:sz w:val="1"/>
          <w:szCs w:val="1"/>
          <w:color w:val="auto"/>
        </w:rPr>
        <w:drawing>
          <wp:inline distT="0" distB="0" distL="0" distR="0">
            <wp:extent cx="162560" cy="16319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DIRECTOR NOMINEES FOR ELECTION AT THE ANNUAL MEETING</w:t>
      </w:r>
    </w:p>
    <w:p>
      <w:pPr>
        <w:spacing w:after="0" w:line="209" w:lineRule="exact"/>
        <w:rPr>
          <w:sz w:val="20"/>
          <w:szCs w:val="20"/>
          <w:color w:val="auto"/>
        </w:rPr>
      </w:pPr>
    </w:p>
    <w:p>
      <w:pPr>
        <w:ind w:left="920" w:right="359"/>
        <w:spacing w:after="0" w:line="313" w:lineRule="auto"/>
        <w:rPr>
          <w:sz w:val="20"/>
          <w:szCs w:val="20"/>
          <w:color w:val="auto"/>
        </w:rPr>
      </w:pPr>
      <w:r>
        <w:rPr>
          <w:rFonts w:ascii="Arial" w:cs="Arial" w:eastAsia="Arial" w:hAnsi="Arial"/>
          <w:sz w:val="17"/>
          <w:szCs w:val="17"/>
          <w:b w:val="1"/>
          <w:bCs w:val="1"/>
          <w:color w:val="FFFFFF"/>
        </w:rPr>
        <w:t>THE BOARD RECOMMENDS SHAREHOLDERS VOTE FOR THE ELECTION OF EACH OF THE 10 DIRECTOR NOMINEES INTRODUCED BELOW.</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regarding each director nominee is as of March 11, 2026, unless otherwise noted.</w:t>
      </w:r>
    </w:p>
    <w:p>
      <w:pPr>
        <w:spacing w:after="0" w:line="237" w:lineRule="exact"/>
        <w:rPr>
          <w:sz w:val="20"/>
          <w:szCs w:val="20"/>
          <w:color w:val="auto"/>
        </w:rPr>
      </w:pPr>
    </w:p>
    <w:tbl>
      <w:tblPr>
        <w:tblLayout w:type="fixed"/>
        <w:tblInd w:w="1360" w:type="dxa"/>
        <w:tblCellMar>
          <w:top w:w="0" w:type="dxa"/>
          <w:left w:w="0" w:type="dxa"/>
          <w:bottom w:w="0" w:type="dxa"/>
          <w:right w:w="0" w:type="dxa"/>
        </w:tblCellMar>
      </w:tblPr>
      <w:tr>
        <w:trPr>
          <w:trHeight w:val="244"/>
        </w:trPr>
        <w:tc>
          <w:tcPr>
            <w:tcW w:w="1880" w:type="dxa"/>
            <w:vAlign w:val="bottom"/>
          </w:tcPr>
          <w:p>
            <w:pPr>
              <w:spacing w:after="0"/>
              <w:rPr>
                <w:sz w:val="20"/>
                <w:szCs w:val="20"/>
                <w:color w:val="auto"/>
              </w:rPr>
            </w:pPr>
            <w:r>
              <w:rPr>
                <w:rFonts w:ascii="Arial" w:cs="Arial" w:eastAsia="Arial" w:hAnsi="Arial"/>
                <w:sz w:val="18"/>
                <w:szCs w:val="18"/>
                <w:b w:val="1"/>
                <w:bCs w:val="1"/>
                <w:color w:val="auto"/>
              </w:rPr>
              <w:t>Ertharin Cousin</w:t>
            </w:r>
          </w:p>
        </w:tc>
        <w:tc>
          <w:tcPr>
            <w:tcW w:w="3580" w:type="dxa"/>
            <w:vAlign w:val="bottom"/>
          </w:tcPr>
          <w:p>
            <w:pPr>
              <w:ind w:left="140"/>
              <w:spacing w:after="0"/>
              <w:rPr>
                <w:sz w:val="20"/>
                <w:szCs w:val="20"/>
                <w:color w:val="auto"/>
              </w:rPr>
            </w:pPr>
            <w:r>
              <w:rPr>
                <w:rFonts w:ascii="Arial" w:cs="Arial" w:eastAsia="Arial" w:hAnsi="Arial"/>
                <w:sz w:val="17"/>
                <w:szCs w:val="17"/>
                <w:b w:val="1"/>
                <w:bCs w:val="1"/>
                <w:color w:val="auto"/>
              </w:rPr>
              <w:t>DIRECTOR SINCE:  DIRECTOR SKILLS:</w:t>
            </w:r>
          </w:p>
        </w:tc>
        <w:tc>
          <w:tcPr>
            <w:tcW w:w="1980" w:type="dxa"/>
            <w:vAlign w:val="bottom"/>
            <w:gridSpan w:val="2"/>
          </w:tcPr>
          <w:p>
            <w:pPr>
              <w:ind w:left="120"/>
              <w:spacing w:after="0"/>
              <w:rPr>
                <w:sz w:val="20"/>
                <w:szCs w:val="20"/>
                <w:color w:val="auto"/>
              </w:rPr>
            </w:pPr>
            <w:r>
              <w:rPr>
                <w:rFonts w:ascii="Arial" w:cs="Arial" w:eastAsia="Arial" w:hAnsi="Arial"/>
                <w:sz w:val="17"/>
                <w:szCs w:val="17"/>
                <w:b w:val="1"/>
                <w:bCs w:val="1"/>
                <w:color w:val="auto"/>
                <w:w w:val="98"/>
              </w:rPr>
              <w:t>BOARD COMMITTEES:</w:t>
            </w:r>
          </w:p>
        </w:tc>
        <w:tc>
          <w:tcPr>
            <w:tcW w:w="0" w:type="dxa"/>
            <w:vAlign w:val="bottom"/>
          </w:tcPr>
          <w:p>
            <w:pPr>
              <w:spacing w:after="0"/>
              <w:rPr>
                <w:sz w:val="1"/>
                <w:szCs w:val="1"/>
                <w:color w:val="auto"/>
              </w:rPr>
            </w:pPr>
          </w:p>
        </w:tc>
      </w:tr>
      <w:tr>
        <w:trPr>
          <w:trHeight w:val="188"/>
        </w:trPr>
        <w:tc>
          <w:tcPr>
            <w:tcW w:w="1880" w:type="dxa"/>
            <w:vAlign w:val="bottom"/>
          </w:tcPr>
          <w:p>
            <w:pPr>
              <w:spacing w:after="0"/>
              <w:rPr>
                <w:sz w:val="20"/>
                <w:szCs w:val="20"/>
                <w:color w:val="auto"/>
              </w:rPr>
            </w:pPr>
            <w:r>
              <w:rPr>
                <w:rFonts w:ascii="Arial" w:cs="Arial" w:eastAsia="Arial" w:hAnsi="Arial"/>
                <w:sz w:val="14"/>
                <w:szCs w:val="14"/>
                <w:i w:val="1"/>
                <w:iCs w:val="1"/>
                <w:color w:val="auto"/>
              </w:rPr>
              <w:t>Founder, President and</w:t>
            </w:r>
          </w:p>
        </w:tc>
        <w:tc>
          <w:tcPr>
            <w:tcW w:w="3580" w:type="dxa"/>
            <w:vAlign w:val="bottom"/>
            <w:vMerge w:val="restart"/>
          </w:tcPr>
          <w:p>
            <w:pPr>
              <w:jc w:val="center"/>
              <w:ind w:right="1695"/>
              <w:spacing w:after="0"/>
              <w:rPr>
                <w:sz w:val="20"/>
                <w:szCs w:val="20"/>
                <w:color w:val="auto"/>
              </w:rPr>
            </w:pPr>
            <w:r>
              <w:rPr>
                <w:rFonts w:ascii="Arial" w:cs="Arial" w:eastAsia="Arial" w:hAnsi="Arial"/>
                <w:sz w:val="17"/>
                <w:szCs w:val="17"/>
                <w:color w:val="auto"/>
              </w:rPr>
              <w:t>January 2022</w:t>
            </w:r>
          </w:p>
        </w:tc>
        <w:tc>
          <w:tcPr>
            <w:tcW w:w="240" w:type="dxa"/>
            <w:vAlign w:val="bottom"/>
            <w:vMerge w:val="restart"/>
          </w:tcPr>
          <w:p>
            <w:pPr>
              <w:ind w:left="120"/>
              <w:spacing w:after="0"/>
              <w:rPr>
                <w:sz w:val="20"/>
                <w:szCs w:val="20"/>
                <w:color w:val="auto"/>
              </w:rPr>
            </w:pPr>
            <w:r>
              <w:rPr>
                <w:rFonts w:ascii="Arial" w:cs="Arial" w:eastAsia="Arial" w:hAnsi="Arial"/>
                <w:sz w:val="17"/>
                <w:szCs w:val="17"/>
                <w:color w:val="582C83"/>
              </w:rPr>
              <w:t>•</w:t>
            </w:r>
          </w:p>
        </w:tc>
        <w:tc>
          <w:tcPr>
            <w:tcW w:w="1740" w:type="dxa"/>
            <w:vAlign w:val="bottom"/>
            <w:vMerge w:val="restart"/>
          </w:tcPr>
          <w:p>
            <w:pPr>
              <w:ind w:left="80"/>
              <w:spacing w:after="0"/>
              <w:rPr>
                <w:sz w:val="20"/>
                <w:szCs w:val="20"/>
                <w:color w:val="auto"/>
              </w:rPr>
            </w:pPr>
            <w:r>
              <w:rPr>
                <w:rFonts w:ascii="Arial" w:cs="Arial" w:eastAsia="Arial" w:hAnsi="Arial"/>
                <w:sz w:val="17"/>
                <w:szCs w:val="17"/>
                <w:color w:val="auto"/>
              </w:rPr>
              <w:t>Governance</w:t>
            </w:r>
          </w:p>
        </w:tc>
        <w:tc>
          <w:tcPr>
            <w:tcW w:w="0" w:type="dxa"/>
            <w:vAlign w:val="bottom"/>
          </w:tcPr>
          <w:p>
            <w:pPr>
              <w:spacing w:after="0"/>
              <w:rPr>
                <w:sz w:val="1"/>
                <w:szCs w:val="1"/>
                <w:color w:val="auto"/>
              </w:rPr>
            </w:pPr>
          </w:p>
        </w:tc>
      </w:tr>
      <w:tr>
        <w:trPr>
          <w:trHeight w:val="80"/>
        </w:trPr>
        <w:tc>
          <w:tcPr>
            <w:tcW w:w="1880" w:type="dxa"/>
            <w:vAlign w:val="bottom"/>
            <w:vMerge w:val="restart"/>
          </w:tcPr>
          <w:p>
            <w:pPr>
              <w:spacing w:after="0"/>
              <w:rPr>
                <w:sz w:val="20"/>
                <w:szCs w:val="20"/>
                <w:color w:val="auto"/>
              </w:rPr>
            </w:pPr>
            <w:r>
              <w:rPr>
                <w:rFonts w:ascii="Arial" w:cs="Arial" w:eastAsia="Arial" w:hAnsi="Arial"/>
                <w:sz w:val="14"/>
                <w:szCs w:val="14"/>
                <w:i w:val="1"/>
                <w:iCs w:val="1"/>
                <w:color w:val="auto"/>
              </w:rPr>
              <w:t>Chief Executive Officer,</w:t>
            </w:r>
          </w:p>
        </w:tc>
        <w:tc>
          <w:tcPr>
            <w:tcW w:w="358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80" w:type="dxa"/>
            <w:vAlign w:val="bottom"/>
            <w:vMerge w:val="continue"/>
          </w:tcPr>
          <w:p>
            <w:pPr>
              <w:spacing w:after="0"/>
              <w:rPr>
                <w:sz w:val="9"/>
                <w:szCs w:val="9"/>
                <w:color w:val="auto"/>
              </w:rPr>
            </w:pPr>
          </w:p>
        </w:tc>
        <w:tc>
          <w:tcPr>
            <w:tcW w:w="3580" w:type="dxa"/>
            <w:vAlign w:val="bottom"/>
            <w:vMerge w:val="restart"/>
          </w:tcPr>
          <w:p>
            <w:pPr>
              <w:jc w:val="center"/>
              <w:ind w:right="1675"/>
              <w:spacing w:after="0"/>
              <w:rPr>
                <w:sz w:val="20"/>
                <w:szCs w:val="20"/>
                <w:color w:val="auto"/>
              </w:rPr>
            </w:pPr>
            <w:r>
              <w:rPr>
                <w:rFonts w:ascii="Arial" w:cs="Arial" w:eastAsia="Arial" w:hAnsi="Arial"/>
                <w:sz w:val="17"/>
                <w:szCs w:val="17"/>
                <w:color w:val="auto"/>
                <w:w w:val="98"/>
              </w:rPr>
              <w:t>Age: 68</w:t>
            </w:r>
          </w:p>
        </w:tc>
        <w:tc>
          <w:tcPr>
            <w:tcW w:w="240" w:type="dxa"/>
            <w:vAlign w:val="bottom"/>
            <w:vMerge w:val="restart"/>
          </w:tcPr>
          <w:p>
            <w:pPr>
              <w:ind w:left="120"/>
              <w:spacing w:after="0"/>
              <w:rPr>
                <w:sz w:val="20"/>
                <w:szCs w:val="20"/>
                <w:color w:val="auto"/>
              </w:rPr>
            </w:pPr>
            <w:r>
              <w:rPr>
                <w:rFonts w:ascii="Arial" w:cs="Arial" w:eastAsia="Arial" w:hAnsi="Arial"/>
                <w:sz w:val="17"/>
                <w:szCs w:val="17"/>
                <w:color w:val="582C83"/>
              </w:rPr>
              <w:t>•</w:t>
            </w:r>
          </w:p>
        </w:tc>
        <w:tc>
          <w:tcPr>
            <w:tcW w:w="1740" w:type="dxa"/>
            <w:vAlign w:val="bottom"/>
            <w:vMerge w:val="restart"/>
          </w:tcPr>
          <w:p>
            <w:pPr>
              <w:ind w:left="80"/>
              <w:spacing w:after="0"/>
              <w:rPr>
                <w:sz w:val="20"/>
                <w:szCs w:val="20"/>
                <w:color w:val="auto"/>
              </w:rPr>
            </w:pPr>
            <w:r>
              <w:rPr>
                <w:rFonts w:ascii="Arial" w:cs="Arial" w:eastAsia="Arial" w:hAnsi="Arial"/>
                <w:sz w:val="17"/>
                <w:szCs w:val="17"/>
                <w:color w:val="auto"/>
              </w:rPr>
              <w:t>People and</w:t>
            </w:r>
          </w:p>
        </w:tc>
        <w:tc>
          <w:tcPr>
            <w:tcW w:w="0" w:type="dxa"/>
            <w:vAlign w:val="bottom"/>
          </w:tcPr>
          <w:p>
            <w:pPr>
              <w:spacing w:after="0"/>
              <w:rPr>
                <w:sz w:val="1"/>
                <w:szCs w:val="1"/>
                <w:color w:val="auto"/>
              </w:rPr>
            </w:pPr>
          </w:p>
        </w:tc>
      </w:tr>
      <w:tr>
        <w:trPr>
          <w:trHeight w:val="148"/>
        </w:trPr>
        <w:tc>
          <w:tcPr>
            <w:tcW w:w="1880" w:type="dxa"/>
            <w:vAlign w:val="bottom"/>
          </w:tcPr>
          <w:p>
            <w:pPr>
              <w:spacing w:after="0" w:line="148" w:lineRule="exact"/>
              <w:rPr>
                <w:sz w:val="20"/>
                <w:szCs w:val="20"/>
                <w:color w:val="auto"/>
              </w:rPr>
            </w:pPr>
            <w:r>
              <w:rPr>
                <w:rFonts w:ascii="Arial" w:cs="Arial" w:eastAsia="Arial" w:hAnsi="Arial"/>
                <w:sz w:val="14"/>
                <w:szCs w:val="14"/>
                <w:i w:val="1"/>
                <w:iCs w:val="1"/>
                <w:color w:val="auto"/>
              </w:rPr>
              <w:t>Food Systems for the</w:t>
            </w:r>
          </w:p>
        </w:tc>
        <w:tc>
          <w:tcPr>
            <w:tcW w:w="35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4"/>
                <w:szCs w:val="14"/>
                <w:i w:val="1"/>
                <w:iCs w:val="1"/>
                <w:color w:val="auto"/>
              </w:rPr>
              <w:t>Future Institute and Former</w:t>
            </w:r>
          </w:p>
        </w:tc>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ind w:left="80"/>
              <w:spacing w:after="0"/>
              <w:rPr>
                <w:sz w:val="20"/>
                <w:szCs w:val="20"/>
                <w:color w:val="auto"/>
              </w:rPr>
            </w:pPr>
            <w:r>
              <w:rPr>
                <w:rFonts w:ascii="Arial" w:cs="Arial" w:eastAsia="Arial" w:hAnsi="Arial"/>
                <w:sz w:val="17"/>
                <w:szCs w:val="17"/>
                <w:color w:val="auto"/>
              </w:rPr>
              <w:t>Compensation</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Executive Director of the</w:t>
      </w:r>
    </w:p>
    <w:p>
      <w:pPr>
        <w:spacing w:after="0" w:line="27"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United Nations World Food</w:t>
      </w:r>
    </w:p>
    <w:p>
      <w:pPr>
        <w:spacing w:after="0" w:line="16" w:lineRule="exact"/>
        <w:rPr>
          <w:sz w:val="20"/>
          <w:szCs w:val="20"/>
          <w:color w:val="auto"/>
        </w:rPr>
      </w:pPr>
    </w:p>
    <w:p>
      <w:pPr>
        <w:ind w:left="1360"/>
        <w:spacing w:after="0"/>
        <w:rPr>
          <w:sz w:val="20"/>
          <w:szCs w:val="20"/>
          <w:color w:val="auto"/>
        </w:rPr>
      </w:pPr>
      <w:r>
        <w:rPr>
          <w:rFonts w:ascii="Arial" w:cs="Arial" w:eastAsia="Arial" w:hAnsi="Arial"/>
          <w:sz w:val="14"/>
          <w:szCs w:val="14"/>
          <w:i w:val="1"/>
          <w:iCs w:val="1"/>
          <w:color w:val="auto"/>
        </w:rPr>
        <w:t>Program</w:t>
      </w:r>
    </w:p>
    <w:p>
      <w:pPr>
        <w:spacing w:after="0" w:line="148"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582C83"/>
        </w:rPr>
        <w:t>INDEPENDENT</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PROFESSIONAL BACKGROUND:</w:t>
      </w:r>
    </w:p>
    <w:p>
      <w:pPr>
        <w:spacing w:after="0" w:line="129" w:lineRule="exact"/>
        <w:rPr>
          <w:sz w:val="20"/>
          <w:szCs w:val="20"/>
          <w:color w:val="auto"/>
        </w:rPr>
      </w:pPr>
    </w:p>
    <w:p>
      <w:pPr>
        <w:ind w:left="140" w:right="119"/>
        <w:spacing w:after="0" w:line="223" w:lineRule="exact"/>
        <w:rPr>
          <w:sz w:val="20"/>
          <w:szCs w:val="20"/>
          <w:color w:val="auto"/>
        </w:rPr>
      </w:pPr>
      <w:r>
        <w:rPr>
          <w:rFonts w:ascii="Arial" w:cs="Arial" w:eastAsia="Arial" w:hAnsi="Arial"/>
          <w:sz w:val="17"/>
          <w:szCs w:val="17"/>
          <w:color w:val="auto"/>
        </w:rPr>
        <w:t>Since September 2019, Ms. Cousin has served as Founder, President, and Chief Executive Officer of Food Systems for the Future Institute, a nonprofit organization to catalyze, enable, and scale market</w:t>
      </w:r>
      <w:r>
        <w:rPr>
          <w:rFonts w:ascii="MS PGothic" w:cs="MS PGothic" w:eastAsia="MS PGothic" w:hAnsi="MS PGothic"/>
          <w:sz w:val="17"/>
          <w:szCs w:val="17"/>
          <w:color w:val="auto"/>
        </w:rPr>
        <w:t>‑</w:t>
      </w:r>
      <w:r>
        <w:rPr>
          <w:rFonts w:ascii="Arial" w:cs="Arial" w:eastAsia="Arial" w:hAnsi="Arial"/>
          <w:sz w:val="17"/>
          <w:szCs w:val="17"/>
          <w:color w:val="auto"/>
        </w:rPr>
        <w:t>driven agtech, foodtech, and food innovations, and also as Visiting Scholar, Spogli Institute for the Study of International Relations, Center for Food and Environment at Stanford University. She has served as Distinguished Fellow of The Chicago Council on Global Affairs, a global affairs think tank, since 2017. Ms. Cousin previously served as Payne Distinguished Lecturer and Visiting Fellow at Stanford University’s Spogli Institute from 2017 to 2019. From 2012 to 2017, Ms. Cousin served as Executive Director of the United Nations World Food Program, the food</w:t>
      </w:r>
      <w:r>
        <w:rPr>
          <w:rFonts w:ascii="MS PGothic" w:cs="MS PGothic" w:eastAsia="MS PGothic" w:hAnsi="MS PGothic"/>
          <w:sz w:val="17"/>
          <w:szCs w:val="17"/>
          <w:color w:val="auto"/>
        </w:rPr>
        <w:t>‑</w:t>
      </w:r>
      <w:r>
        <w:rPr>
          <w:rFonts w:ascii="Arial" w:cs="Arial" w:eastAsia="Arial" w:hAnsi="Arial"/>
          <w:sz w:val="17"/>
          <w:szCs w:val="17"/>
          <w:color w:val="auto"/>
        </w:rPr>
        <w:t>assistance branch of the United Nations. She was Ambassador and Permanent Representative to the United Nations Food and Agriculture Agencies on behalf of the U.S. Department of State from 2009 to 2012.</w:t>
      </w:r>
    </w:p>
    <w:p>
      <w:pPr>
        <w:spacing w:after="0" w:line="105" w:lineRule="exact"/>
        <w:rPr>
          <w:sz w:val="20"/>
          <w:szCs w:val="20"/>
          <w:color w:val="auto"/>
        </w:rPr>
      </w:pPr>
    </w:p>
    <w:p>
      <w:pPr>
        <w:ind w:left="140" w:right="239"/>
        <w:spacing w:after="0" w:line="282" w:lineRule="auto"/>
        <w:rPr>
          <w:sz w:val="20"/>
          <w:szCs w:val="20"/>
          <w:color w:val="auto"/>
        </w:rPr>
      </w:pPr>
      <w:r>
        <w:rPr>
          <w:rFonts w:ascii="Arial" w:cs="Arial" w:eastAsia="Arial" w:hAnsi="Arial"/>
          <w:sz w:val="17"/>
          <w:szCs w:val="17"/>
          <w:color w:val="auto"/>
        </w:rPr>
        <w:t>Ms. Cousin previously served in a variety of executive roles between 1987 and 2009, including Founding President and Chief Executive Officer of The Polk Street Group, a management services company; Executive Vice President and Chief Operating Officer of America’s Second Harvest; Senior Vice President, Public Affairs for Albertsons Companies; White House Liaison and Special Advisor to the Secretary for the 2016 Olympics for the U.S. Department of State; and Assistant Attorney General for The State of Illinois.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DIRECTOR QUALIFICATIONS:</w:t>
      </w:r>
    </w:p>
    <w:p>
      <w:pPr>
        <w:spacing w:after="0" w:line="129" w:lineRule="exact"/>
        <w:rPr>
          <w:sz w:val="20"/>
          <w:szCs w:val="20"/>
          <w:color w:val="auto"/>
        </w:rPr>
      </w:pPr>
    </w:p>
    <w:p>
      <w:pPr>
        <w:ind w:left="200" w:right="299" w:hanging="132"/>
        <w:spacing w:after="0" w:line="287" w:lineRule="auto"/>
        <w:tabs>
          <w:tab w:leader="none" w:pos="200" w:val="left"/>
        </w:tabs>
        <w:numPr>
          <w:ilvl w:val="0"/>
          <w:numId w:val="17"/>
        </w:numPr>
        <w:rPr>
          <w:rFonts w:ascii="Arial" w:cs="Arial" w:eastAsia="Arial" w:hAnsi="Arial"/>
          <w:sz w:val="17"/>
          <w:szCs w:val="17"/>
          <w:color w:val="582C83"/>
        </w:rPr>
      </w:pPr>
      <w:r>
        <w:rPr>
          <w:rFonts w:ascii="Arial" w:cs="Arial" w:eastAsia="Arial" w:hAnsi="Arial"/>
          <w:sz w:val="17"/>
          <w:szCs w:val="17"/>
          <w:color w:val="auto"/>
        </w:rPr>
        <w:t>Ms. Cousin has more than 40 years of national and international nonprofit, government, and corporate leadership experience, including leading the world’s largest humanitarian organization, the United Nations World Food Program, in Rome.</w:t>
      </w:r>
    </w:p>
    <w:p>
      <w:pPr>
        <w:ind w:left="200" w:right="499" w:hanging="132"/>
        <w:spacing w:after="0" w:line="232" w:lineRule="exact"/>
        <w:tabs>
          <w:tab w:leader="none" w:pos="200" w:val="left"/>
        </w:tabs>
        <w:numPr>
          <w:ilvl w:val="0"/>
          <w:numId w:val="17"/>
        </w:numPr>
        <w:rPr>
          <w:rFonts w:ascii="Arial" w:cs="Arial" w:eastAsia="Arial" w:hAnsi="Arial"/>
          <w:sz w:val="17"/>
          <w:szCs w:val="17"/>
          <w:color w:val="582C83"/>
        </w:rPr>
      </w:pPr>
      <w:r>
        <w:rPr>
          <w:rFonts w:ascii="Arial" w:cs="Arial" w:eastAsia="Arial" w:hAnsi="Arial"/>
          <w:sz w:val="17"/>
          <w:szCs w:val="17"/>
          <w:color w:val="auto"/>
        </w:rPr>
        <w:t>As U.S. Ambassador to the U.N. Agencies for Food and Agriculture in Rome, she represented U.S. interests in global leader discussions regarding humanitarian and development activities, and she served as the U.S. Representative for all food-, agriculture-, and nutrition</w:t>
      </w:r>
      <w:r>
        <w:rPr>
          <w:rFonts w:ascii="MS PGothic" w:cs="MS PGothic" w:eastAsia="MS PGothic" w:hAnsi="MS PGothic"/>
          <w:sz w:val="17"/>
          <w:szCs w:val="17"/>
          <w:color w:val="auto"/>
        </w:rPr>
        <w:t>‑</w:t>
      </w:r>
      <w:r>
        <w:rPr>
          <w:rFonts w:ascii="Arial" w:cs="Arial" w:eastAsia="Arial" w:hAnsi="Arial"/>
          <w:sz w:val="17"/>
          <w:szCs w:val="17"/>
          <w:color w:val="auto"/>
        </w:rPr>
        <w:t>related issues.</w:t>
      </w:r>
    </w:p>
    <w:p>
      <w:pPr>
        <w:spacing w:after="0" w:line="8" w:lineRule="exact"/>
        <w:rPr>
          <w:rFonts w:ascii="Arial" w:cs="Arial" w:eastAsia="Arial" w:hAnsi="Arial"/>
          <w:sz w:val="17"/>
          <w:szCs w:val="17"/>
          <w:color w:val="582C83"/>
        </w:rPr>
      </w:pPr>
    </w:p>
    <w:p>
      <w:pPr>
        <w:ind w:left="200" w:right="179" w:hanging="132"/>
        <w:spacing w:after="0" w:line="291" w:lineRule="auto"/>
        <w:tabs>
          <w:tab w:leader="none" w:pos="200" w:val="left"/>
        </w:tabs>
        <w:numPr>
          <w:ilvl w:val="0"/>
          <w:numId w:val="17"/>
        </w:numPr>
        <w:rPr>
          <w:rFonts w:ascii="Arial" w:cs="Arial" w:eastAsia="Arial" w:hAnsi="Arial"/>
          <w:sz w:val="17"/>
          <w:szCs w:val="17"/>
          <w:color w:val="582C83"/>
        </w:rPr>
      </w:pPr>
      <w:r>
        <w:rPr>
          <w:rFonts w:ascii="Arial" w:cs="Arial" w:eastAsia="Arial" w:hAnsi="Arial"/>
          <w:sz w:val="17"/>
          <w:szCs w:val="17"/>
          <w:color w:val="auto"/>
        </w:rPr>
        <w:t>As Executive Vice President and Chief Operating Officer, Ms. Cousin led the national operations of the largest U.S. hunger relief organization, America’s Second Harvest (now Feeding America). She also has corporate leadership experience from serving as a member of Albertsons Companies, Inc.’s executive leadership team.</w:t>
      </w:r>
    </w:p>
    <w:p>
      <w:pPr>
        <w:sectPr>
          <w:pgSz w:w="11900" w:h="16838" w:orient="portrait"/>
          <w:cols w:equalWidth="0" w:num="1">
            <w:col w:w="9039"/>
          </w:cols>
          <w:pgMar w:left="1420" w:top="1440" w:right="1440" w:bottom="0" w:gutter="0" w:footer="0" w:header="0"/>
          <w:type w:val="continuous"/>
        </w:sectPr>
      </w:pPr>
    </w:p>
    <w:bookmarkStart w:id="22" w:name="page23"/>
    <w:bookmarkEnd w:id="22"/>
    <w:p>
      <w:pPr>
        <w:ind w:left="200" w:right="200" w:hanging="132"/>
        <w:spacing w:after="0" w:line="181" w:lineRule="auto"/>
        <w:tabs>
          <w:tab w:leader="none" w:pos="200" w:val="left"/>
        </w:tabs>
        <w:numPr>
          <w:ilvl w:val="0"/>
          <w:numId w:val="18"/>
        </w:numPr>
        <w:rPr>
          <w:rFonts w:ascii="Arial" w:cs="Arial" w:eastAsia="Arial" w:hAnsi="Arial"/>
          <w:sz w:val="15"/>
          <w:szCs w:val="15"/>
          <w:color w:val="582C83"/>
        </w:rPr>
      </w:pPr>
      <w:r>
        <w:rPr>
          <w:rFonts w:ascii="Arial" w:cs="Arial" w:eastAsia="Arial" w:hAnsi="Arial"/>
          <w:sz w:val="15"/>
          <w:szCs w:val="15"/>
          <w:color w:val="auto"/>
        </w:rPr>
        <w:t>Ms. Cousin h</w:t>
      </w:r>
      <w:r>
        <w:rPr>
          <w:rFonts w:ascii="Arial" w:cs="Arial" w:eastAsia="Arial" w:hAnsi="Arial"/>
          <w:sz w:val="29"/>
          <w:szCs w:val="29"/>
          <w:color w:val="auto"/>
          <w:vertAlign w:val="subscript"/>
        </w:rPr>
        <w:t>a</w:t>
      </w:r>
      <w:r>
        <w:rPr>
          <w:rFonts w:ascii="Arial" w:cs="Arial" w:eastAsia="Arial" w:hAnsi="Arial"/>
          <w:sz w:val="15"/>
          <w:szCs w:val="15"/>
          <w:color w:val="auto"/>
        </w:rPr>
        <w:t>s public company executive, board and corporate governance experience. She is a director of Bayer AG and Bore lis Foods.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-153035</wp:posOffset>
            </wp:positionV>
            <wp:extent cx="6810375" cy="10991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10375" cy="109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582C83"/>
        </w:rPr>
        <w:t>2026 PROXY STATEMENT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867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 ELECTION OF DIRECTORS</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Director Nominees for Election at the Annual Meeting</w:t>
      </w:r>
    </w:p>
    <w:p>
      <w:pPr>
        <w:spacing w:after="0" w:line="200" w:lineRule="exact"/>
        <w:rPr>
          <w:sz w:val="20"/>
          <w:szCs w:val="20"/>
          <w:color w:val="auto"/>
        </w:rPr>
      </w:pP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3300" w:type="dxa"/>
            <w:vAlign w:val="bottom"/>
            <w:tcBorders>
              <w:top w:val="single" w:sz="8" w:color="auto"/>
              <w:left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Cees ‘t Hart</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DIRECTOR SINCE:</w:t>
            </w:r>
          </w:p>
        </w:tc>
        <w:tc>
          <w:tcPr>
            <w:tcW w:w="18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DIRECTOR SKILLS:</w:t>
            </w:r>
          </w:p>
        </w:tc>
        <w:tc>
          <w:tcPr>
            <w:tcW w:w="222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BOARD COMMITTEES:</w:t>
            </w:r>
          </w:p>
        </w:tc>
        <w:tc>
          <w:tcPr>
            <w:tcW w:w="0" w:type="dxa"/>
            <w:vAlign w:val="bottom"/>
          </w:tcPr>
          <w:p>
            <w:pPr>
              <w:spacing w:after="0"/>
              <w:rPr>
                <w:sz w:val="1"/>
                <w:szCs w:val="1"/>
                <w:color w:val="auto"/>
              </w:rPr>
            </w:pPr>
          </w:p>
        </w:tc>
      </w:tr>
      <w:tr>
        <w:trPr>
          <w:trHeight w:val="210"/>
        </w:trPr>
        <w:tc>
          <w:tcPr>
            <w:tcW w:w="330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4"/>
                <w:szCs w:val="14"/>
                <w:i w:val="1"/>
                <w:iCs w:val="1"/>
                <w:color w:val="auto"/>
              </w:rPr>
              <w:t>Former Chief</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July 2023</w:t>
            </w:r>
          </w:p>
        </w:tc>
        <w:tc>
          <w:tcPr>
            <w:tcW w:w="1820" w:type="dxa"/>
            <w:vAlign w:val="bottom"/>
            <w:tcBorders>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7"/>
                <w:szCs w:val="17"/>
                <w:color w:val="582C83"/>
              </w:rPr>
              <w:t>•</w:t>
            </w:r>
          </w:p>
        </w:tc>
        <w:tc>
          <w:tcPr>
            <w:tcW w:w="20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Chair, Finance</w:t>
            </w:r>
          </w:p>
        </w:tc>
        <w:tc>
          <w:tcPr>
            <w:tcW w:w="0" w:type="dxa"/>
            <w:vAlign w:val="bottom"/>
          </w:tcPr>
          <w:p>
            <w:pPr>
              <w:spacing w:after="0"/>
              <w:rPr>
                <w:sz w:val="1"/>
                <w:szCs w:val="1"/>
                <w:color w:val="auto"/>
              </w:rPr>
            </w:pPr>
          </w:p>
        </w:tc>
      </w:tr>
      <w:tr>
        <w:trPr>
          <w:trHeight w:val="168"/>
        </w:trPr>
        <w:tc>
          <w:tcPr>
            <w:tcW w:w="330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4"/>
                <w:szCs w:val="14"/>
                <w:i w:val="1"/>
                <w:iCs w:val="1"/>
                <w:color w:val="auto"/>
              </w:rPr>
              <w:t>Executive Officer,</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8"/>
              </w:rPr>
              <w:t>Age: 67</w:t>
            </w:r>
          </w:p>
        </w:tc>
        <w:tc>
          <w:tcPr>
            <w:tcW w:w="1820" w:type="dxa"/>
            <w:vAlign w:val="bottom"/>
            <w:tcBorders>
              <w:right w:val="single" w:sz="8" w:color="auto"/>
            </w:tcBorders>
          </w:tcPr>
          <w:p>
            <w:pPr>
              <w:spacing w:after="0"/>
              <w:rPr>
                <w:sz w:val="14"/>
                <w:szCs w:val="14"/>
                <w:color w:val="auto"/>
              </w:rPr>
            </w:pPr>
          </w:p>
        </w:tc>
        <w:tc>
          <w:tcPr>
            <w:tcW w:w="220" w:type="dxa"/>
            <w:vAlign w:val="bottom"/>
            <w:vMerge w:val="restart"/>
          </w:tcPr>
          <w:p>
            <w:pPr>
              <w:ind w:left="100"/>
              <w:spacing w:after="0"/>
              <w:rPr>
                <w:sz w:val="20"/>
                <w:szCs w:val="20"/>
                <w:color w:val="auto"/>
              </w:rPr>
            </w:pPr>
            <w:r>
              <w:rPr>
                <w:rFonts w:ascii="Arial" w:cs="Arial" w:eastAsia="Arial" w:hAnsi="Arial"/>
                <w:sz w:val="17"/>
                <w:szCs w:val="17"/>
                <w:color w:val="582C83"/>
              </w:rPr>
              <w:t>•</w:t>
            </w:r>
          </w:p>
        </w:tc>
        <w:tc>
          <w:tcPr>
            <w:tcW w:w="2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color w:val="auto"/>
              </w:rPr>
              <w:t>Audit</w:t>
            </w:r>
          </w:p>
        </w:tc>
        <w:tc>
          <w:tcPr>
            <w:tcW w:w="0" w:type="dxa"/>
            <w:vAlign w:val="bottom"/>
          </w:tcPr>
          <w:p>
            <w:pPr>
              <w:spacing w:after="0"/>
              <w:rPr>
                <w:sz w:val="1"/>
                <w:szCs w:val="1"/>
                <w:color w:val="auto"/>
              </w:rPr>
            </w:pPr>
          </w:p>
        </w:tc>
      </w:tr>
      <w:tr>
        <w:trPr>
          <w:trHeight w:val="188"/>
        </w:trPr>
        <w:tc>
          <w:tcPr>
            <w:tcW w:w="330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4"/>
                <w:szCs w:val="14"/>
                <w:i w:val="1"/>
                <w:iCs w:val="1"/>
                <w:color w:val="auto"/>
              </w:rPr>
              <w:t>Carlsberg Group</w:t>
            </w:r>
          </w:p>
        </w:tc>
        <w:tc>
          <w:tcPr>
            <w:tcW w:w="1720" w:type="dxa"/>
            <w:vAlign w:val="bottom"/>
            <w:tcBorders>
              <w:right w:val="single" w:sz="8" w:color="auto"/>
            </w:tcBorders>
            <w:vMerge w:val="continue"/>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220" w:type="dxa"/>
            <w:vAlign w:val="bottom"/>
            <w:vMerge w:val="continue"/>
          </w:tcPr>
          <w:p>
            <w:pPr>
              <w:spacing w:after="0"/>
              <w:rPr>
                <w:sz w:val="16"/>
                <w:szCs w:val="16"/>
                <w:color w:val="auto"/>
              </w:rPr>
            </w:pPr>
          </w:p>
        </w:tc>
        <w:tc>
          <w:tcPr>
            <w:tcW w:w="20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0"/>
        </w:trPr>
        <w:tc>
          <w:tcPr>
            <w:tcW w:w="330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7"/>
                <w:szCs w:val="17"/>
                <w:b w:val="1"/>
                <w:bCs w:val="1"/>
                <w:color w:val="592B82"/>
              </w:rPr>
              <w:t>INDEPENDENT</w:t>
            </w:r>
          </w:p>
        </w:tc>
        <w:tc>
          <w:tcPr>
            <w:tcW w:w="172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3300" w:type="dxa"/>
            <w:vAlign w:val="bottom"/>
            <w:tcBorders>
              <w:left w:val="single" w:sz="8" w:color="auto"/>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PROFESSIONAL BACKGROUND:</w:t>
      </w:r>
    </w:p>
    <w:p>
      <w:pPr>
        <w:spacing w:after="0" w:line="129" w:lineRule="exact"/>
        <w:rPr>
          <w:sz w:val="20"/>
          <w:szCs w:val="20"/>
          <w:color w:val="auto"/>
        </w:rPr>
      </w:pPr>
    </w:p>
    <w:p>
      <w:pPr>
        <w:ind w:left="140" w:right="260"/>
        <w:spacing w:after="0" w:line="282" w:lineRule="auto"/>
        <w:rPr>
          <w:sz w:val="20"/>
          <w:szCs w:val="20"/>
          <w:color w:val="auto"/>
        </w:rPr>
      </w:pPr>
      <w:r>
        <w:rPr>
          <w:rFonts w:ascii="Arial" w:cs="Arial" w:eastAsia="Arial" w:hAnsi="Arial"/>
          <w:sz w:val="17"/>
          <w:szCs w:val="17"/>
          <w:color w:val="auto"/>
        </w:rPr>
        <w:t>Mr. ‘t Hart served as Chief Executive Officer of Carlsberg Group, a brewing company, from 2015 to August 2023. Prior to joining Carlsberg, Mr. ‘t Hart was CEO of the Dutch dairy company Royal FrieslandCampina, a position which he had held since 2008. Prior to Royal FrieslandCampina, he spent 25 years with Unilever, holding positions across Eastern and Western Europe, and Asia. His last position at Unilever was as a member of the Europe Executive Board.</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DIRECTOR QUALIFICATIONS:</w:t>
      </w:r>
    </w:p>
    <w:p>
      <w:pPr>
        <w:spacing w:after="0" w:line="129" w:lineRule="exact"/>
        <w:rPr>
          <w:sz w:val="20"/>
          <w:szCs w:val="20"/>
          <w:color w:val="auto"/>
        </w:rPr>
      </w:pPr>
    </w:p>
    <w:p>
      <w:pPr>
        <w:ind w:left="200" w:right="960" w:hanging="132"/>
        <w:spacing w:after="0" w:line="298" w:lineRule="auto"/>
        <w:tabs>
          <w:tab w:leader="none" w:pos="200" w:val="left"/>
        </w:tabs>
        <w:numPr>
          <w:ilvl w:val="0"/>
          <w:numId w:val="19"/>
        </w:numPr>
        <w:rPr>
          <w:rFonts w:ascii="Arial" w:cs="Arial" w:eastAsia="Arial" w:hAnsi="Arial"/>
          <w:sz w:val="17"/>
          <w:szCs w:val="17"/>
          <w:color w:val="582C83"/>
        </w:rPr>
      </w:pPr>
      <w:r>
        <w:rPr>
          <w:rFonts w:ascii="Arial" w:cs="Arial" w:eastAsia="Arial" w:hAnsi="Arial"/>
          <w:sz w:val="17"/>
          <w:szCs w:val="17"/>
          <w:color w:val="auto"/>
        </w:rPr>
        <w:t>During his 38-year career, Mr. ‘t Hart has gained valuable experience in executive leadership, operations management, cost management, and strategic planning.</w:t>
      </w:r>
    </w:p>
    <w:p>
      <w:pPr>
        <w:ind w:left="200" w:right="240" w:hanging="132"/>
        <w:spacing w:after="0" w:line="290" w:lineRule="auto"/>
        <w:tabs>
          <w:tab w:leader="none" w:pos="200" w:val="left"/>
        </w:tabs>
        <w:numPr>
          <w:ilvl w:val="0"/>
          <w:numId w:val="19"/>
        </w:numPr>
        <w:rPr>
          <w:rFonts w:ascii="Arial" w:cs="Arial" w:eastAsia="Arial" w:hAnsi="Arial"/>
          <w:sz w:val="17"/>
          <w:szCs w:val="17"/>
          <w:color w:val="582C83"/>
        </w:rPr>
      </w:pPr>
      <w:r>
        <w:rPr>
          <w:rFonts w:ascii="Arial" w:cs="Arial" w:eastAsia="Arial" w:hAnsi="Arial"/>
          <w:sz w:val="17"/>
          <w:szCs w:val="17"/>
          <w:color w:val="auto"/>
        </w:rPr>
        <w:t>Mr. ‘t Hart was the main architect behind Carlsberg’s successful program to restore robust sales and profitability in its core markets and its strategic move into China.</w:t>
      </w:r>
    </w:p>
    <w:p>
      <w:pPr>
        <w:ind w:left="200" w:right="80" w:hanging="132"/>
        <w:spacing w:after="0" w:line="291" w:lineRule="auto"/>
        <w:tabs>
          <w:tab w:leader="none" w:pos="200" w:val="left"/>
        </w:tabs>
        <w:numPr>
          <w:ilvl w:val="0"/>
          <w:numId w:val="19"/>
        </w:numPr>
        <w:rPr>
          <w:rFonts w:ascii="Arial" w:cs="Arial" w:eastAsia="Arial" w:hAnsi="Arial"/>
          <w:sz w:val="17"/>
          <w:szCs w:val="17"/>
          <w:color w:val="582C83"/>
        </w:rPr>
      </w:pPr>
      <w:r>
        <w:rPr>
          <w:rFonts w:ascii="Arial" w:cs="Arial" w:eastAsia="Arial" w:hAnsi="Arial"/>
          <w:sz w:val="17"/>
          <w:szCs w:val="17"/>
          <w:color w:val="auto"/>
        </w:rPr>
        <w:t>Mr. ‘t Hart has extensive public company board and global corporate governance experience. He is a member of the Supervisory Board of Randstad. Mr. ‘t Hart is a former member of the Supervisory Board of KLM and a former member of the Board of AFKLM.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24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3848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10375" cy="384810"/>
                    </a:xfrm>
                    <a:prstGeom prst="rect">
                      <a:avLst/>
                    </a:prstGeom>
                    <a:noFill/>
                  </pic:spPr>
                </pic:pic>
              </a:graphicData>
            </a:graphic>
          </wp:anchor>
        </w:drawing>
      </w:r>
    </w:p>
    <w:p>
      <w:pPr>
        <w:sectPr>
          <w:pgSz w:w="11900" w:h="16838" w:orient="portrait"/>
          <w:cols w:equalWidth="0" w:num="1">
            <w:col w:w="9040"/>
          </w:cols>
          <w:pgMar w:left="1420" w:top="0" w:right="1439" w:bottom="727" w:gutter="0" w:footer="0" w:header="0"/>
        </w:sectPr>
      </w:pPr>
    </w:p>
    <w:bookmarkStart w:id="23" w:name="page24"/>
    <w:bookmarkEnd w:id="23"/>
    <w:p>
      <w:pPr>
        <w:jc w:val="right"/>
        <w:ind w:righ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4715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10375" cy="8471535"/>
                    </a:xfrm>
                    <a:prstGeom prst="rect">
                      <a:avLst/>
                    </a:prstGeom>
                    <a:noFill/>
                  </pic:spPr>
                </pic:pic>
              </a:graphicData>
            </a:graphic>
          </wp:anchor>
        </w:drawing>
        <w:t>ITEM 1. ELECTION OF DIRECTORS</w:t>
      </w:r>
    </w:p>
    <w:p>
      <w:pPr>
        <w:spacing w:after="0" w:line="37"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Director Nominees for Election at the Annual Meeting</w:t>
      </w:r>
    </w:p>
    <w:p>
      <w:pPr>
        <w:spacing w:after="0" w:line="200" w:lineRule="exact"/>
        <w:rPr>
          <w:sz w:val="20"/>
          <w:szCs w:val="20"/>
          <w:color w:val="auto"/>
        </w:rPr>
      </w:pP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3300" w:type="dxa"/>
            <w:vAlign w:val="bottom"/>
            <w:tcBorders>
              <w:top w:val="single" w:sz="8" w:color="auto"/>
              <w:left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Nancy McKinstry</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DIRECTOR SINCE:</w:t>
            </w:r>
          </w:p>
        </w:tc>
        <w:tc>
          <w:tcPr>
            <w:tcW w:w="18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7"/>
                <w:szCs w:val="17"/>
                <w:b w:val="1"/>
                <w:bCs w:val="1"/>
                <w:color w:val="auto"/>
              </w:rPr>
              <w:t>DIRECTOR SKILLS:</w:t>
            </w:r>
          </w:p>
        </w:tc>
        <w:tc>
          <w:tcPr>
            <w:tcW w:w="218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BOARD COMMITTEES:</w:t>
            </w:r>
          </w:p>
        </w:tc>
        <w:tc>
          <w:tcPr>
            <w:tcW w:w="0" w:type="dxa"/>
            <w:vAlign w:val="bottom"/>
          </w:tcPr>
          <w:p>
            <w:pPr>
              <w:spacing w:after="0"/>
              <w:rPr>
                <w:sz w:val="1"/>
                <w:szCs w:val="1"/>
                <w:color w:val="auto"/>
              </w:rPr>
            </w:pPr>
          </w:p>
        </w:tc>
      </w:tr>
      <w:tr>
        <w:trPr>
          <w:trHeight w:val="204"/>
        </w:trPr>
        <w:tc>
          <w:tcPr>
            <w:tcW w:w="330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4"/>
                <w:szCs w:val="14"/>
                <w:i w:val="1"/>
                <w:iCs w:val="1"/>
                <w:color w:val="auto"/>
              </w:rPr>
              <w:t>Former Chief Executive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May 2025</w:t>
            </w:r>
          </w:p>
        </w:tc>
        <w:tc>
          <w:tcPr>
            <w:tcW w:w="1860" w:type="dxa"/>
            <w:vAlign w:val="bottom"/>
            <w:tcBorders>
              <w:right w:val="single" w:sz="8" w:color="auto"/>
            </w:tcBorders>
          </w:tcPr>
          <w:p>
            <w:pPr>
              <w:spacing w:after="0"/>
              <w:rPr>
                <w:sz w:val="17"/>
                <w:szCs w:val="17"/>
                <w:color w:val="auto"/>
              </w:rPr>
            </w:pPr>
          </w:p>
        </w:tc>
        <w:tc>
          <w:tcPr>
            <w:tcW w:w="220" w:type="dxa"/>
            <w:vAlign w:val="bottom"/>
          </w:tcPr>
          <w:p>
            <w:pPr>
              <w:ind w:left="100"/>
              <w:spacing w:after="0"/>
              <w:rPr>
                <w:sz w:val="20"/>
                <w:szCs w:val="20"/>
                <w:color w:val="auto"/>
              </w:rPr>
            </w:pPr>
            <w:r>
              <w:rPr>
                <w:rFonts w:ascii="Arial" w:cs="Arial" w:eastAsia="Arial" w:hAnsi="Arial"/>
                <w:sz w:val="17"/>
                <w:szCs w:val="17"/>
                <w:color w:val="582C83"/>
              </w:rPr>
              <w:t>•</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Governance</w:t>
            </w:r>
          </w:p>
        </w:tc>
        <w:tc>
          <w:tcPr>
            <w:tcW w:w="0" w:type="dxa"/>
            <w:vAlign w:val="bottom"/>
          </w:tcPr>
          <w:p>
            <w:pPr>
              <w:spacing w:after="0"/>
              <w:rPr>
                <w:sz w:val="1"/>
                <w:szCs w:val="1"/>
                <w:color w:val="auto"/>
              </w:rPr>
            </w:pPr>
          </w:p>
        </w:tc>
      </w:tr>
      <w:tr>
        <w:trPr>
          <w:trHeight w:val="155"/>
        </w:trPr>
        <w:tc>
          <w:tcPr>
            <w:tcW w:w="3300" w:type="dxa"/>
            <w:vAlign w:val="bottom"/>
            <w:tcBorders>
              <w:left w:val="single" w:sz="8" w:color="auto"/>
              <w:right w:val="single" w:sz="8" w:color="auto"/>
            </w:tcBorders>
          </w:tcPr>
          <w:p>
            <w:pPr>
              <w:ind w:left="1360"/>
              <w:spacing w:after="0" w:line="155" w:lineRule="exact"/>
              <w:rPr>
                <w:sz w:val="20"/>
                <w:szCs w:val="20"/>
                <w:color w:val="auto"/>
              </w:rPr>
            </w:pPr>
            <w:r>
              <w:rPr>
                <w:rFonts w:ascii="Arial" w:cs="Arial" w:eastAsia="Arial" w:hAnsi="Arial"/>
                <w:sz w:val="14"/>
                <w:szCs w:val="14"/>
                <w:i w:val="1"/>
                <w:iCs w:val="1"/>
                <w:color w:val="auto"/>
              </w:rPr>
              <w:t>Officer and Chair of the</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8"/>
              </w:rPr>
              <w:t>Age: 67</w:t>
            </w:r>
          </w:p>
        </w:tc>
        <w:tc>
          <w:tcPr>
            <w:tcW w:w="1860" w:type="dxa"/>
            <w:vAlign w:val="bottom"/>
            <w:tcBorders>
              <w:right w:val="single" w:sz="8" w:color="auto"/>
            </w:tcBorders>
          </w:tcPr>
          <w:p>
            <w:pPr>
              <w:spacing w:after="0"/>
              <w:rPr>
                <w:sz w:val="13"/>
                <w:szCs w:val="13"/>
                <w:color w:val="auto"/>
              </w:rPr>
            </w:pPr>
          </w:p>
        </w:tc>
        <w:tc>
          <w:tcPr>
            <w:tcW w:w="220" w:type="dxa"/>
            <w:vAlign w:val="bottom"/>
            <w:vMerge w:val="restart"/>
          </w:tcPr>
          <w:p>
            <w:pPr>
              <w:ind w:left="100"/>
              <w:spacing w:after="0"/>
              <w:rPr>
                <w:sz w:val="20"/>
                <w:szCs w:val="20"/>
                <w:color w:val="auto"/>
              </w:rPr>
            </w:pPr>
            <w:r>
              <w:rPr>
                <w:rFonts w:ascii="Arial" w:cs="Arial" w:eastAsia="Arial" w:hAnsi="Arial"/>
                <w:sz w:val="17"/>
                <w:szCs w:val="17"/>
                <w:color w:val="582C83"/>
              </w:rPr>
              <w:t>•</w:t>
            </w:r>
          </w:p>
        </w:tc>
        <w:tc>
          <w:tcPr>
            <w:tcW w:w="196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color w:val="auto"/>
              </w:rPr>
              <w:t>People and</w:t>
            </w:r>
          </w:p>
        </w:tc>
        <w:tc>
          <w:tcPr>
            <w:tcW w:w="0" w:type="dxa"/>
            <w:vAlign w:val="bottom"/>
          </w:tcPr>
          <w:p>
            <w:pPr>
              <w:spacing w:after="0"/>
              <w:rPr>
                <w:sz w:val="1"/>
                <w:szCs w:val="1"/>
                <w:color w:val="auto"/>
              </w:rPr>
            </w:pPr>
          </w:p>
        </w:tc>
      </w:tr>
      <w:tr>
        <w:trPr>
          <w:trHeight w:val="161"/>
        </w:trPr>
        <w:tc>
          <w:tcPr>
            <w:tcW w:w="330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4"/>
                <w:szCs w:val="14"/>
                <w:i w:val="1"/>
                <w:iCs w:val="1"/>
                <w:color w:val="auto"/>
              </w:rPr>
              <w:t>Executive Board,</w:t>
            </w:r>
          </w:p>
        </w:tc>
        <w:tc>
          <w:tcPr>
            <w:tcW w:w="1720" w:type="dxa"/>
            <w:vAlign w:val="bottom"/>
            <w:tcBorders>
              <w:right w:val="single" w:sz="8" w:color="auto"/>
            </w:tcBorders>
            <w:vMerge w:val="continue"/>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220" w:type="dxa"/>
            <w:vAlign w:val="bottom"/>
            <w:vMerge w:val="continue"/>
          </w:tcPr>
          <w:p>
            <w:pPr>
              <w:spacing w:after="0"/>
              <w:rPr>
                <w:sz w:val="13"/>
                <w:szCs w:val="13"/>
                <w:color w:val="auto"/>
              </w:rPr>
            </w:pPr>
          </w:p>
        </w:tc>
        <w:tc>
          <w:tcPr>
            <w:tcW w:w="1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30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4"/>
                <w:szCs w:val="14"/>
                <w:i w:val="1"/>
                <w:iCs w:val="1"/>
                <w:color w:val="auto"/>
              </w:rPr>
              <w:t>Wolters Kluwer N.V.</w:t>
            </w:r>
          </w:p>
        </w:tc>
        <w:tc>
          <w:tcPr>
            <w:tcW w:w="172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Compensation</w:t>
            </w:r>
          </w:p>
        </w:tc>
        <w:tc>
          <w:tcPr>
            <w:tcW w:w="0" w:type="dxa"/>
            <w:vAlign w:val="bottom"/>
          </w:tcPr>
          <w:p>
            <w:pPr>
              <w:spacing w:after="0"/>
              <w:rPr>
                <w:sz w:val="1"/>
                <w:szCs w:val="1"/>
                <w:color w:val="auto"/>
              </w:rPr>
            </w:pPr>
          </w:p>
        </w:tc>
      </w:tr>
      <w:tr>
        <w:trPr>
          <w:trHeight w:val="483"/>
        </w:trPr>
        <w:tc>
          <w:tcPr>
            <w:tcW w:w="330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7"/>
                <w:szCs w:val="17"/>
                <w:b w:val="1"/>
                <w:bCs w:val="1"/>
                <w:color w:val="592B82"/>
              </w:rPr>
              <w:t>INDEPENDENT</w:t>
            </w:r>
          </w:p>
        </w:tc>
        <w:tc>
          <w:tcPr>
            <w:tcW w:w="172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3300" w:type="dxa"/>
            <w:vAlign w:val="bottom"/>
            <w:tcBorders>
              <w:left w:val="single" w:sz="8" w:color="auto"/>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PROFESSIONAL BACKGROUND:</w:t>
      </w:r>
    </w:p>
    <w:p>
      <w:pPr>
        <w:spacing w:after="0" w:line="129" w:lineRule="exact"/>
        <w:rPr>
          <w:sz w:val="20"/>
          <w:szCs w:val="20"/>
          <w:color w:val="auto"/>
        </w:rPr>
      </w:pPr>
    </w:p>
    <w:p>
      <w:pPr>
        <w:ind w:left="140" w:right="100"/>
        <w:spacing w:after="0" w:line="279" w:lineRule="auto"/>
        <w:rPr>
          <w:sz w:val="20"/>
          <w:szCs w:val="20"/>
          <w:color w:val="auto"/>
        </w:rPr>
      </w:pPr>
      <w:r>
        <w:rPr>
          <w:rFonts w:ascii="Arial" w:cs="Arial" w:eastAsia="Arial" w:hAnsi="Arial"/>
          <w:sz w:val="17"/>
          <w:szCs w:val="17"/>
          <w:color w:val="auto"/>
        </w:rPr>
        <w:t>Ms. McKinstry served as Chief Executive Officer and Chair of the Executive Board of Wolters Kluwer N.V., a global information, software, and services provider, from September 2003 to February 2026, and as a member of its Executive Board from June 2001 to February 2026. She previously served in leadership positions including CEO of Wolters Kluwer’s operations in North America and product management positions with CCH INCORPORATED, part of Wolters Kluwer’s Tax &amp; Accounting division. Ms. McKinstry began her career with Booz &amp; Company (formerly Booz Allen Hamilton), an international management-consulting firm, where she focused on assignments in the media and technology industries.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DIRECTOR QUALIFICATIONS:</w:t>
      </w:r>
    </w:p>
    <w:p>
      <w:pPr>
        <w:spacing w:after="0" w:line="129" w:lineRule="exact"/>
        <w:rPr>
          <w:sz w:val="20"/>
          <w:szCs w:val="20"/>
          <w:color w:val="auto"/>
        </w:rPr>
      </w:pPr>
    </w:p>
    <w:p>
      <w:pPr>
        <w:ind w:left="200" w:right="420" w:hanging="132"/>
        <w:spacing w:after="0" w:line="287" w:lineRule="auto"/>
        <w:tabs>
          <w:tab w:leader="none" w:pos="200" w:val="left"/>
        </w:tabs>
        <w:numPr>
          <w:ilvl w:val="0"/>
          <w:numId w:val="20"/>
        </w:numPr>
        <w:rPr>
          <w:rFonts w:ascii="Arial" w:cs="Arial" w:eastAsia="Arial" w:hAnsi="Arial"/>
          <w:sz w:val="17"/>
          <w:szCs w:val="17"/>
          <w:color w:val="582C83"/>
        </w:rPr>
      </w:pPr>
      <w:r>
        <w:rPr>
          <w:rFonts w:ascii="Arial" w:cs="Arial" w:eastAsia="Arial" w:hAnsi="Arial"/>
          <w:sz w:val="17"/>
          <w:szCs w:val="17"/>
          <w:color w:val="auto"/>
        </w:rPr>
        <w:t>As the former Chief Executive Officer and Chair of the Executive Board of Wolters Kluwer N.V., Ms. McKinstry contributes global perspectives and management experience, including an understanding of key issues facing a multinational business.</w:t>
      </w:r>
    </w:p>
    <w:p>
      <w:pPr>
        <w:ind w:left="200" w:right="240" w:hanging="132"/>
        <w:spacing w:after="0" w:line="298" w:lineRule="auto"/>
        <w:tabs>
          <w:tab w:leader="none" w:pos="200" w:val="left"/>
        </w:tabs>
        <w:numPr>
          <w:ilvl w:val="0"/>
          <w:numId w:val="20"/>
        </w:numPr>
        <w:rPr>
          <w:rFonts w:ascii="Arial" w:cs="Arial" w:eastAsia="Arial" w:hAnsi="Arial"/>
          <w:sz w:val="17"/>
          <w:szCs w:val="17"/>
          <w:color w:val="582C83"/>
        </w:rPr>
      </w:pPr>
      <w:r>
        <w:rPr>
          <w:rFonts w:ascii="Arial" w:cs="Arial" w:eastAsia="Arial" w:hAnsi="Arial"/>
          <w:sz w:val="17"/>
          <w:szCs w:val="17"/>
          <w:color w:val="auto"/>
        </w:rPr>
        <w:t>Ms. McKinstry has valuable experience in operations, product management, tax, accounting, risk, and compliance and the media and technology industries.</w:t>
      </w:r>
    </w:p>
    <w:p>
      <w:pPr>
        <w:ind w:left="200" w:right="200" w:hanging="132"/>
        <w:spacing w:after="0" w:line="287" w:lineRule="auto"/>
        <w:tabs>
          <w:tab w:leader="none" w:pos="200" w:val="left"/>
        </w:tabs>
        <w:numPr>
          <w:ilvl w:val="0"/>
          <w:numId w:val="20"/>
        </w:numPr>
        <w:rPr>
          <w:rFonts w:ascii="Arial" w:cs="Arial" w:eastAsia="Arial" w:hAnsi="Arial"/>
          <w:sz w:val="17"/>
          <w:szCs w:val="17"/>
          <w:color w:val="582C83"/>
        </w:rPr>
      </w:pPr>
      <w:r>
        <w:rPr>
          <w:rFonts w:ascii="Arial" w:cs="Arial" w:eastAsia="Arial" w:hAnsi="Arial"/>
          <w:sz w:val="17"/>
          <w:szCs w:val="17"/>
          <w:color w:val="auto"/>
        </w:rPr>
        <w:t>Ms. McKinstry has repeatedly been included in leading lists of business media as one of the most powerful women in business. She is among Fortune International’s Most Powerful Women in Business list, and was included in the list of HBR’s Best-Performing CEOs in the World for 2019.</w:t>
      </w:r>
    </w:p>
    <w:p>
      <w:pPr>
        <w:ind w:left="200" w:right="140" w:hanging="132"/>
        <w:spacing w:after="0" w:line="301" w:lineRule="auto"/>
        <w:tabs>
          <w:tab w:leader="none" w:pos="200" w:val="left"/>
        </w:tabs>
        <w:numPr>
          <w:ilvl w:val="0"/>
          <w:numId w:val="20"/>
        </w:numPr>
        <w:rPr>
          <w:rFonts w:ascii="Arial" w:cs="Arial" w:eastAsia="Arial" w:hAnsi="Arial"/>
          <w:sz w:val="17"/>
          <w:szCs w:val="17"/>
          <w:color w:val="582C83"/>
        </w:rPr>
      </w:pPr>
      <w:r>
        <w:rPr>
          <w:rFonts w:ascii="Arial" w:cs="Arial" w:eastAsia="Arial" w:hAnsi="Arial"/>
          <w:sz w:val="17"/>
          <w:szCs w:val="17"/>
          <w:color w:val="auto"/>
        </w:rPr>
        <w:t>Ms. McKinstry has extensive public company board and global corporate governance experience. She is a member of the boards of Accenture plc and Abbott Laboratories.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19621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10375" cy="196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 ELECTION OF DIRECTORS</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Director Nominees for Election at the Annual Meeting</w:t>
      </w:r>
    </w:p>
    <w:p>
      <w:pPr>
        <w:spacing w:after="0" w:line="200" w:lineRule="exact"/>
        <w:rPr>
          <w:sz w:val="20"/>
          <w:szCs w:val="20"/>
          <w:color w:val="auto"/>
        </w:rPr>
      </w:pPr>
    </w:p>
    <w:p>
      <w:pPr>
        <w:spacing w:after="0" w:line="395" w:lineRule="exact"/>
        <w:rPr>
          <w:sz w:val="20"/>
          <w:szCs w:val="20"/>
          <w:color w:val="auto"/>
        </w:rPr>
      </w:pPr>
    </w:p>
    <w:tbl>
      <w:tblPr>
        <w:tblLayout w:type="fixed"/>
        <w:tblInd w:w="1360" w:type="dxa"/>
        <w:tblCellMar>
          <w:top w:w="0" w:type="dxa"/>
          <w:left w:w="0" w:type="dxa"/>
          <w:bottom w:w="0" w:type="dxa"/>
          <w:right w:w="0" w:type="dxa"/>
        </w:tblCellMar>
      </w:tblPr>
      <w:tr>
        <w:trPr>
          <w:trHeight w:val="244"/>
        </w:trPr>
        <w:tc>
          <w:tcPr>
            <w:tcW w:w="1820" w:type="dxa"/>
            <w:vAlign w:val="bottom"/>
          </w:tcPr>
          <w:p>
            <w:pPr>
              <w:spacing w:after="0"/>
              <w:rPr>
                <w:sz w:val="20"/>
                <w:szCs w:val="20"/>
                <w:color w:val="auto"/>
              </w:rPr>
            </w:pPr>
            <w:r>
              <w:rPr>
                <w:rFonts w:ascii="Arial" w:cs="Arial" w:eastAsia="Arial" w:hAnsi="Arial"/>
                <w:sz w:val="18"/>
                <w:szCs w:val="18"/>
                <w:b w:val="1"/>
                <w:bCs w:val="1"/>
                <w:color w:val="auto"/>
              </w:rPr>
              <w:t>Brian J. McNamara</w:t>
            </w:r>
          </w:p>
        </w:tc>
        <w:tc>
          <w:tcPr>
            <w:tcW w:w="3640" w:type="dxa"/>
            <w:vAlign w:val="bottom"/>
          </w:tcPr>
          <w:p>
            <w:pPr>
              <w:ind w:left="200"/>
              <w:spacing w:after="0"/>
              <w:rPr>
                <w:sz w:val="20"/>
                <w:szCs w:val="20"/>
                <w:color w:val="auto"/>
              </w:rPr>
            </w:pPr>
            <w:r>
              <w:rPr>
                <w:rFonts w:ascii="Arial" w:cs="Arial" w:eastAsia="Arial" w:hAnsi="Arial"/>
                <w:sz w:val="17"/>
                <w:szCs w:val="17"/>
                <w:b w:val="1"/>
                <w:bCs w:val="1"/>
                <w:color w:val="auto"/>
              </w:rPr>
              <w:t>DIRECTOR SINCE:  DIRECTOR SKILLS:</w:t>
            </w:r>
          </w:p>
        </w:tc>
        <w:tc>
          <w:tcPr>
            <w:tcW w:w="1980" w:type="dxa"/>
            <w:vAlign w:val="bottom"/>
            <w:gridSpan w:val="2"/>
          </w:tcPr>
          <w:p>
            <w:pPr>
              <w:ind w:left="120"/>
              <w:spacing w:after="0"/>
              <w:rPr>
                <w:sz w:val="20"/>
                <w:szCs w:val="20"/>
                <w:color w:val="auto"/>
              </w:rPr>
            </w:pPr>
            <w:r>
              <w:rPr>
                <w:rFonts w:ascii="Arial" w:cs="Arial" w:eastAsia="Arial" w:hAnsi="Arial"/>
                <w:sz w:val="17"/>
                <w:szCs w:val="17"/>
                <w:b w:val="1"/>
                <w:bCs w:val="1"/>
                <w:color w:val="auto"/>
                <w:w w:val="98"/>
              </w:rPr>
              <w:t>BOARD COMMITTEES:</w:t>
            </w:r>
          </w:p>
        </w:tc>
        <w:tc>
          <w:tcPr>
            <w:tcW w:w="0" w:type="dxa"/>
            <w:vAlign w:val="bottom"/>
          </w:tcPr>
          <w:p>
            <w:pPr>
              <w:spacing w:after="0"/>
              <w:rPr>
                <w:sz w:val="1"/>
                <w:szCs w:val="1"/>
                <w:color w:val="auto"/>
              </w:rPr>
            </w:pPr>
          </w:p>
        </w:tc>
      </w:tr>
      <w:tr>
        <w:trPr>
          <w:trHeight w:val="210"/>
        </w:trPr>
        <w:tc>
          <w:tcPr>
            <w:tcW w:w="1820" w:type="dxa"/>
            <w:vAlign w:val="bottom"/>
          </w:tcPr>
          <w:p>
            <w:pPr>
              <w:spacing w:after="0"/>
              <w:rPr>
                <w:sz w:val="20"/>
                <w:szCs w:val="20"/>
                <w:color w:val="auto"/>
              </w:rPr>
            </w:pPr>
            <w:r>
              <w:rPr>
                <w:rFonts w:ascii="Arial" w:cs="Arial" w:eastAsia="Arial" w:hAnsi="Arial"/>
                <w:sz w:val="14"/>
                <w:szCs w:val="14"/>
                <w:i w:val="1"/>
                <w:iCs w:val="1"/>
                <w:color w:val="auto"/>
              </w:rPr>
              <w:t>Chief Executive Officer,</w:t>
            </w:r>
          </w:p>
        </w:tc>
        <w:tc>
          <w:tcPr>
            <w:tcW w:w="3640" w:type="dxa"/>
            <w:vAlign w:val="bottom"/>
          </w:tcPr>
          <w:p>
            <w:pPr>
              <w:jc w:val="center"/>
              <w:ind w:right="1635"/>
              <w:spacing w:after="0"/>
              <w:rPr>
                <w:sz w:val="20"/>
                <w:szCs w:val="20"/>
                <w:color w:val="auto"/>
              </w:rPr>
            </w:pPr>
            <w:r>
              <w:rPr>
                <w:rFonts w:ascii="Arial" w:cs="Arial" w:eastAsia="Arial" w:hAnsi="Arial"/>
                <w:sz w:val="17"/>
                <w:szCs w:val="17"/>
                <w:color w:val="auto"/>
              </w:rPr>
              <w:t>February 2024</w:t>
            </w:r>
          </w:p>
        </w:tc>
        <w:tc>
          <w:tcPr>
            <w:tcW w:w="240" w:type="dxa"/>
            <w:vAlign w:val="bottom"/>
          </w:tcPr>
          <w:p>
            <w:pPr>
              <w:ind w:left="120"/>
              <w:spacing w:after="0"/>
              <w:rPr>
                <w:sz w:val="20"/>
                <w:szCs w:val="20"/>
                <w:color w:val="auto"/>
              </w:rPr>
            </w:pPr>
            <w:r>
              <w:rPr>
                <w:rFonts w:ascii="Arial" w:cs="Arial" w:eastAsia="Arial" w:hAnsi="Arial"/>
                <w:sz w:val="17"/>
                <w:szCs w:val="17"/>
                <w:color w:val="582C83"/>
              </w:rPr>
              <w:t>•</w:t>
            </w:r>
          </w:p>
        </w:tc>
        <w:tc>
          <w:tcPr>
            <w:tcW w:w="1740" w:type="dxa"/>
            <w:vAlign w:val="bottom"/>
          </w:tcPr>
          <w:p>
            <w:pPr>
              <w:ind w:left="80"/>
              <w:spacing w:after="0"/>
              <w:rPr>
                <w:sz w:val="20"/>
                <w:szCs w:val="20"/>
                <w:color w:val="auto"/>
              </w:rPr>
            </w:pPr>
            <w:r>
              <w:rPr>
                <w:rFonts w:ascii="Arial" w:cs="Arial" w:eastAsia="Arial" w:hAnsi="Arial"/>
                <w:sz w:val="17"/>
                <w:szCs w:val="17"/>
                <w:color w:val="auto"/>
              </w:rPr>
              <w:t>Governance</w:t>
            </w:r>
          </w:p>
        </w:tc>
        <w:tc>
          <w:tcPr>
            <w:tcW w:w="0" w:type="dxa"/>
            <w:vAlign w:val="bottom"/>
          </w:tcPr>
          <w:p>
            <w:pPr>
              <w:spacing w:after="0"/>
              <w:rPr>
                <w:sz w:val="1"/>
                <w:szCs w:val="1"/>
                <w:color w:val="auto"/>
              </w:rPr>
            </w:pPr>
          </w:p>
        </w:tc>
      </w:tr>
      <w:tr>
        <w:trPr>
          <w:trHeight w:val="188"/>
        </w:trPr>
        <w:tc>
          <w:tcPr>
            <w:tcW w:w="1820" w:type="dxa"/>
            <w:vAlign w:val="bottom"/>
          </w:tcPr>
          <w:p>
            <w:pPr>
              <w:spacing w:after="0"/>
              <w:rPr>
                <w:sz w:val="20"/>
                <w:szCs w:val="20"/>
                <w:color w:val="auto"/>
              </w:rPr>
            </w:pPr>
            <w:r>
              <w:rPr>
                <w:rFonts w:ascii="Arial" w:cs="Arial" w:eastAsia="Arial" w:hAnsi="Arial"/>
                <w:sz w:val="14"/>
                <w:szCs w:val="14"/>
                <w:i w:val="1"/>
                <w:iCs w:val="1"/>
                <w:color w:val="auto"/>
              </w:rPr>
              <w:t>Haleon plc</w:t>
            </w:r>
          </w:p>
        </w:tc>
        <w:tc>
          <w:tcPr>
            <w:tcW w:w="3640" w:type="dxa"/>
            <w:vAlign w:val="bottom"/>
            <w:vMerge w:val="restart"/>
          </w:tcPr>
          <w:p>
            <w:pPr>
              <w:jc w:val="center"/>
              <w:ind w:right="1615"/>
              <w:spacing w:after="0"/>
              <w:rPr>
                <w:sz w:val="20"/>
                <w:szCs w:val="20"/>
                <w:color w:val="auto"/>
              </w:rPr>
            </w:pPr>
            <w:r>
              <w:rPr>
                <w:rFonts w:ascii="Arial" w:cs="Arial" w:eastAsia="Arial" w:hAnsi="Arial"/>
                <w:sz w:val="17"/>
                <w:szCs w:val="17"/>
                <w:color w:val="auto"/>
                <w:w w:val="98"/>
              </w:rPr>
              <w:t>Age: 59</w:t>
            </w:r>
          </w:p>
        </w:tc>
        <w:tc>
          <w:tcPr>
            <w:tcW w:w="240" w:type="dxa"/>
            <w:vAlign w:val="bottom"/>
            <w:vMerge w:val="restart"/>
          </w:tcPr>
          <w:p>
            <w:pPr>
              <w:ind w:left="120"/>
              <w:spacing w:after="0"/>
              <w:rPr>
                <w:sz w:val="20"/>
                <w:szCs w:val="20"/>
                <w:color w:val="auto"/>
              </w:rPr>
            </w:pPr>
            <w:r>
              <w:rPr>
                <w:rFonts w:ascii="Arial" w:cs="Arial" w:eastAsia="Arial" w:hAnsi="Arial"/>
                <w:sz w:val="17"/>
                <w:szCs w:val="17"/>
                <w:color w:val="582C83"/>
              </w:rPr>
              <w:t>•</w:t>
            </w:r>
          </w:p>
        </w:tc>
        <w:tc>
          <w:tcPr>
            <w:tcW w:w="1740" w:type="dxa"/>
            <w:vAlign w:val="bottom"/>
            <w:vMerge w:val="restart"/>
          </w:tcPr>
          <w:p>
            <w:pPr>
              <w:ind w:left="80"/>
              <w:spacing w:after="0"/>
              <w:rPr>
                <w:sz w:val="20"/>
                <w:szCs w:val="20"/>
                <w:color w:val="auto"/>
              </w:rPr>
            </w:pPr>
            <w:r>
              <w:rPr>
                <w:rFonts w:ascii="Arial" w:cs="Arial" w:eastAsia="Arial" w:hAnsi="Arial"/>
                <w:sz w:val="17"/>
                <w:szCs w:val="17"/>
                <w:color w:val="auto"/>
              </w:rPr>
              <w:t>People and</w:t>
            </w:r>
          </w:p>
        </w:tc>
        <w:tc>
          <w:tcPr>
            <w:tcW w:w="0" w:type="dxa"/>
            <w:vAlign w:val="bottom"/>
          </w:tcPr>
          <w:p>
            <w:pPr>
              <w:spacing w:after="0"/>
              <w:rPr>
                <w:sz w:val="1"/>
                <w:szCs w:val="1"/>
                <w:color w:val="auto"/>
              </w:rPr>
            </w:pPr>
          </w:p>
        </w:tc>
      </w:tr>
      <w:tr>
        <w:trPr>
          <w:trHeight w:val="122"/>
        </w:trPr>
        <w:tc>
          <w:tcPr>
            <w:tcW w:w="1820" w:type="dxa"/>
            <w:vAlign w:val="bottom"/>
          </w:tcPr>
          <w:p>
            <w:pPr>
              <w:spacing w:after="0"/>
              <w:rPr>
                <w:sz w:val="10"/>
                <w:szCs w:val="10"/>
                <w:color w:val="auto"/>
              </w:rPr>
            </w:pPr>
          </w:p>
        </w:tc>
        <w:tc>
          <w:tcPr>
            <w:tcW w:w="36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Compensation</w:t>
      </w:r>
    </w:p>
    <w:p>
      <w:pPr>
        <w:spacing w:after="0" w:line="48" w:lineRule="exact"/>
        <w:rPr>
          <w:sz w:val="20"/>
          <w:szCs w:val="20"/>
          <w:color w:val="auto"/>
        </w:rPr>
      </w:pPr>
    </w:p>
    <w:p>
      <w:pPr>
        <w:ind w:left="1360"/>
        <w:spacing w:after="0"/>
        <w:rPr>
          <w:sz w:val="20"/>
          <w:szCs w:val="20"/>
          <w:color w:val="auto"/>
        </w:rPr>
      </w:pPr>
      <w:r>
        <w:rPr>
          <w:rFonts w:ascii="Arial" w:cs="Arial" w:eastAsia="Arial" w:hAnsi="Arial"/>
          <w:sz w:val="17"/>
          <w:szCs w:val="17"/>
          <w:b w:val="1"/>
          <w:bCs w:val="1"/>
          <w:color w:val="592B82"/>
        </w:rPr>
        <w:t>INDEPENDENT</w:t>
      </w:r>
    </w:p>
    <w:p>
      <w:pPr>
        <w:sectPr>
          <w:pgSz w:w="11900" w:h="16838" w:orient="portrait"/>
          <w:cols w:equalWidth="0" w:num="1">
            <w:col w:w="9040"/>
          </w:cols>
          <w:pgMar w:left="1420" w:top="179" w:right="1439" w:bottom="0" w:gutter="0" w:footer="0" w:header="0"/>
        </w:sectPr>
      </w:pPr>
    </w:p>
    <w:bookmarkStart w:id="24" w:name="page25"/>
    <w:bookmarkEnd w:id="24"/>
    <w:p>
      <w:pPr>
        <w:spacing w:after="0" w:line="6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PROFESSIONAL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-118110</wp:posOffset>
            </wp:positionV>
            <wp:extent cx="6810375" cy="6894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10375" cy="6894195"/>
                    </a:xfrm>
                    <a:prstGeom prst="rect">
                      <a:avLst/>
                    </a:prstGeom>
                    <a:noFill/>
                  </pic:spPr>
                </pic:pic>
              </a:graphicData>
            </a:graphic>
          </wp:anchor>
        </w:drawing>
      </w:r>
    </w:p>
    <w:p>
      <w:pPr>
        <w:spacing w:after="0" w:line="109" w:lineRule="exact"/>
        <w:rPr>
          <w:sz w:val="20"/>
          <w:szCs w:val="20"/>
          <w:color w:val="auto"/>
        </w:rPr>
      </w:pPr>
    </w:p>
    <w:p>
      <w:pPr>
        <w:ind w:left="120" w:right="299"/>
        <w:spacing w:after="0" w:line="279" w:lineRule="auto"/>
        <w:rPr>
          <w:sz w:val="20"/>
          <w:szCs w:val="20"/>
          <w:color w:val="auto"/>
        </w:rPr>
      </w:pPr>
      <w:r>
        <w:rPr>
          <w:rFonts w:ascii="Arial" w:cs="Arial" w:eastAsia="Arial" w:hAnsi="Arial"/>
          <w:sz w:val="17"/>
          <w:szCs w:val="17"/>
          <w:color w:val="auto"/>
        </w:rPr>
        <w:t>Mr. McNamara has served as Chief Executive Officer of Haleon plc (formerly GSK ConsumerHealthcare), a global consumer healthcare company, since May 2022. Mr. McNamara joined GlaxoSmithKline plc, a global pharmaceutical and biotechnology company, in 2015 and served in various capacities, including Chief Executive Officer Designate, Haleon, from July 2021 to May 2022, Chief Executive Officer, GSK Consumer Healthcare, from October 2016 to May 2021, and Head of Europe and Americas, GSK Consumer Healthcare, from March 2015 to September 2016. Prior to that, he worked for 28 years in a variety of leadership positions for several global consumer products providers, including Novartis AG and The Procter &amp; Gamble Company.</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DIRECTOR QUALIFICATIONS:</w:t>
      </w:r>
    </w:p>
    <w:p>
      <w:pPr>
        <w:spacing w:after="0" w:line="129" w:lineRule="exact"/>
        <w:rPr>
          <w:sz w:val="20"/>
          <w:szCs w:val="20"/>
          <w:color w:val="auto"/>
        </w:rPr>
      </w:pPr>
    </w:p>
    <w:p>
      <w:pPr>
        <w:ind w:left="180" w:right="399" w:hanging="132"/>
        <w:spacing w:after="0" w:line="287" w:lineRule="auto"/>
        <w:tabs>
          <w:tab w:leader="none" w:pos="180" w:val="left"/>
        </w:tabs>
        <w:numPr>
          <w:ilvl w:val="0"/>
          <w:numId w:val="21"/>
        </w:numPr>
        <w:rPr>
          <w:rFonts w:ascii="Arial" w:cs="Arial" w:eastAsia="Arial" w:hAnsi="Arial"/>
          <w:sz w:val="17"/>
          <w:szCs w:val="17"/>
          <w:color w:val="582C83"/>
        </w:rPr>
      </w:pPr>
      <w:r>
        <w:rPr>
          <w:rFonts w:ascii="Arial" w:cs="Arial" w:eastAsia="Arial" w:hAnsi="Arial"/>
          <w:sz w:val="17"/>
          <w:szCs w:val="17"/>
          <w:color w:val="auto"/>
        </w:rPr>
        <w:t>During his 37-year career, Mr. McNamara has gained valuable experience in executive leadership and global operations management. He has a strong track record of building and marketing global brands, including driving strong, profitable growth and brand innovation.</w:t>
      </w:r>
    </w:p>
    <w:p>
      <w:pPr>
        <w:ind w:left="180" w:right="279" w:hanging="132"/>
        <w:spacing w:after="0" w:line="287" w:lineRule="auto"/>
        <w:tabs>
          <w:tab w:leader="none" w:pos="180" w:val="left"/>
        </w:tabs>
        <w:numPr>
          <w:ilvl w:val="0"/>
          <w:numId w:val="21"/>
        </w:numPr>
        <w:rPr>
          <w:rFonts w:ascii="Arial" w:cs="Arial" w:eastAsia="Arial" w:hAnsi="Arial"/>
          <w:sz w:val="17"/>
          <w:szCs w:val="17"/>
          <w:color w:val="582C83"/>
        </w:rPr>
      </w:pPr>
      <w:r>
        <w:rPr>
          <w:rFonts w:ascii="Arial" w:cs="Arial" w:eastAsia="Arial" w:hAnsi="Arial"/>
          <w:sz w:val="17"/>
          <w:szCs w:val="17"/>
          <w:color w:val="auto"/>
        </w:rPr>
        <w:t>Mr. McNamara brings strong consumer products industry knowledge and marketing experience from his work at GSK Consumer Healthcare, Novartis AG, and The Procter &amp; Gamble Company. He brings a global perspective to the Board, having lived and worked in Europe and the Americas.</w:t>
      </w:r>
    </w:p>
    <w:p>
      <w:pPr>
        <w:ind w:left="180" w:hanging="132"/>
        <w:spacing w:after="0"/>
        <w:tabs>
          <w:tab w:leader="none" w:pos="180" w:val="left"/>
        </w:tabs>
        <w:numPr>
          <w:ilvl w:val="0"/>
          <w:numId w:val="21"/>
        </w:numPr>
        <w:rPr>
          <w:rFonts w:ascii="Arial" w:cs="Arial" w:eastAsia="Arial" w:hAnsi="Arial"/>
          <w:sz w:val="17"/>
          <w:szCs w:val="17"/>
          <w:color w:val="582C83"/>
        </w:rPr>
      </w:pPr>
      <w:r>
        <w:rPr>
          <w:rFonts w:ascii="Arial" w:cs="Arial" w:eastAsia="Arial" w:hAnsi="Arial"/>
          <w:sz w:val="17"/>
          <w:szCs w:val="17"/>
          <w:color w:val="auto"/>
        </w:rPr>
        <w:t>Mr. McNamara has public company board and corporate governance experience. He is a director of Haleon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582C83"/>
        </w:rPr>
        <w:t>26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347345</wp:posOffset>
            </wp:positionV>
            <wp:extent cx="6810375" cy="35394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10375" cy="353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39"/>
        <w:spacing w:after="0"/>
        <w:rPr>
          <w:sz w:val="20"/>
          <w:szCs w:val="20"/>
          <w:color w:val="auto"/>
        </w:rPr>
      </w:pPr>
      <w:r>
        <w:rPr>
          <w:rFonts w:ascii="Arial" w:cs="Arial" w:eastAsia="Arial" w:hAnsi="Arial"/>
          <w:sz w:val="22"/>
          <w:szCs w:val="22"/>
          <w:b w:val="1"/>
          <w:bCs w:val="1"/>
          <w:color w:val="auto"/>
        </w:rPr>
        <w:t>ITEM 1. ELECTION OF DIRECTORS</w:t>
      </w:r>
    </w:p>
    <w:p>
      <w:pPr>
        <w:spacing w:after="0" w:line="37" w:lineRule="exact"/>
        <w:rPr>
          <w:sz w:val="20"/>
          <w:szCs w:val="20"/>
          <w:color w:val="auto"/>
        </w:rPr>
      </w:pPr>
    </w:p>
    <w:p>
      <w:pPr>
        <w:jc w:val="right"/>
        <w:ind w:right="19"/>
        <w:spacing w:after="0"/>
        <w:rPr>
          <w:sz w:val="20"/>
          <w:szCs w:val="20"/>
          <w:color w:val="auto"/>
        </w:rPr>
      </w:pPr>
      <w:r>
        <w:rPr>
          <w:rFonts w:ascii="Arial" w:cs="Arial" w:eastAsia="Arial" w:hAnsi="Arial"/>
          <w:sz w:val="14"/>
          <w:szCs w:val="14"/>
          <w:color w:val="auto"/>
        </w:rPr>
        <w:t>Director Nominees for Election at the Annual Meeting</w:t>
      </w:r>
    </w:p>
    <w:p>
      <w:pPr>
        <w:spacing w:after="0" w:line="200" w:lineRule="exact"/>
        <w:rPr>
          <w:sz w:val="20"/>
          <w:szCs w:val="20"/>
          <w:color w:val="auto"/>
        </w:rPr>
      </w:pPr>
    </w:p>
    <w:p>
      <w:pPr>
        <w:spacing w:after="0" w:line="395" w:lineRule="exact"/>
        <w:rPr>
          <w:sz w:val="20"/>
          <w:szCs w:val="20"/>
          <w:color w:val="auto"/>
        </w:rPr>
      </w:pPr>
    </w:p>
    <w:tbl>
      <w:tblPr>
        <w:tblLayout w:type="fixed"/>
        <w:tblInd w:w="1340" w:type="dxa"/>
        <w:tblCellMar>
          <w:top w:w="0" w:type="dxa"/>
          <w:left w:w="0" w:type="dxa"/>
          <w:bottom w:w="0" w:type="dxa"/>
          <w:right w:w="0" w:type="dxa"/>
        </w:tblCellMar>
      </w:tblPr>
      <w:tr>
        <w:trPr>
          <w:trHeight w:val="244"/>
        </w:trPr>
        <w:tc>
          <w:tcPr>
            <w:tcW w:w="1820" w:type="dxa"/>
            <w:vAlign w:val="bottom"/>
          </w:tcPr>
          <w:p>
            <w:pPr>
              <w:spacing w:after="0"/>
              <w:rPr>
                <w:sz w:val="20"/>
                <w:szCs w:val="20"/>
                <w:color w:val="auto"/>
              </w:rPr>
            </w:pPr>
            <w:r>
              <w:rPr>
                <w:rFonts w:ascii="Arial" w:cs="Arial" w:eastAsia="Arial" w:hAnsi="Arial"/>
                <w:sz w:val="18"/>
                <w:szCs w:val="18"/>
                <w:b w:val="1"/>
                <w:bCs w:val="1"/>
                <w:color w:val="auto"/>
              </w:rPr>
              <w:t>Jorge S. Mesquita</w:t>
            </w:r>
          </w:p>
        </w:tc>
        <w:tc>
          <w:tcPr>
            <w:tcW w:w="1960" w:type="dxa"/>
            <w:vAlign w:val="bottom"/>
          </w:tcPr>
          <w:p>
            <w:pPr>
              <w:jc w:val="center"/>
              <w:ind w:left="55"/>
              <w:spacing w:after="0"/>
              <w:rPr>
                <w:sz w:val="20"/>
                <w:szCs w:val="20"/>
                <w:color w:val="auto"/>
              </w:rPr>
            </w:pPr>
            <w:r>
              <w:rPr>
                <w:rFonts w:ascii="Arial" w:cs="Arial" w:eastAsia="Arial" w:hAnsi="Arial"/>
                <w:sz w:val="17"/>
                <w:szCs w:val="17"/>
                <w:b w:val="1"/>
                <w:bCs w:val="1"/>
                <w:color w:val="auto"/>
                <w:w w:val="99"/>
              </w:rPr>
              <w:t>DIRECTOR SINCE:</w:t>
            </w:r>
          </w:p>
        </w:tc>
        <w:tc>
          <w:tcPr>
            <w:tcW w:w="3840" w:type="dxa"/>
            <w:vAlign w:val="bottom"/>
            <w:gridSpan w:val="2"/>
          </w:tcPr>
          <w:p>
            <w:pPr>
              <w:jc w:val="center"/>
              <w:ind w:left="55"/>
              <w:spacing w:after="0"/>
              <w:rPr>
                <w:sz w:val="20"/>
                <w:szCs w:val="20"/>
                <w:color w:val="auto"/>
              </w:rPr>
            </w:pPr>
            <w:r>
              <w:rPr>
                <w:rFonts w:ascii="Arial" w:cs="Arial" w:eastAsia="Arial" w:hAnsi="Arial"/>
                <w:sz w:val="17"/>
                <w:szCs w:val="17"/>
                <w:b w:val="1"/>
                <w:bCs w:val="1"/>
                <w:color w:val="auto"/>
              </w:rPr>
              <w:t>DIRECTOR SKILLS:   BOARD COMMITTEES:</w:t>
            </w:r>
          </w:p>
        </w:tc>
        <w:tc>
          <w:tcPr>
            <w:tcW w:w="0" w:type="dxa"/>
            <w:vAlign w:val="bottom"/>
          </w:tcPr>
          <w:p>
            <w:pPr>
              <w:spacing w:after="0"/>
              <w:rPr>
                <w:sz w:val="1"/>
                <w:szCs w:val="1"/>
                <w:color w:val="auto"/>
              </w:rPr>
            </w:pPr>
          </w:p>
        </w:tc>
      </w:tr>
      <w:tr>
        <w:trPr>
          <w:trHeight w:val="210"/>
        </w:trPr>
        <w:tc>
          <w:tcPr>
            <w:tcW w:w="1820" w:type="dxa"/>
            <w:vAlign w:val="bottom"/>
          </w:tcPr>
          <w:p>
            <w:pPr>
              <w:spacing w:after="0"/>
              <w:rPr>
                <w:sz w:val="20"/>
                <w:szCs w:val="20"/>
                <w:color w:val="auto"/>
              </w:rPr>
            </w:pPr>
            <w:r>
              <w:rPr>
                <w:rFonts w:ascii="Arial" w:cs="Arial" w:eastAsia="Arial" w:hAnsi="Arial"/>
                <w:sz w:val="14"/>
                <w:szCs w:val="14"/>
                <w:i w:val="1"/>
                <w:iCs w:val="1"/>
                <w:color w:val="auto"/>
              </w:rPr>
              <w:t>Former Chief</w:t>
            </w:r>
          </w:p>
        </w:tc>
        <w:tc>
          <w:tcPr>
            <w:tcW w:w="1960" w:type="dxa"/>
            <w:vAlign w:val="bottom"/>
          </w:tcPr>
          <w:p>
            <w:pPr>
              <w:jc w:val="center"/>
              <w:ind w:left="55"/>
              <w:spacing w:after="0"/>
              <w:rPr>
                <w:sz w:val="20"/>
                <w:szCs w:val="20"/>
                <w:color w:val="auto"/>
              </w:rPr>
            </w:pPr>
            <w:r>
              <w:rPr>
                <w:rFonts w:ascii="Arial" w:cs="Arial" w:eastAsia="Arial" w:hAnsi="Arial"/>
                <w:sz w:val="17"/>
                <w:szCs w:val="17"/>
                <w:color w:val="auto"/>
                <w:w w:val="99"/>
              </w:rPr>
              <w:t>May 2012</w:t>
            </w:r>
          </w:p>
        </w:tc>
        <w:tc>
          <w:tcPr>
            <w:tcW w:w="2100" w:type="dxa"/>
            <w:vAlign w:val="bottom"/>
          </w:tcPr>
          <w:p>
            <w:pPr>
              <w:jc w:val="center"/>
              <w:ind w:left="1835"/>
              <w:spacing w:after="0"/>
              <w:rPr>
                <w:sz w:val="20"/>
                <w:szCs w:val="20"/>
                <w:color w:val="auto"/>
              </w:rPr>
            </w:pPr>
            <w:r>
              <w:rPr>
                <w:rFonts w:ascii="Arial" w:cs="Arial" w:eastAsia="Arial" w:hAnsi="Arial"/>
                <w:sz w:val="17"/>
                <w:szCs w:val="17"/>
                <w:color w:val="582C83"/>
              </w:rPr>
              <w:t>•</w:t>
            </w:r>
          </w:p>
        </w:tc>
        <w:tc>
          <w:tcPr>
            <w:tcW w:w="1740" w:type="dxa"/>
            <w:vAlign w:val="bottom"/>
          </w:tcPr>
          <w:p>
            <w:pPr>
              <w:ind w:left="60"/>
              <w:spacing w:after="0"/>
              <w:rPr>
                <w:sz w:val="20"/>
                <w:szCs w:val="20"/>
                <w:color w:val="auto"/>
              </w:rPr>
            </w:pPr>
            <w:r>
              <w:rPr>
                <w:rFonts w:ascii="Arial" w:cs="Arial" w:eastAsia="Arial" w:hAnsi="Arial"/>
                <w:sz w:val="17"/>
                <w:szCs w:val="17"/>
                <w:color w:val="auto"/>
              </w:rPr>
              <w:t>Audit</w:t>
            </w:r>
          </w:p>
        </w:tc>
        <w:tc>
          <w:tcPr>
            <w:tcW w:w="0" w:type="dxa"/>
            <w:vAlign w:val="bottom"/>
          </w:tcPr>
          <w:p>
            <w:pPr>
              <w:spacing w:after="0"/>
              <w:rPr>
                <w:sz w:val="1"/>
                <w:szCs w:val="1"/>
                <w:color w:val="auto"/>
              </w:rPr>
            </w:pPr>
          </w:p>
        </w:tc>
      </w:tr>
      <w:tr>
        <w:trPr>
          <w:trHeight w:val="168"/>
        </w:trPr>
        <w:tc>
          <w:tcPr>
            <w:tcW w:w="1820" w:type="dxa"/>
            <w:vAlign w:val="bottom"/>
          </w:tcPr>
          <w:p>
            <w:pPr>
              <w:spacing w:after="0"/>
              <w:rPr>
                <w:sz w:val="20"/>
                <w:szCs w:val="20"/>
                <w:color w:val="auto"/>
              </w:rPr>
            </w:pPr>
            <w:r>
              <w:rPr>
                <w:rFonts w:ascii="Arial" w:cs="Arial" w:eastAsia="Arial" w:hAnsi="Arial"/>
                <w:sz w:val="14"/>
                <w:szCs w:val="14"/>
                <w:i w:val="1"/>
                <w:iCs w:val="1"/>
                <w:color w:val="auto"/>
              </w:rPr>
              <w:t>Executive Officer,</w:t>
            </w:r>
          </w:p>
        </w:tc>
        <w:tc>
          <w:tcPr>
            <w:tcW w:w="1960" w:type="dxa"/>
            <w:vAlign w:val="bottom"/>
            <w:vMerge w:val="restart"/>
          </w:tcPr>
          <w:p>
            <w:pPr>
              <w:jc w:val="center"/>
              <w:ind w:left="55"/>
              <w:spacing w:after="0"/>
              <w:rPr>
                <w:sz w:val="20"/>
                <w:szCs w:val="20"/>
                <w:color w:val="auto"/>
              </w:rPr>
            </w:pPr>
            <w:r>
              <w:rPr>
                <w:rFonts w:ascii="Arial" w:cs="Arial" w:eastAsia="Arial" w:hAnsi="Arial"/>
                <w:sz w:val="17"/>
                <w:szCs w:val="17"/>
                <w:color w:val="auto"/>
                <w:w w:val="98"/>
              </w:rPr>
              <w:t>Age: 64</w:t>
            </w:r>
          </w:p>
        </w:tc>
        <w:tc>
          <w:tcPr>
            <w:tcW w:w="2100" w:type="dxa"/>
            <w:vAlign w:val="bottom"/>
            <w:vMerge w:val="restart"/>
          </w:tcPr>
          <w:p>
            <w:pPr>
              <w:jc w:val="center"/>
              <w:ind w:left="1835"/>
              <w:spacing w:after="0"/>
              <w:rPr>
                <w:sz w:val="20"/>
                <w:szCs w:val="20"/>
                <w:color w:val="auto"/>
              </w:rPr>
            </w:pPr>
            <w:r>
              <w:rPr>
                <w:rFonts w:ascii="Arial" w:cs="Arial" w:eastAsia="Arial" w:hAnsi="Arial"/>
                <w:sz w:val="17"/>
                <w:szCs w:val="17"/>
                <w:color w:val="582C83"/>
              </w:rPr>
              <w:t>•</w:t>
            </w:r>
          </w:p>
        </w:tc>
        <w:tc>
          <w:tcPr>
            <w:tcW w:w="1740" w:type="dxa"/>
            <w:vAlign w:val="bottom"/>
            <w:vMerge w:val="restart"/>
          </w:tcPr>
          <w:p>
            <w:pPr>
              <w:ind w:left="60"/>
              <w:spacing w:after="0"/>
              <w:rPr>
                <w:sz w:val="20"/>
                <w:szCs w:val="20"/>
                <w:color w:val="auto"/>
              </w:rPr>
            </w:pPr>
            <w:r>
              <w:rPr>
                <w:rFonts w:ascii="Arial" w:cs="Arial" w:eastAsia="Arial" w:hAnsi="Arial"/>
                <w:sz w:val="17"/>
                <w:szCs w:val="17"/>
                <w:color w:val="auto"/>
              </w:rPr>
              <w:t>Finance</w:t>
            </w:r>
          </w:p>
        </w:tc>
        <w:tc>
          <w:tcPr>
            <w:tcW w:w="0" w:type="dxa"/>
            <w:vAlign w:val="bottom"/>
          </w:tcPr>
          <w:p>
            <w:pPr>
              <w:spacing w:after="0"/>
              <w:rPr>
                <w:sz w:val="1"/>
                <w:szCs w:val="1"/>
                <w:color w:val="auto"/>
              </w:rPr>
            </w:pPr>
          </w:p>
        </w:tc>
      </w:tr>
      <w:tr>
        <w:trPr>
          <w:trHeight w:val="188"/>
        </w:trPr>
        <w:tc>
          <w:tcPr>
            <w:tcW w:w="1820" w:type="dxa"/>
            <w:vAlign w:val="bottom"/>
          </w:tcPr>
          <w:p>
            <w:pPr>
              <w:spacing w:after="0"/>
              <w:rPr>
                <w:sz w:val="20"/>
                <w:szCs w:val="20"/>
                <w:color w:val="auto"/>
              </w:rPr>
            </w:pPr>
            <w:r>
              <w:rPr>
                <w:rFonts w:ascii="Arial" w:cs="Arial" w:eastAsia="Arial" w:hAnsi="Arial"/>
                <w:sz w:val="14"/>
                <w:szCs w:val="14"/>
                <w:i w:val="1"/>
                <w:iCs w:val="1"/>
                <w:color w:val="auto"/>
              </w:rPr>
              <w:t>BlueTriton Brands, Inc.</w:t>
            </w:r>
          </w:p>
        </w:tc>
        <w:tc>
          <w:tcPr>
            <w:tcW w:w="196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340"/>
        <w:spacing w:after="0"/>
        <w:rPr>
          <w:sz w:val="20"/>
          <w:szCs w:val="20"/>
          <w:color w:val="auto"/>
        </w:rPr>
      </w:pPr>
      <w:r>
        <w:rPr>
          <w:rFonts w:ascii="Arial" w:cs="Arial" w:eastAsia="Arial" w:hAnsi="Arial"/>
          <w:sz w:val="17"/>
          <w:szCs w:val="17"/>
          <w:b w:val="1"/>
          <w:bCs w:val="1"/>
          <w:color w:val="592B82"/>
        </w:rPr>
        <w:t>INDEPENDENT</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PROFESSIONAL BACKGROUND:</w:t>
      </w:r>
    </w:p>
    <w:p>
      <w:pPr>
        <w:spacing w:after="0" w:line="129" w:lineRule="exact"/>
        <w:rPr>
          <w:sz w:val="20"/>
          <w:szCs w:val="20"/>
          <w:color w:val="auto"/>
        </w:rPr>
      </w:pPr>
    </w:p>
    <w:p>
      <w:pPr>
        <w:jc w:val="both"/>
        <w:ind w:left="120" w:right="179"/>
        <w:spacing w:after="0" w:line="282" w:lineRule="auto"/>
        <w:rPr>
          <w:sz w:val="20"/>
          <w:szCs w:val="20"/>
          <w:color w:val="auto"/>
        </w:rPr>
      </w:pPr>
      <w:r>
        <w:rPr>
          <w:rFonts w:ascii="Arial" w:cs="Arial" w:eastAsia="Arial" w:hAnsi="Arial"/>
          <w:sz w:val="17"/>
          <w:szCs w:val="17"/>
          <w:color w:val="auto"/>
        </w:rPr>
        <w:t>Mr. Mesquita served as Chief Executive Officer of BlueTriton Brands, Inc., a beverage company that offers regional spring water and national purified water brands, from July 2021 to March 2022. Prior to that, he was Executive Vice President and Worldwide Chairman, Consumer of Johnson &amp; Johnson, a global healthcare products company, from 2014 until 2019. He also served on J&amp;J’s Executive Committee and led the Consumer Group Operating Committee. Mr. Mesquita was an advisor to Cinven, a UK private equity firm, from 2020 to 2021.</w:t>
      </w:r>
    </w:p>
    <w:p>
      <w:pPr>
        <w:spacing w:after="0" w:line="67" w:lineRule="exact"/>
        <w:rPr>
          <w:sz w:val="20"/>
          <w:szCs w:val="20"/>
          <w:color w:val="auto"/>
        </w:rPr>
      </w:pPr>
    </w:p>
    <w:p>
      <w:pPr>
        <w:ind w:left="120" w:right="39"/>
        <w:spacing w:after="0" w:line="288" w:lineRule="auto"/>
        <w:rPr>
          <w:sz w:val="20"/>
          <w:szCs w:val="20"/>
          <w:color w:val="auto"/>
        </w:rPr>
      </w:pPr>
      <w:r>
        <w:rPr>
          <w:rFonts w:ascii="Arial" w:cs="Arial" w:eastAsia="Arial" w:hAnsi="Arial"/>
          <w:sz w:val="17"/>
          <w:szCs w:val="17"/>
          <w:color w:val="auto"/>
        </w:rPr>
        <w:t>Mr. Mesquita was employed by Procter &amp; Gamble, a global marketer of consumer products, in various marketing and leadership capacities for 29 years from 1984 to 2013. During his tenure at P&amp;G, he served as Group President – New Business Creation and Innovation from 2012 until 2013; Group President – Special Assignment from January 2012 until March 2012; Group President, Global Fabric Care from 2007 to 2011; President, Global Home Care from 2001</w:t>
      </w:r>
    </w:p>
    <w:p>
      <w:pPr>
        <w:sectPr>
          <w:pgSz w:w="11900" w:h="16903" w:orient="portrait"/>
          <w:cols w:equalWidth="0" w:num="1">
            <w:col w:w="9019"/>
          </w:cols>
          <w:pgMar w:left="1440" w:top="131" w:right="1440" w:bottom="0" w:gutter="0" w:footer="0" w:header="0"/>
        </w:sectPr>
      </w:pPr>
    </w:p>
    <w:bookmarkStart w:id="25" w:name="page26"/>
    <w:bookmarkEnd w:id="25"/>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2007; and President of Commercial Products and President of P&amp;G Professional from 2006 to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-100330</wp:posOffset>
            </wp:positionV>
            <wp:extent cx="6810375" cy="53168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10375" cy="5316855"/>
                    </a:xfrm>
                    <a:prstGeom prst="rect">
                      <a:avLst/>
                    </a:prstGeom>
                    <a:noFill/>
                  </pic:spPr>
                </pic:pic>
              </a:graphicData>
            </a:graphic>
          </wp:anchor>
        </w:drawing>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DIRECTOR QUALIFICATIONS:</w:t>
      </w:r>
    </w:p>
    <w:p>
      <w:pPr>
        <w:spacing w:after="0" w:line="129" w:lineRule="exact"/>
        <w:rPr>
          <w:sz w:val="20"/>
          <w:szCs w:val="20"/>
          <w:color w:val="auto"/>
        </w:rPr>
      </w:pPr>
    </w:p>
    <w:p>
      <w:pPr>
        <w:ind w:left="180" w:right="39" w:hanging="132"/>
        <w:spacing w:after="0" w:line="287" w:lineRule="auto"/>
        <w:tabs>
          <w:tab w:leader="none" w:pos="180" w:val="left"/>
        </w:tabs>
        <w:numPr>
          <w:ilvl w:val="0"/>
          <w:numId w:val="22"/>
        </w:numPr>
        <w:rPr>
          <w:rFonts w:ascii="Arial" w:cs="Arial" w:eastAsia="Arial" w:hAnsi="Arial"/>
          <w:sz w:val="17"/>
          <w:szCs w:val="17"/>
          <w:color w:val="582C83"/>
        </w:rPr>
      </w:pPr>
      <w:r>
        <w:rPr>
          <w:rFonts w:ascii="Arial" w:cs="Arial" w:eastAsia="Arial" w:hAnsi="Arial"/>
          <w:sz w:val="17"/>
          <w:szCs w:val="17"/>
          <w:color w:val="auto"/>
        </w:rPr>
        <w:t>Mr. Mesquita brings extensive experience leading major global company business units. In these roles, he has a strong track record of building and marketing global brands, including the reinvention of key brands, leading strategic business transformations, and driving strong, profitable growth.</w:t>
      </w:r>
    </w:p>
    <w:p>
      <w:pPr>
        <w:ind w:left="180" w:right="99" w:hanging="132"/>
        <w:spacing w:after="0" w:line="282" w:lineRule="auto"/>
        <w:tabs>
          <w:tab w:leader="none" w:pos="180" w:val="left"/>
        </w:tabs>
        <w:numPr>
          <w:ilvl w:val="0"/>
          <w:numId w:val="22"/>
        </w:numPr>
        <w:rPr>
          <w:rFonts w:ascii="Arial" w:cs="Arial" w:eastAsia="Arial" w:hAnsi="Arial"/>
          <w:sz w:val="17"/>
          <w:szCs w:val="17"/>
          <w:color w:val="582C83"/>
        </w:rPr>
      </w:pPr>
      <w:r>
        <w:rPr>
          <w:rFonts w:ascii="Arial" w:cs="Arial" w:eastAsia="Arial" w:hAnsi="Arial"/>
          <w:sz w:val="17"/>
          <w:szCs w:val="17"/>
          <w:color w:val="auto"/>
        </w:rPr>
        <w:t>As CEO of BlueTriton Brands, he embarked on growth and innovation initiatives. As Procter &amp; Gamble’s Group President, New Business Creation and Innovation, Mr. Mesquita redesigned the business development organization and worked across the company with technology, marketing, and finance leaders to develop groundbreaking innovation capabilities.</w:t>
      </w:r>
    </w:p>
    <w:p>
      <w:pPr>
        <w:spacing w:after="0" w:line="12" w:lineRule="exact"/>
        <w:rPr>
          <w:rFonts w:ascii="Arial" w:cs="Arial" w:eastAsia="Arial" w:hAnsi="Arial"/>
          <w:sz w:val="17"/>
          <w:szCs w:val="17"/>
          <w:color w:val="582C83"/>
        </w:rPr>
      </w:pPr>
    </w:p>
    <w:p>
      <w:pPr>
        <w:ind w:left="180" w:right="279" w:hanging="132"/>
        <w:spacing w:after="0" w:line="290" w:lineRule="auto"/>
        <w:tabs>
          <w:tab w:leader="none" w:pos="180" w:val="left"/>
        </w:tabs>
        <w:numPr>
          <w:ilvl w:val="0"/>
          <w:numId w:val="22"/>
        </w:numPr>
        <w:rPr>
          <w:rFonts w:ascii="Arial" w:cs="Arial" w:eastAsia="Arial" w:hAnsi="Arial"/>
          <w:sz w:val="17"/>
          <w:szCs w:val="17"/>
          <w:color w:val="582C83"/>
        </w:rPr>
      </w:pPr>
      <w:r>
        <w:rPr>
          <w:rFonts w:ascii="Arial" w:cs="Arial" w:eastAsia="Arial" w:hAnsi="Arial"/>
          <w:sz w:val="17"/>
          <w:szCs w:val="17"/>
          <w:color w:val="auto"/>
        </w:rPr>
        <w:t>Mr. Mesquita was born and raised in Mozambique, Africa. He has lived and worked in several countries, including Venezuela, Mexico, Brazil, and the United States. He is fluent in Portuguese, Spanish, and English.</w:t>
      </w:r>
    </w:p>
    <w:p>
      <w:pPr>
        <w:ind w:left="180" w:hanging="132"/>
        <w:spacing w:after="0"/>
        <w:tabs>
          <w:tab w:leader="none" w:pos="180" w:val="left"/>
        </w:tabs>
        <w:numPr>
          <w:ilvl w:val="0"/>
          <w:numId w:val="22"/>
        </w:numPr>
        <w:rPr>
          <w:rFonts w:ascii="Arial" w:cs="Arial" w:eastAsia="Arial" w:hAnsi="Arial"/>
          <w:sz w:val="17"/>
          <w:szCs w:val="17"/>
          <w:color w:val="582C83"/>
        </w:rPr>
      </w:pPr>
      <w:r>
        <w:rPr>
          <w:rFonts w:ascii="Arial" w:cs="Arial" w:eastAsia="Arial" w:hAnsi="Arial"/>
          <w:sz w:val="17"/>
          <w:szCs w:val="17"/>
          <w:color w:val="auto"/>
        </w:rPr>
        <w:t>Mr. Mesquita has public company board and corporate governance experience. He is a director of Humana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582C83"/>
        </w:rPr>
        <w:t>2026 PROXY STATEMENT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347345</wp:posOffset>
            </wp:positionV>
            <wp:extent cx="6810375" cy="511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10375" cy="511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ITEM 1. ELECTION OF DIRECTORS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Director Nominees for Election at the Annual Meeting</w:t>
      </w:r>
    </w:p>
    <w:p>
      <w:pPr>
        <w:spacing w:after="0" w:line="200" w:lineRule="exact"/>
        <w:rPr>
          <w:sz w:val="20"/>
          <w:szCs w:val="20"/>
          <w:color w:val="auto"/>
        </w:rPr>
      </w:pPr>
    </w:p>
    <w:p>
      <w:pPr>
        <w:spacing w:after="0" w:line="395" w:lineRule="exact"/>
        <w:rPr>
          <w:sz w:val="20"/>
          <w:szCs w:val="20"/>
          <w:color w:val="auto"/>
        </w:rPr>
      </w:pPr>
    </w:p>
    <w:p>
      <w:pPr>
        <w:ind w:left="1340"/>
        <w:spacing w:after="0"/>
        <w:tabs>
          <w:tab w:leader="none" w:pos="3460" w:val="left"/>
          <w:tab w:leader="none" w:pos="5200" w:val="left"/>
          <w:tab w:leader="none" w:pos="7020" w:val="left"/>
        </w:tabs>
        <w:rPr>
          <w:sz w:val="20"/>
          <w:szCs w:val="20"/>
          <w:color w:val="auto"/>
        </w:rPr>
      </w:pPr>
      <w:r>
        <w:rPr>
          <w:rFonts w:ascii="Arial" w:cs="Arial" w:eastAsia="Arial" w:hAnsi="Arial"/>
          <w:sz w:val="18"/>
          <w:szCs w:val="18"/>
          <w:b w:val="1"/>
          <w:bCs w:val="1"/>
          <w:color w:val="auto"/>
        </w:rPr>
        <w:t>Jane Hamilton Nielsen</w:t>
      </w:r>
      <w:r>
        <w:rPr>
          <w:sz w:val="20"/>
          <w:szCs w:val="20"/>
          <w:color w:val="auto"/>
        </w:rPr>
        <w:tab/>
      </w:r>
      <w:r>
        <w:rPr>
          <w:rFonts w:ascii="Arial" w:cs="Arial" w:eastAsia="Arial" w:hAnsi="Arial"/>
          <w:sz w:val="17"/>
          <w:szCs w:val="17"/>
          <w:b w:val="1"/>
          <w:bCs w:val="1"/>
          <w:color w:val="auto"/>
        </w:rPr>
        <w:t>DIRECTOR SINCE:</w:t>
        <w:tab/>
        <w:t>DIRECTOR SKILLS:</w:t>
      </w:r>
      <w:r>
        <w:rPr>
          <w:sz w:val="20"/>
          <w:szCs w:val="20"/>
          <w:color w:val="auto"/>
        </w:rPr>
        <w:tab/>
      </w:r>
      <w:r>
        <w:rPr>
          <w:rFonts w:ascii="Arial" w:cs="Arial" w:eastAsia="Arial" w:hAnsi="Arial"/>
          <w:sz w:val="16"/>
          <w:szCs w:val="16"/>
          <w:b w:val="1"/>
          <w:bCs w:val="1"/>
          <w:color w:val="auto"/>
        </w:rPr>
        <w:t>BOARD COMMITTEES:</w:t>
      </w:r>
    </w:p>
    <w:p>
      <w:pPr>
        <w:spacing w:after="0" w:line="4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320" w:type="dxa"/>
            <w:vAlign w:val="bottom"/>
          </w:tcPr>
          <w:p>
            <w:pPr>
              <w:ind w:left="1220"/>
              <w:spacing w:after="0"/>
              <w:rPr>
                <w:sz w:val="20"/>
                <w:szCs w:val="20"/>
                <w:color w:val="auto"/>
              </w:rPr>
            </w:pPr>
            <w:r>
              <w:rPr>
                <w:rFonts w:ascii="Arial" w:cs="Arial" w:eastAsia="Arial" w:hAnsi="Arial"/>
                <w:sz w:val="14"/>
                <w:szCs w:val="14"/>
                <w:i w:val="1"/>
                <w:iCs w:val="1"/>
                <w:color w:val="auto"/>
              </w:rPr>
              <w:t>Former Chief Operating</w:t>
            </w:r>
          </w:p>
        </w:tc>
        <w:tc>
          <w:tcPr>
            <w:tcW w:w="2400" w:type="dxa"/>
            <w:vAlign w:val="bottom"/>
          </w:tcPr>
          <w:p>
            <w:pPr>
              <w:jc w:val="center"/>
              <w:ind w:right="695"/>
              <w:spacing w:after="0"/>
              <w:rPr>
                <w:sz w:val="20"/>
                <w:szCs w:val="20"/>
                <w:color w:val="auto"/>
              </w:rPr>
            </w:pPr>
            <w:r>
              <w:rPr>
                <w:rFonts w:ascii="Arial" w:cs="Arial" w:eastAsia="Arial" w:hAnsi="Arial"/>
                <w:sz w:val="17"/>
                <w:szCs w:val="17"/>
                <w:color w:val="auto"/>
                <w:w w:val="99"/>
              </w:rPr>
              <w:t>May 2021</w:t>
            </w:r>
          </w:p>
        </w:tc>
        <w:tc>
          <w:tcPr>
            <w:tcW w:w="1320" w:type="dxa"/>
            <w:vAlign w:val="bottom"/>
          </w:tcPr>
          <w:p>
            <w:pPr>
              <w:ind w:left="1200"/>
              <w:spacing w:after="0"/>
              <w:rPr>
                <w:sz w:val="20"/>
                <w:szCs w:val="20"/>
                <w:color w:val="auto"/>
              </w:rPr>
            </w:pPr>
            <w:r>
              <w:rPr>
                <w:rFonts w:ascii="Arial" w:cs="Arial" w:eastAsia="Arial" w:hAnsi="Arial"/>
                <w:sz w:val="17"/>
                <w:szCs w:val="17"/>
                <w:color w:val="582C83"/>
              </w:rPr>
              <w:t>•</w:t>
            </w:r>
          </w:p>
        </w:tc>
        <w:tc>
          <w:tcPr>
            <w:tcW w:w="960" w:type="dxa"/>
            <w:vAlign w:val="bottom"/>
          </w:tcPr>
          <w:p>
            <w:pPr>
              <w:ind w:left="80"/>
              <w:spacing w:after="0"/>
              <w:rPr>
                <w:sz w:val="20"/>
                <w:szCs w:val="20"/>
                <w:color w:val="auto"/>
              </w:rPr>
            </w:pPr>
            <w:r>
              <w:rPr>
                <w:rFonts w:ascii="Arial" w:cs="Arial" w:eastAsia="Arial" w:hAnsi="Arial"/>
                <w:sz w:val="17"/>
                <w:szCs w:val="17"/>
                <w:color w:val="auto"/>
                <w:w w:val="96"/>
              </w:rPr>
              <w:t>Chair, Audit</w:t>
            </w:r>
          </w:p>
        </w:tc>
        <w:tc>
          <w:tcPr>
            <w:tcW w:w="0" w:type="dxa"/>
            <w:vAlign w:val="bottom"/>
          </w:tcPr>
          <w:p>
            <w:pPr>
              <w:spacing w:after="0"/>
              <w:rPr>
                <w:sz w:val="1"/>
                <w:szCs w:val="1"/>
                <w:color w:val="auto"/>
              </w:rPr>
            </w:pPr>
          </w:p>
        </w:tc>
      </w:tr>
      <w:tr>
        <w:trPr>
          <w:trHeight w:val="168"/>
        </w:trPr>
        <w:tc>
          <w:tcPr>
            <w:tcW w:w="3320" w:type="dxa"/>
            <w:vAlign w:val="bottom"/>
          </w:tcPr>
          <w:p>
            <w:pPr>
              <w:ind w:left="1220"/>
              <w:spacing w:after="0"/>
              <w:rPr>
                <w:sz w:val="20"/>
                <w:szCs w:val="20"/>
                <w:color w:val="auto"/>
              </w:rPr>
            </w:pPr>
            <w:r>
              <w:rPr>
                <w:rFonts w:ascii="Arial" w:cs="Arial" w:eastAsia="Arial" w:hAnsi="Arial"/>
                <w:sz w:val="14"/>
                <w:szCs w:val="14"/>
                <w:i w:val="1"/>
                <w:iCs w:val="1"/>
                <w:color w:val="auto"/>
              </w:rPr>
              <w:t>Officer,</w:t>
            </w:r>
          </w:p>
        </w:tc>
        <w:tc>
          <w:tcPr>
            <w:tcW w:w="2400" w:type="dxa"/>
            <w:vAlign w:val="bottom"/>
            <w:vMerge w:val="restart"/>
          </w:tcPr>
          <w:p>
            <w:pPr>
              <w:jc w:val="center"/>
              <w:ind w:right="695"/>
              <w:spacing w:after="0"/>
              <w:rPr>
                <w:sz w:val="20"/>
                <w:szCs w:val="20"/>
                <w:color w:val="auto"/>
              </w:rPr>
            </w:pPr>
            <w:r>
              <w:rPr>
                <w:rFonts w:ascii="Arial" w:cs="Arial" w:eastAsia="Arial" w:hAnsi="Arial"/>
                <w:sz w:val="17"/>
                <w:szCs w:val="17"/>
                <w:color w:val="auto"/>
                <w:w w:val="98"/>
              </w:rPr>
              <w:t>Age: 61</w:t>
            </w:r>
          </w:p>
        </w:tc>
        <w:tc>
          <w:tcPr>
            <w:tcW w:w="1320" w:type="dxa"/>
            <w:vAlign w:val="bottom"/>
            <w:vMerge w:val="restart"/>
          </w:tcPr>
          <w:p>
            <w:pPr>
              <w:ind w:left="1200"/>
              <w:spacing w:after="0"/>
              <w:rPr>
                <w:sz w:val="20"/>
                <w:szCs w:val="20"/>
                <w:color w:val="auto"/>
              </w:rPr>
            </w:pPr>
            <w:r>
              <w:rPr>
                <w:rFonts w:ascii="Arial" w:cs="Arial" w:eastAsia="Arial" w:hAnsi="Arial"/>
                <w:sz w:val="17"/>
                <w:szCs w:val="17"/>
                <w:color w:val="582C83"/>
              </w:rPr>
              <w:t>•</w:t>
            </w:r>
          </w:p>
        </w:tc>
        <w:tc>
          <w:tcPr>
            <w:tcW w:w="960" w:type="dxa"/>
            <w:vAlign w:val="bottom"/>
            <w:vMerge w:val="restart"/>
          </w:tcPr>
          <w:p>
            <w:pPr>
              <w:ind w:left="80"/>
              <w:spacing w:after="0"/>
              <w:rPr>
                <w:sz w:val="20"/>
                <w:szCs w:val="20"/>
                <w:color w:val="auto"/>
              </w:rPr>
            </w:pPr>
            <w:r>
              <w:rPr>
                <w:rFonts w:ascii="Arial" w:cs="Arial" w:eastAsia="Arial" w:hAnsi="Arial"/>
                <w:sz w:val="17"/>
                <w:szCs w:val="17"/>
                <w:color w:val="auto"/>
              </w:rPr>
              <w:t>Finance</w:t>
            </w:r>
          </w:p>
        </w:tc>
        <w:tc>
          <w:tcPr>
            <w:tcW w:w="0" w:type="dxa"/>
            <w:vAlign w:val="bottom"/>
          </w:tcPr>
          <w:p>
            <w:pPr>
              <w:spacing w:after="0"/>
              <w:rPr>
                <w:sz w:val="1"/>
                <w:szCs w:val="1"/>
                <w:color w:val="auto"/>
              </w:rPr>
            </w:pPr>
          </w:p>
        </w:tc>
      </w:tr>
      <w:tr>
        <w:trPr>
          <w:trHeight w:val="188"/>
        </w:trPr>
        <w:tc>
          <w:tcPr>
            <w:tcW w:w="3320" w:type="dxa"/>
            <w:vAlign w:val="bottom"/>
          </w:tcPr>
          <w:p>
            <w:pPr>
              <w:ind w:left="1220"/>
              <w:spacing w:after="0"/>
              <w:rPr>
                <w:sz w:val="20"/>
                <w:szCs w:val="20"/>
                <w:color w:val="auto"/>
              </w:rPr>
            </w:pPr>
            <w:r>
              <w:rPr>
                <w:rFonts w:ascii="Arial" w:cs="Arial" w:eastAsia="Arial" w:hAnsi="Arial"/>
                <w:sz w:val="14"/>
                <w:szCs w:val="14"/>
                <w:i w:val="1"/>
                <w:iCs w:val="1"/>
                <w:color w:val="auto"/>
              </w:rPr>
              <w:t>Ralph Lauren Corporation</w:t>
            </w:r>
          </w:p>
        </w:tc>
        <w:tc>
          <w:tcPr>
            <w:tcW w:w="240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26"/>
        </w:trPr>
        <w:tc>
          <w:tcPr>
            <w:tcW w:w="3320" w:type="dxa"/>
            <w:vAlign w:val="bottom"/>
          </w:tcPr>
          <w:p>
            <w:pPr>
              <w:ind w:left="1220"/>
              <w:spacing w:after="0"/>
              <w:rPr>
                <w:sz w:val="20"/>
                <w:szCs w:val="20"/>
                <w:color w:val="auto"/>
              </w:rPr>
            </w:pPr>
            <w:r>
              <w:rPr>
                <w:rFonts w:ascii="Arial" w:cs="Arial" w:eastAsia="Arial" w:hAnsi="Arial"/>
                <w:sz w:val="17"/>
                <w:szCs w:val="17"/>
                <w:b w:val="1"/>
                <w:bCs w:val="1"/>
                <w:color w:val="592B82"/>
              </w:rPr>
              <w:t>INDEPENDENT</w:t>
            </w:r>
          </w:p>
        </w:tc>
        <w:tc>
          <w:tcPr>
            <w:tcW w:w="2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320" w:type="dxa"/>
            <w:vAlign w:val="bottom"/>
          </w:tcPr>
          <w:p>
            <w:pPr>
              <w:spacing w:after="0"/>
              <w:rPr>
                <w:sz w:val="20"/>
                <w:szCs w:val="20"/>
                <w:color w:val="auto"/>
              </w:rPr>
            </w:pPr>
            <w:r>
              <w:rPr>
                <w:rFonts w:ascii="Arial" w:cs="Arial" w:eastAsia="Arial" w:hAnsi="Arial"/>
                <w:sz w:val="17"/>
                <w:szCs w:val="17"/>
                <w:b w:val="1"/>
                <w:bCs w:val="1"/>
                <w:color w:val="auto"/>
              </w:rPr>
              <w:t>PROFESSIONAL BACKGROUND:</w:t>
            </w:r>
          </w:p>
        </w:tc>
        <w:tc>
          <w:tcPr>
            <w:tcW w:w="2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20" w:right="99"/>
        <w:spacing w:after="0" w:line="276" w:lineRule="auto"/>
        <w:rPr>
          <w:sz w:val="20"/>
          <w:szCs w:val="20"/>
          <w:color w:val="auto"/>
        </w:rPr>
      </w:pPr>
      <w:r>
        <w:rPr>
          <w:rFonts w:ascii="Arial" w:cs="Arial" w:eastAsia="Arial" w:hAnsi="Arial"/>
          <w:sz w:val="17"/>
          <w:szCs w:val="17"/>
          <w:color w:val="auto"/>
        </w:rPr>
        <w:t>Ms. Nielsen served as Chief Operating Officer of Ralph Lauren Corporation, a global leader in the design, marketing, and distribution of premium lifestyle products, from June 2024 until March 2025. She led Ralph Lauren’s global technology, business development, finance, integrated business and inventory planning, logistics, and real estate operations. She also served as Ralph Lauren’s Chief Financial Officer and Chief Operating Officer from 2019 until May 2024, and Chief Financial Officer from 2016 until 2019. Ms. Nielsen previously served as Chief Financial Officer of Coach, Inc., a leading design house of modern luxury accessories and lifestyle collections, from 2011 to 2016. Prior to that, Ms. Nielsen spent 15 years at PepsiCo, Inc. and Pepsi Bottling Group, a global food and beverage corporation, in various senior financial roles, including Senior Vice President and Chief Financial Officer of PepsiCo Beverages Americas and the Global Nutrition Group. She has experience in the areas of mergers &amp; integration, investor relations, and strategic planning.</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DIRECTOR QUALIFICATIONS:</w:t>
      </w:r>
    </w:p>
    <w:p>
      <w:pPr>
        <w:spacing w:after="0" w:line="129" w:lineRule="exact"/>
        <w:rPr>
          <w:sz w:val="20"/>
          <w:szCs w:val="20"/>
          <w:color w:val="auto"/>
        </w:rPr>
      </w:pPr>
    </w:p>
    <w:p>
      <w:pPr>
        <w:ind w:left="180" w:right="79" w:hanging="132"/>
        <w:spacing w:after="0" w:line="287" w:lineRule="auto"/>
        <w:tabs>
          <w:tab w:leader="none" w:pos="180" w:val="left"/>
        </w:tabs>
        <w:numPr>
          <w:ilvl w:val="0"/>
          <w:numId w:val="23"/>
        </w:numPr>
        <w:rPr>
          <w:rFonts w:ascii="Arial" w:cs="Arial" w:eastAsia="Arial" w:hAnsi="Arial"/>
          <w:sz w:val="17"/>
          <w:szCs w:val="17"/>
          <w:color w:val="582C83"/>
        </w:rPr>
      </w:pPr>
      <w:r>
        <w:rPr>
          <w:rFonts w:ascii="Arial" w:cs="Arial" w:eastAsia="Arial" w:hAnsi="Arial"/>
          <w:sz w:val="17"/>
          <w:szCs w:val="17"/>
          <w:color w:val="auto"/>
        </w:rPr>
        <w:t>Ms. Nielsen has extensive financial and operational experience gained during her service as Chief Operating Officer and Chief Financial Officer at Ralph Lauren, as Chief Financial Officer at Coach, and in her 15 years at PepsiCo’s financial organization.</w:t>
      </w:r>
    </w:p>
    <w:p>
      <w:pPr>
        <w:ind w:left="180" w:right="259" w:hanging="132"/>
        <w:spacing w:after="0" w:line="282" w:lineRule="auto"/>
        <w:tabs>
          <w:tab w:leader="none" w:pos="180" w:val="left"/>
        </w:tabs>
        <w:numPr>
          <w:ilvl w:val="0"/>
          <w:numId w:val="23"/>
        </w:numPr>
        <w:rPr>
          <w:rFonts w:ascii="Arial" w:cs="Arial" w:eastAsia="Arial" w:hAnsi="Arial"/>
          <w:sz w:val="17"/>
          <w:szCs w:val="17"/>
          <w:color w:val="582C83"/>
        </w:rPr>
      </w:pPr>
      <w:r>
        <w:rPr>
          <w:rFonts w:ascii="Arial" w:cs="Arial" w:eastAsia="Arial" w:hAnsi="Arial"/>
          <w:sz w:val="17"/>
          <w:szCs w:val="17"/>
          <w:color w:val="auto"/>
        </w:rPr>
        <w:t>Ms. Nielsen brings to the Board a global perspective and many years of experience in the food and consumer products industries. Throughout her tenure at Ralph Lauren, Ms. Nielsen has driven operational efficiency, digital transformation, and investment in omni-channel capability. She worked on numerous acquisitions and integrations while at PepsiCo, including the acquisition of Quaker Oats.</w:t>
      </w:r>
    </w:p>
    <w:p>
      <w:pPr>
        <w:sectPr>
          <w:pgSz w:w="11900" w:h="16856" w:orient="portrait"/>
          <w:cols w:equalWidth="0" w:num="1">
            <w:col w:w="9019"/>
          </w:cols>
          <w:pgMar w:left="1440" w:top="104" w:right="1440" w:bottom="0" w:gutter="0" w:footer="0" w:header="0"/>
        </w:sectPr>
      </w:pPr>
    </w:p>
    <w:bookmarkStart w:id="26" w:name="page27"/>
    <w:bookmarkEnd w:id="26"/>
    <w:p>
      <w:pPr>
        <w:ind w:left="200" w:right="920" w:hanging="132"/>
        <w:spacing w:after="0" w:line="284" w:lineRule="auto"/>
        <w:tabs>
          <w:tab w:leader="none" w:pos="200" w:val="left"/>
        </w:tabs>
        <w:numPr>
          <w:ilvl w:val="0"/>
          <w:numId w:val="24"/>
        </w:numPr>
        <w:rPr>
          <w:rFonts w:ascii="Arial" w:cs="Arial" w:eastAsia="Arial" w:hAnsi="Arial"/>
          <w:sz w:val="17"/>
          <w:szCs w:val="17"/>
          <w:color w:val="582C83"/>
        </w:rPr>
      </w:pPr>
      <w:r>
        <w:rPr>
          <w:rFonts w:ascii="Arial" w:cs="Arial" w:eastAsia="Arial" w:hAnsi="Arial"/>
          <w:sz w:val="17"/>
          <w:szCs w:val="17"/>
          <w:color w:val="auto"/>
        </w:rPr>
        <w:t>Ms. Nielsen has public company board and corporate governance experience. She is a former director of Pinnacle Foods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-270510</wp:posOffset>
            </wp:positionV>
            <wp:extent cx="6810375" cy="3739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10375" cy="373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28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66941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10375" cy="669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40"/>
        <w:spacing w:after="0"/>
        <w:rPr>
          <w:sz w:val="20"/>
          <w:szCs w:val="20"/>
          <w:color w:val="auto"/>
        </w:rPr>
      </w:pPr>
      <w:r>
        <w:rPr>
          <w:rFonts w:ascii="Arial" w:cs="Arial" w:eastAsia="Arial" w:hAnsi="Arial"/>
          <w:sz w:val="22"/>
          <w:szCs w:val="22"/>
          <w:b w:val="1"/>
          <w:bCs w:val="1"/>
          <w:color w:val="auto"/>
        </w:rPr>
        <w:t>ITEM 1. ELECTION OF DIRECTORS</w:t>
      </w:r>
    </w:p>
    <w:p>
      <w:pPr>
        <w:spacing w:after="0" w:line="37"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Director Nominees for Election at the Annual Meeting</w:t>
      </w:r>
    </w:p>
    <w:p>
      <w:pPr>
        <w:spacing w:after="0" w:line="200" w:lineRule="exact"/>
        <w:rPr>
          <w:sz w:val="20"/>
          <w:szCs w:val="20"/>
          <w:color w:val="auto"/>
        </w:rPr>
      </w:pP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3200" w:type="dxa"/>
            <w:vAlign w:val="bottom"/>
            <w:tcBorders>
              <w:top w:val="single" w:sz="8" w:color="auto"/>
              <w:left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Paula A. Price</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DIRECTOR SINCE:</w:t>
            </w:r>
          </w:p>
        </w:tc>
        <w:tc>
          <w:tcPr>
            <w:tcW w:w="18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DIRECTOR SKILLS</w:t>
            </w:r>
            <w:r>
              <w:rPr>
                <w:rFonts w:ascii="Arial" w:cs="Arial" w:eastAsia="Arial" w:hAnsi="Arial"/>
                <w:sz w:val="17"/>
                <w:szCs w:val="17"/>
                <w:color w:val="auto"/>
              </w:rPr>
              <w:t>:</w:t>
            </w:r>
          </w:p>
        </w:tc>
        <w:tc>
          <w:tcPr>
            <w:tcW w:w="232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BOARD COMMITTEES:</w:t>
            </w:r>
          </w:p>
        </w:tc>
        <w:tc>
          <w:tcPr>
            <w:tcW w:w="0" w:type="dxa"/>
            <w:vAlign w:val="bottom"/>
          </w:tcPr>
          <w:p>
            <w:pPr>
              <w:spacing w:after="0"/>
              <w:rPr>
                <w:sz w:val="1"/>
                <w:szCs w:val="1"/>
                <w:color w:val="auto"/>
              </w:rPr>
            </w:pPr>
          </w:p>
        </w:tc>
      </w:tr>
      <w:tr>
        <w:trPr>
          <w:trHeight w:val="210"/>
        </w:trPr>
        <w:tc>
          <w:tcPr>
            <w:tcW w:w="320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4"/>
                <w:szCs w:val="14"/>
                <w:i w:val="1"/>
                <w:iCs w:val="1"/>
                <w:color w:val="auto"/>
              </w:rPr>
              <w:t>Former Executive Vice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May 2024</w:t>
            </w:r>
          </w:p>
        </w:tc>
        <w:tc>
          <w:tcPr>
            <w:tcW w:w="1840" w:type="dxa"/>
            <w:vAlign w:val="bottom"/>
            <w:tcBorders>
              <w:right w:val="single" w:sz="8" w:color="auto"/>
            </w:tcBorders>
          </w:tcPr>
          <w:p>
            <w:pPr>
              <w:spacing w:after="0"/>
              <w:rPr>
                <w:sz w:val="18"/>
                <w:szCs w:val="18"/>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582C83"/>
              </w:rPr>
              <w:t>•</w:t>
            </w: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Audit</w:t>
            </w:r>
          </w:p>
        </w:tc>
        <w:tc>
          <w:tcPr>
            <w:tcW w:w="0" w:type="dxa"/>
            <w:vAlign w:val="bottom"/>
          </w:tcPr>
          <w:p>
            <w:pPr>
              <w:spacing w:after="0"/>
              <w:rPr>
                <w:sz w:val="1"/>
                <w:szCs w:val="1"/>
                <w:color w:val="auto"/>
              </w:rPr>
            </w:pPr>
          </w:p>
        </w:tc>
      </w:tr>
      <w:tr>
        <w:trPr>
          <w:trHeight w:val="168"/>
        </w:trPr>
        <w:tc>
          <w:tcPr>
            <w:tcW w:w="320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4"/>
                <w:szCs w:val="14"/>
                <w:i w:val="1"/>
                <w:iCs w:val="1"/>
                <w:color w:val="auto"/>
              </w:rPr>
              <w:t>President and Chief</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Age: 64</w:t>
            </w:r>
          </w:p>
        </w:tc>
        <w:tc>
          <w:tcPr>
            <w:tcW w:w="1840" w:type="dxa"/>
            <w:vAlign w:val="bottom"/>
            <w:tcBorders>
              <w:right w:val="single" w:sz="8" w:color="auto"/>
            </w:tcBorders>
          </w:tcPr>
          <w:p>
            <w:pPr>
              <w:spacing w:after="0"/>
              <w:rPr>
                <w:sz w:val="14"/>
                <w:szCs w:val="14"/>
                <w:color w:val="auto"/>
              </w:rPr>
            </w:pPr>
          </w:p>
        </w:tc>
        <w:tc>
          <w:tcPr>
            <w:tcW w:w="220" w:type="dxa"/>
            <w:vAlign w:val="bottom"/>
            <w:vMerge w:val="restart"/>
          </w:tcPr>
          <w:p>
            <w:pPr>
              <w:ind w:left="80"/>
              <w:spacing w:after="0"/>
              <w:rPr>
                <w:sz w:val="20"/>
                <w:szCs w:val="20"/>
                <w:color w:val="auto"/>
              </w:rPr>
            </w:pPr>
            <w:r>
              <w:rPr>
                <w:rFonts w:ascii="Arial" w:cs="Arial" w:eastAsia="Arial" w:hAnsi="Arial"/>
                <w:sz w:val="17"/>
                <w:szCs w:val="17"/>
                <w:color w:val="582C83"/>
              </w:rPr>
              <w:t>•</w:t>
            </w:r>
          </w:p>
        </w:tc>
        <w:tc>
          <w:tcPr>
            <w:tcW w:w="2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Finance</w:t>
            </w:r>
          </w:p>
        </w:tc>
        <w:tc>
          <w:tcPr>
            <w:tcW w:w="0" w:type="dxa"/>
            <w:vAlign w:val="bottom"/>
          </w:tcPr>
          <w:p>
            <w:pPr>
              <w:spacing w:after="0"/>
              <w:rPr>
                <w:sz w:val="1"/>
                <w:szCs w:val="1"/>
                <w:color w:val="auto"/>
              </w:rPr>
            </w:pPr>
          </w:p>
        </w:tc>
      </w:tr>
      <w:tr>
        <w:trPr>
          <w:trHeight w:val="175"/>
        </w:trPr>
        <w:tc>
          <w:tcPr>
            <w:tcW w:w="320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4"/>
                <w:szCs w:val="14"/>
                <w:i w:val="1"/>
                <w:iCs w:val="1"/>
                <w:color w:val="auto"/>
              </w:rPr>
              <w:t>Financial Officer of</w:t>
            </w:r>
          </w:p>
        </w:tc>
        <w:tc>
          <w:tcPr>
            <w:tcW w:w="1700" w:type="dxa"/>
            <w:vAlign w:val="bottom"/>
            <w:tcBorders>
              <w:right w:val="single" w:sz="8" w:color="auto"/>
            </w:tcBorders>
            <w:vMerge w:val="continue"/>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220" w:type="dxa"/>
            <w:vAlign w:val="bottom"/>
            <w:vMerge w:val="continue"/>
          </w:tcPr>
          <w:p>
            <w:pPr>
              <w:spacing w:after="0"/>
              <w:rPr>
                <w:sz w:val="15"/>
                <w:szCs w:val="15"/>
                <w:color w:val="auto"/>
              </w:rPr>
            </w:pPr>
          </w:p>
        </w:tc>
        <w:tc>
          <w:tcPr>
            <w:tcW w:w="21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0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4"/>
                <w:szCs w:val="14"/>
                <w:i w:val="1"/>
                <w:iCs w:val="1"/>
                <w:color w:val="auto"/>
              </w:rPr>
              <w:t>Macy’s, Inc.</w:t>
            </w:r>
          </w:p>
        </w:tc>
        <w:tc>
          <w:tcPr>
            <w:tcW w:w="170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320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7"/>
                <w:szCs w:val="17"/>
                <w:b w:val="1"/>
                <w:bCs w:val="1"/>
                <w:color w:val="592B82"/>
              </w:rPr>
              <w:t>INDEPENDENT</w:t>
            </w:r>
          </w:p>
        </w:tc>
        <w:tc>
          <w:tcPr>
            <w:tcW w:w="170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20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8"/>
        </w:trPr>
        <w:tc>
          <w:tcPr>
            <w:tcW w:w="3200" w:type="dxa"/>
            <w:vAlign w:val="bottom"/>
          </w:tcPr>
          <w:p>
            <w:pPr>
              <w:ind w:left="140"/>
              <w:spacing w:after="0"/>
              <w:rPr>
                <w:sz w:val="20"/>
                <w:szCs w:val="20"/>
                <w:color w:val="auto"/>
              </w:rPr>
            </w:pPr>
            <w:r>
              <w:rPr>
                <w:rFonts w:ascii="Arial" w:cs="Arial" w:eastAsia="Arial" w:hAnsi="Arial"/>
                <w:sz w:val="17"/>
                <w:szCs w:val="17"/>
                <w:b w:val="1"/>
                <w:bCs w:val="1"/>
                <w:color w:val="auto"/>
              </w:rPr>
              <w:t>PROFESSIONAL BACKGROUND:</w:t>
            </w:r>
          </w:p>
        </w:tc>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40" w:right="160"/>
        <w:spacing w:after="0" w:line="273" w:lineRule="auto"/>
        <w:rPr>
          <w:sz w:val="20"/>
          <w:szCs w:val="20"/>
          <w:color w:val="auto"/>
        </w:rPr>
      </w:pPr>
      <w:r>
        <w:rPr>
          <w:rFonts w:ascii="Arial" w:cs="Arial" w:eastAsia="Arial" w:hAnsi="Arial"/>
          <w:sz w:val="17"/>
          <w:szCs w:val="17"/>
          <w:color w:val="auto"/>
        </w:rPr>
        <w:t>Ms. Price served as Executive Vice President and Chief Financial Officer of Macy’s, Inc., an omni-channel retailer of merchandise, including apparel and accessories, cosmetics, and other goods, from July 2018 to May 2020.</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Ms. Price was a full-time senior lecturer at Harvard Business School in the accounting and management unit from</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July 2014 to June 2018. Prior to that, she was Executive Vice President and Chief Financial Officer of Ahold USA,</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 retailer that operated more than 700 supermarkets in the United States under the Stop &amp; Shop, Giant, and Martin’s</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names, as well as the Peapod online grocery delivery service, from May 2009 to January 2014. Ms. Price has more</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than 30 years of financial and operational experience and previously held senior management positions at CVS</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Caremark, JPMorgan Chase, Diageo, and Kraft Foods.</w:t>
      </w:r>
    </w:p>
    <w:p>
      <w:pPr>
        <w:spacing w:after="0" w:line="25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DIRECTOR QUALIFICATIONS:</w:t>
      </w:r>
    </w:p>
    <w:p>
      <w:pPr>
        <w:spacing w:after="0" w:line="129" w:lineRule="exact"/>
        <w:rPr>
          <w:sz w:val="20"/>
          <w:szCs w:val="20"/>
          <w:color w:val="auto"/>
        </w:rPr>
      </w:pPr>
    </w:p>
    <w:p>
      <w:pPr>
        <w:ind w:left="200" w:right="180" w:hanging="132"/>
        <w:spacing w:after="0" w:line="287" w:lineRule="auto"/>
        <w:tabs>
          <w:tab w:leader="none" w:pos="200" w:val="left"/>
        </w:tabs>
        <w:numPr>
          <w:ilvl w:val="0"/>
          <w:numId w:val="25"/>
        </w:numPr>
        <w:rPr>
          <w:rFonts w:ascii="Arial" w:cs="Arial" w:eastAsia="Arial" w:hAnsi="Arial"/>
          <w:sz w:val="17"/>
          <w:szCs w:val="17"/>
          <w:color w:val="582C83"/>
        </w:rPr>
      </w:pPr>
      <w:r>
        <w:rPr>
          <w:rFonts w:ascii="Arial" w:cs="Arial" w:eastAsia="Arial" w:hAnsi="Arial"/>
          <w:sz w:val="17"/>
          <w:szCs w:val="17"/>
          <w:color w:val="auto"/>
        </w:rPr>
        <w:t>Ms. Price has extensive financial experience gained during her service as Chief Financial Officer at Macy’s, and as Executive Vice President and Chief Financial Officer of Ahold USA. Ms. Price is a certified public accountant; she began her career at Arthur Andersen &amp; Co.</w:t>
      </w:r>
    </w:p>
    <w:p>
      <w:pPr>
        <w:ind w:left="200" w:right="60" w:hanging="132"/>
        <w:spacing w:after="0" w:line="287" w:lineRule="auto"/>
        <w:tabs>
          <w:tab w:leader="none" w:pos="200" w:val="left"/>
        </w:tabs>
        <w:numPr>
          <w:ilvl w:val="0"/>
          <w:numId w:val="25"/>
        </w:numPr>
        <w:rPr>
          <w:rFonts w:ascii="Arial" w:cs="Arial" w:eastAsia="Arial" w:hAnsi="Arial"/>
          <w:sz w:val="17"/>
          <w:szCs w:val="17"/>
          <w:color w:val="582C83"/>
        </w:rPr>
      </w:pPr>
      <w:r>
        <w:rPr>
          <w:rFonts w:ascii="Arial" w:cs="Arial" w:eastAsia="Arial" w:hAnsi="Arial"/>
          <w:sz w:val="17"/>
          <w:szCs w:val="17"/>
          <w:color w:val="auto"/>
        </w:rPr>
        <w:t>Ms. Price brings to the Board many years of experience in the food and consumer products industry. Throughout her tenure at Ahold USA, Ms. Price was responsible for finance and accounting, strategic planning, real estate development and construction, and information technology.</w:t>
      </w:r>
    </w:p>
    <w:p>
      <w:pPr>
        <w:ind w:left="200" w:right="520" w:hanging="132"/>
        <w:spacing w:after="0" w:line="291" w:lineRule="auto"/>
        <w:tabs>
          <w:tab w:leader="none" w:pos="200" w:val="left"/>
        </w:tabs>
        <w:numPr>
          <w:ilvl w:val="0"/>
          <w:numId w:val="25"/>
        </w:numPr>
        <w:rPr>
          <w:rFonts w:ascii="Arial" w:cs="Arial" w:eastAsia="Arial" w:hAnsi="Arial"/>
          <w:sz w:val="17"/>
          <w:szCs w:val="17"/>
          <w:color w:val="582C83"/>
        </w:rPr>
      </w:pPr>
      <w:r>
        <w:rPr>
          <w:rFonts w:ascii="Arial" w:cs="Arial" w:eastAsia="Arial" w:hAnsi="Arial"/>
          <w:sz w:val="17"/>
          <w:szCs w:val="17"/>
          <w:color w:val="auto"/>
        </w:rPr>
        <w:t>Ms. Price has public company board and corporate governance experience. She is a director of Accenture plc, Bristol Myers Squibb, and Warner Bros. Discovery, Inc., and a former director of DaVita Inc., Dollar General Corporation, and Western Digital Corporation.</w:t>
      </w:r>
    </w:p>
    <w:p>
      <w:pPr>
        <w:sectPr>
          <w:pgSz w:w="11900" w:h="16838" w:orient="portrait"/>
          <w:cols w:equalWidth="0" w:num="1">
            <w:col w:w="9040"/>
          </w:cols>
          <w:pgMar w:left="1420" w:top="104" w:right="14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162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10375" cy="216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271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10375" cy="827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 ELECTION OF DIRECTORS</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Director Nominees for Election at the Annual Meeting</w:t>
      </w:r>
    </w:p>
    <w:p>
      <w:pPr>
        <w:spacing w:after="0" w:line="200" w:lineRule="exact"/>
        <w:rPr>
          <w:sz w:val="20"/>
          <w:szCs w:val="20"/>
          <w:color w:val="auto"/>
        </w:rPr>
      </w:pP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3200" w:type="dxa"/>
            <w:vAlign w:val="bottom"/>
            <w:tcBorders>
              <w:top w:val="single" w:sz="8" w:color="auto"/>
              <w:left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Patrick T. Siewert</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DIRECTOR SINCE:</w:t>
            </w:r>
          </w:p>
        </w:tc>
        <w:tc>
          <w:tcPr>
            <w:tcW w:w="18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DIRECTOR SKILLS:</w:t>
            </w:r>
          </w:p>
        </w:tc>
        <w:tc>
          <w:tcPr>
            <w:tcW w:w="23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BOARD COMMITTEES:</w:t>
            </w:r>
          </w:p>
        </w:tc>
        <w:tc>
          <w:tcPr>
            <w:tcW w:w="0" w:type="dxa"/>
            <w:vAlign w:val="bottom"/>
          </w:tcPr>
          <w:p>
            <w:pPr>
              <w:spacing w:after="0"/>
              <w:rPr>
                <w:sz w:val="1"/>
                <w:szCs w:val="1"/>
                <w:color w:val="auto"/>
              </w:rPr>
            </w:pPr>
          </w:p>
        </w:tc>
      </w:tr>
      <w:tr>
        <w:trPr>
          <w:trHeight w:val="210"/>
        </w:trPr>
        <w:tc>
          <w:tcPr>
            <w:tcW w:w="320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4"/>
                <w:szCs w:val="14"/>
                <w:i w:val="1"/>
                <w:iCs w:val="1"/>
                <w:color w:val="auto"/>
              </w:rPr>
              <w:t>Chairman Asia, Restaurant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October 2012</w:t>
            </w:r>
          </w:p>
        </w:tc>
        <w:tc>
          <w:tcPr>
            <w:tcW w:w="184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582C83"/>
              </w:rPr>
              <w:t xml:space="preserve">•  </w:t>
            </w:r>
            <w:r>
              <w:rPr>
                <w:rFonts w:ascii="Arial" w:cs="Arial" w:eastAsia="Arial" w:hAnsi="Arial"/>
                <w:sz w:val="17"/>
                <w:szCs w:val="17"/>
                <w:color w:val="000000"/>
              </w:rPr>
              <w:t>Chair, Governance</w:t>
            </w:r>
          </w:p>
        </w:tc>
        <w:tc>
          <w:tcPr>
            <w:tcW w:w="0" w:type="dxa"/>
            <w:vAlign w:val="bottom"/>
          </w:tcPr>
          <w:p>
            <w:pPr>
              <w:spacing w:after="0"/>
              <w:rPr>
                <w:sz w:val="1"/>
                <w:szCs w:val="1"/>
                <w:color w:val="auto"/>
              </w:rPr>
            </w:pPr>
          </w:p>
        </w:tc>
      </w:tr>
      <w:tr>
        <w:trPr>
          <w:trHeight w:val="168"/>
        </w:trPr>
        <w:tc>
          <w:tcPr>
            <w:tcW w:w="320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4"/>
                <w:szCs w:val="14"/>
                <w:i w:val="1"/>
                <w:iCs w:val="1"/>
                <w:color w:val="auto"/>
              </w:rPr>
              <w:t>Brands International and</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9"/>
              </w:rPr>
              <w:t>LEAD</w:t>
            </w:r>
          </w:p>
        </w:tc>
        <w:tc>
          <w:tcPr>
            <w:tcW w:w="1840" w:type="dxa"/>
            <w:vAlign w:val="bottom"/>
            <w:tcBorders>
              <w:right w:val="single" w:sz="8" w:color="auto"/>
            </w:tcBorders>
          </w:tcPr>
          <w:p>
            <w:pPr>
              <w:spacing w:after="0"/>
              <w:rPr>
                <w:sz w:val="14"/>
                <w:szCs w:val="14"/>
                <w:color w:val="auto"/>
              </w:rPr>
            </w:pPr>
          </w:p>
        </w:tc>
        <w:tc>
          <w:tcPr>
            <w:tcW w:w="2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color w:val="582C83"/>
              </w:rPr>
              <w:t xml:space="preserve">•  </w:t>
            </w:r>
            <w:r>
              <w:rPr>
                <w:rFonts w:ascii="Arial" w:cs="Arial" w:eastAsia="Arial" w:hAnsi="Arial"/>
                <w:sz w:val="17"/>
                <w:szCs w:val="17"/>
                <w:color w:val="000000"/>
              </w:rPr>
              <w:t>Serves as an alternate</w:t>
            </w:r>
          </w:p>
        </w:tc>
        <w:tc>
          <w:tcPr>
            <w:tcW w:w="0" w:type="dxa"/>
            <w:vAlign w:val="bottom"/>
          </w:tcPr>
          <w:p>
            <w:pPr>
              <w:spacing w:after="0"/>
              <w:rPr>
                <w:sz w:val="1"/>
                <w:szCs w:val="1"/>
                <w:color w:val="auto"/>
              </w:rPr>
            </w:pPr>
          </w:p>
        </w:tc>
      </w:tr>
      <w:tr>
        <w:trPr>
          <w:trHeight w:val="142"/>
        </w:trPr>
        <w:tc>
          <w:tcPr>
            <w:tcW w:w="3200" w:type="dxa"/>
            <w:vAlign w:val="bottom"/>
            <w:tcBorders>
              <w:left w:val="single" w:sz="8" w:color="auto"/>
              <w:right w:val="single" w:sz="8" w:color="auto"/>
            </w:tcBorders>
            <w:vMerge w:val="restart"/>
          </w:tcPr>
          <w:p>
            <w:pPr>
              <w:ind w:left="1360"/>
              <w:spacing w:after="0"/>
              <w:rPr>
                <w:sz w:val="20"/>
                <w:szCs w:val="20"/>
                <w:color w:val="auto"/>
              </w:rPr>
            </w:pPr>
            <w:r>
              <w:rPr>
                <w:rFonts w:ascii="Arial" w:cs="Arial" w:eastAsia="Arial" w:hAnsi="Arial"/>
                <w:sz w:val="14"/>
                <w:szCs w:val="14"/>
                <w:i w:val="1"/>
                <w:iCs w:val="1"/>
                <w:color w:val="auto"/>
              </w:rPr>
              <w:t>Head of Consumer, Media,</w:t>
            </w:r>
          </w:p>
        </w:tc>
        <w:tc>
          <w:tcPr>
            <w:tcW w:w="1700" w:type="dxa"/>
            <w:vAlign w:val="bottom"/>
            <w:tcBorders>
              <w:right w:val="single" w:sz="8" w:color="auto"/>
            </w:tcBorders>
            <w:vMerge w:val="continue"/>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3200" w:type="dxa"/>
            <w:vAlign w:val="bottom"/>
            <w:tcBorders>
              <w:left w:val="single" w:sz="8" w:color="auto"/>
              <w:right w:val="single" w:sz="8" w:color="auto"/>
            </w:tcBorders>
            <w:vMerge w:val="continue"/>
          </w:tcPr>
          <w:p>
            <w:pPr>
              <w:spacing w:after="0"/>
              <w:rPr>
                <w:sz w:val="2"/>
                <w:szCs w:val="2"/>
                <w:color w:val="auto"/>
              </w:rPr>
            </w:pPr>
          </w:p>
        </w:tc>
        <w:tc>
          <w:tcPr>
            <w:tcW w:w="1700" w:type="dxa"/>
            <w:vAlign w:val="bottom"/>
            <w:tcBorders>
              <w:right w:val="single" w:sz="8" w:color="auto"/>
            </w:tcBorders>
            <w:vMerge w:val="continue"/>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c>
          <w:tcPr>
            <w:tcW w:w="2320" w:type="dxa"/>
            <w:vAlign w:val="bottom"/>
            <w:tcBorders>
              <w:right w:val="single" w:sz="8" w:color="auto"/>
            </w:tcBorders>
            <w:vMerge w:val="restart"/>
          </w:tcPr>
          <w:p>
            <w:pPr>
              <w:ind w:left="280"/>
              <w:spacing w:after="0"/>
              <w:rPr>
                <w:sz w:val="20"/>
                <w:szCs w:val="20"/>
                <w:color w:val="auto"/>
              </w:rPr>
            </w:pPr>
            <w:r>
              <w:rPr>
                <w:rFonts w:ascii="Arial" w:cs="Arial" w:eastAsia="Arial" w:hAnsi="Arial"/>
                <w:sz w:val="17"/>
                <w:szCs w:val="17"/>
                <w:color w:val="auto"/>
              </w:rPr>
              <w:t>member of such Board</w:t>
            </w:r>
          </w:p>
        </w:tc>
        <w:tc>
          <w:tcPr>
            <w:tcW w:w="0" w:type="dxa"/>
            <w:vAlign w:val="bottom"/>
          </w:tcPr>
          <w:p>
            <w:pPr>
              <w:spacing w:after="0" w:line="20" w:lineRule="exact"/>
              <w:rPr>
                <w:sz w:val="1"/>
                <w:szCs w:val="1"/>
                <w:color w:val="auto"/>
              </w:rPr>
            </w:pPr>
          </w:p>
        </w:tc>
      </w:tr>
      <w:tr>
        <w:trPr>
          <w:trHeight w:val="188"/>
        </w:trPr>
        <w:tc>
          <w:tcPr>
            <w:tcW w:w="320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4"/>
                <w:szCs w:val="14"/>
                <w:i w:val="1"/>
                <w:iCs w:val="1"/>
                <w:color w:val="auto"/>
              </w:rPr>
              <w:t>and Retail, The Carlyle</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INDEPENDENT</w:t>
            </w:r>
          </w:p>
        </w:tc>
        <w:tc>
          <w:tcPr>
            <w:tcW w:w="1840" w:type="dxa"/>
            <w:vAlign w:val="bottom"/>
            <w:tcBorders>
              <w:right w:val="single" w:sz="8" w:color="auto"/>
            </w:tcBorders>
          </w:tcPr>
          <w:p>
            <w:pPr>
              <w:spacing w:after="0"/>
              <w:rPr>
                <w:sz w:val="16"/>
                <w:szCs w:val="16"/>
                <w:color w:val="auto"/>
              </w:rPr>
            </w:pPr>
          </w:p>
        </w:tc>
        <w:tc>
          <w:tcPr>
            <w:tcW w:w="23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200" w:type="dxa"/>
            <w:vAlign w:val="bottom"/>
            <w:tcBorders>
              <w:left w:val="single" w:sz="8" w:color="auto"/>
              <w:right w:val="single" w:sz="8" w:color="auto"/>
            </w:tcBorders>
            <w:vMerge w:val="restart"/>
          </w:tcPr>
          <w:p>
            <w:pPr>
              <w:ind w:left="1360"/>
              <w:spacing w:after="0"/>
              <w:rPr>
                <w:sz w:val="20"/>
                <w:szCs w:val="20"/>
                <w:color w:val="auto"/>
              </w:rPr>
            </w:pPr>
            <w:r>
              <w:rPr>
                <w:rFonts w:ascii="Arial" w:cs="Arial" w:eastAsia="Arial" w:hAnsi="Arial"/>
                <w:sz w:val="14"/>
                <w:szCs w:val="14"/>
                <w:i w:val="1"/>
                <w:iCs w:val="1"/>
                <w:color w:val="auto"/>
              </w:rPr>
              <w:t>Group Asia, Retired</w:t>
            </w:r>
          </w:p>
        </w:tc>
        <w:tc>
          <w:tcPr>
            <w:tcW w:w="1700" w:type="dxa"/>
            <w:vAlign w:val="bottom"/>
            <w:tcBorders>
              <w:right w:val="single" w:sz="8" w:color="auto"/>
            </w:tcBorders>
            <w:vMerge w:val="continue"/>
          </w:tcPr>
          <w:p>
            <w:pPr>
              <w:spacing w:after="0"/>
              <w:rPr>
                <w:sz w:val="7"/>
                <w:szCs w:val="7"/>
                <w:color w:val="auto"/>
              </w:rPr>
            </w:pPr>
          </w:p>
        </w:tc>
        <w:tc>
          <w:tcPr>
            <w:tcW w:w="1840" w:type="dxa"/>
            <w:vAlign w:val="bottom"/>
            <w:tcBorders>
              <w:right w:val="single" w:sz="8" w:color="auto"/>
            </w:tcBorders>
          </w:tcPr>
          <w:p>
            <w:pPr>
              <w:spacing w:after="0"/>
              <w:rPr>
                <w:sz w:val="7"/>
                <w:szCs w:val="7"/>
                <w:color w:val="auto"/>
              </w:rPr>
            </w:pPr>
          </w:p>
        </w:tc>
        <w:tc>
          <w:tcPr>
            <w:tcW w:w="2320" w:type="dxa"/>
            <w:vAlign w:val="bottom"/>
            <w:tcBorders>
              <w:right w:val="single" w:sz="8" w:color="auto"/>
            </w:tcBorders>
            <w:vMerge w:val="restart"/>
          </w:tcPr>
          <w:p>
            <w:pPr>
              <w:ind w:left="280"/>
              <w:spacing w:after="0"/>
              <w:rPr>
                <w:sz w:val="20"/>
                <w:szCs w:val="20"/>
                <w:color w:val="auto"/>
              </w:rPr>
            </w:pPr>
            <w:r>
              <w:rPr>
                <w:rFonts w:ascii="Arial" w:cs="Arial" w:eastAsia="Arial" w:hAnsi="Arial"/>
                <w:sz w:val="17"/>
                <w:szCs w:val="17"/>
                <w:color w:val="auto"/>
              </w:rPr>
              <w:t>Committees as</w:t>
            </w:r>
          </w:p>
        </w:tc>
        <w:tc>
          <w:tcPr>
            <w:tcW w:w="0" w:type="dxa"/>
            <w:vAlign w:val="bottom"/>
          </w:tcPr>
          <w:p>
            <w:pPr>
              <w:spacing w:after="0"/>
              <w:rPr>
                <w:sz w:val="1"/>
                <w:szCs w:val="1"/>
                <w:color w:val="auto"/>
              </w:rPr>
            </w:pPr>
          </w:p>
        </w:tc>
      </w:tr>
      <w:tr>
        <w:trPr>
          <w:trHeight w:val="144"/>
        </w:trPr>
        <w:tc>
          <w:tcPr>
            <w:tcW w:w="3200" w:type="dxa"/>
            <w:vAlign w:val="bottom"/>
            <w:tcBorders>
              <w:left w:val="single" w:sz="8" w:color="auto"/>
              <w:right w:val="single" w:sz="8" w:color="auto"/>
            </w:tcBorders>
            <w:vMerge w:val="continue"/>
          </w:tcPr>
          <w:p>
            <w:pPr>
              <w:spacing w:after="0"/>
              <w:rPr>
                <w:sz w:val="12"/>
                <w:szCs w:val="12"/>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DIRECTOR SINCE:</w:t>
            </w:r>
          </w:p>
        </w:tc>
        <w:tc>
          <w:tcPr>
            <w:tcW w:w="184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3200" w:type="dxa"/>
            <w:vAlign w:val="bottom"/>
            <w:tcBorders>
              <w:left w:val="single" w:sz="8" w:color="auto"/>
              <w:right w:val="single" w:sz="8" w:color="auto"/>
            </w:tcBorders>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840" w:type="dxa"/>
            <w:vAlign w:val="bottom"/>
            <w:tcBorders>
              <w:right w:val="single" w:sz="8" w:color="auto"/>
            </w:tcBorders>
          </w:tcPr>
          <w:p>
            <w:pPr>
              <w:spacing w:after="0"/>
              <w:rPr>
                <w:sz w:val="7"/>
                <w:szCs w:val="7"/>
                <w:color w:val="auto"/>
              </w:rPr>
            </w:pPr>
          </w:p>
        </w:tc>
        <w:tc>
          <w:tcPr>
            <w:tcW w:w="2320" w:type="dxa"/>
            <w:vAlign w:val="bottom"/>
            <w:tcBorders>
              <w:right w:val="single" w:sz="8" w:color="auto"/>
            </w:tcBorders>
            <w:vMerge w:val="restart"/>
          </w:tcPr>
          <w:p>
            <w:pPr>
              <w:ind w:left="280"/>
              <w:spacing w:after="0"/>
              <w:rPr>
                <w:sz w:val="20"/>
                <w:szCs w:val="20"/>
                <w:color w:val="auto"/>
              </w:rPr>
            </w:pPr>
            <w:r>
              <w:rPr>
                <w:rFonts w:ascii="Arial" w:cs="Arial" w:eastAsia="Arial" w:hAnsi="Arial"/>
                <w:sz w:val="17"/>
                <w:szCs w:val="17"/>
                <w:color w:val="auto"/>
              </w:rPr>
              <w:t>designated by the Board</w:t>
            </w:r>
          </w:p>
        </w:tc>
        <w:tc>
          <w:tcPr>
            <w:tcW w:w="0" w:type="dxa"/>
            <w:vAlign w:val="bottom"/>
          </w:tcPr>
          <w:p>
            <w:pPr>
              <w:spacing w:after="0"/>
              <w:rPr>
                <w:sz w:val="1"/>
                <w:szCs w:val="1"/>
                <w:color w:val="auto"/>
              </w:rPr>
            </w:pPr>
          </w:p>
        </w:tc>
      </w:tr>
      <w:tr>
        <w:trPr>
          <w:trHeight w:val="138"/>
        </w:trPr>
        <w:tc>
          <w:tcPr>
            <w:tcW w:w="320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May 2022</w:t>
            </w:r>
          </w:p>
        </w:tc>
        <w:tc>
          <w:tcPr>
            <w:tcW w:w="184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20"/>
        </w:trPr>
        <w:tc>
          <w:tcPr>
            <w:tcW w:w="320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7"/>
                <w:szCs w:val="17"/>
                <w:b w:val="1"/>
                <w:bCs w:val="1"/>
                <w:color w:val="592B82"/>
              </w:rPr>
              <w:t>INDEPENDENT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Age: 70</w:t>
            </w:r>
          </w:p>
        </w:tc>
        <w:tc>
          <w:tcPr>
            <w:tcW w:w="184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20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8"/>
        </w:trPr>
        <w:tc>
          <w:tcPr>
            <w:tcW w:w="3200" w:type="dxa"/>
            <w:vAlign w:val="bottom"/>
          </w:tcPr>
          <w:p>
            <w:pPr>
              <w:ind w:left="140"/>
              <w:spacing w:after="0"/>
              <w:rPr>
                <w:sz w:val="20"/>
                <w:szCs w:val="20"/>
                <w:color w:val="auto"/>
              </w:rPr>
            </w:pPr>
            <w:r>
              <w:rPr>
                <w:rFonts w:ascii="Arial" w:cs="Arial" w:eastAsia="Arial" w:hAnsi="Arial"/>
                <w:sz w:val="17"/>
                <w:szCs w:val="17"/>
                <w:b w:val="1"/>
                <w:bCs w:val="1"/>
                <w:color w:val="auto"/>
              </w:rPr>
              <w:t>PROFESSIONAL BACKGROUND:</w:t>
            </w:r>
          </w:p>
        </w:tc>
        <w:tc>
          <w:tcPr>
            <w:tcW w:w="1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40" w:right="220"/>
        <w:spacing w:after="0" w:line="282" w:lineRule="auto"/>
        <w:rPr>
          <w:sz w:val="20"/>
          <w:szCs w:val="20"/>
          <w:color w:val="auto"/>
        </w:rPr>
      </w:pPr>
      <w:r>
        <w:rPr>
          <w:rFonts w:ascii="Arial" w:cs="Arial" w:eastAsia="Arial" w:hAnsi="Arial"/>
          <w:sz w:val="17"/>
          <w:szCs w:val="17"/>
          <w:color w:val="auto"/>
        </w:rPr>
        <w:t>Mr. Siewert has served as Chairman Asia, Restaurant Brands International, a multinational fast food holding company, since May 2024. Previously, Mr. Siewert served as Partner &amp; Managing Director, Head of Consumer, Media, and Retail Asia of The Carlyle Group, a global alternative asset management firm, from 2007 and until June 2023. He also served as Senior Advisor for The Carlyle Group from July 2023 until September 2025.</w:t>
      </w:r>
    </w:p>
    <w:p>
      <w:pPr>
        <w:spacing w:after="0" w:line="80" w:lineRule="exact"/>
        <w:rPr>
          <w:sz w:val="20"/>
          <w:szCs w:val="20"/>
          <w:color w:val="auto"/>
        </w:rPr>
      </w:pPr>
    </w:p>
    <w:p>
      <w:pPr>
        <w:ind w:left="140" w:right="120"/>
        <w:spacing w:after="0" w:line="301" w:lineRule="auto"/>
        <w:rPr>
          <w:sz w:val="20"/>
          <w:szCs w:val="20"/>
          <w:color w:val="auto"/>
        </w:rPr>
      </w:pPr>
      <w:r>
        <w:rPr>
          <w:rFonts w:ascii="Arial" w:cs="Arial" w:eastAsia="Arial" w:hAnsi="Arial"/>
          <w:sz w:val="17"/>
          <w:szCs w:val="17"/>
          <w:color w:val="auto"/>
        </w:rPr>
        <w:t>From 2001 to 2007, Mr. Siewert held a variety of roles with The Coca-Cola Company, a global beverage company, including Group President and Chief Operating Officer, Asia, and was a member of the Global Executive Committee.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From 1974 to 2001, he held a variety of roles with Eastman Kodak Company, a technology company focused</w:t>
      </w:r>
    </w:p>
    <w:p>
      <w:pPr>
        <w:spacing w:after="0" w:line="29" w:lineRule="exact"/>
        <w:rPr>
          <w:sz w:val="20"/>
          <w:szCs w:val="20"/>
          <w:color w:val="auto"/>
        </w:rPr>
      </w:pPr>
    </w:p>
    <w:p>
      <w:pPr>
        <w:ind w:left="140" w:right="260"/>
        <w:spacing w:after="0" w:line="306" w:lineRule="auto"/>
        <w:rPr>
          <w:sz w:val="20"/>
          <w:szCs w:val="20"/>
          <w:color w:val="auto"/>
        </w:rPr>
      </w:pPr>
      <w:r>
        <w:rPr>
          <w:rFonts w:ascii="Arial" w:cs="Arial" w:eastAsia="Arial" w:hAnsi="Arial"/>
          <w:sz w:val="17"/>
          <w:szCs w:val="17"/>
          <w:color w:val="auto"/>
        </w:rPr>
        <w:t>on imaging products and services, including Chief Operating Officer, Consumer Imaging and Senior Vice President and President of the Kodak Professional Division.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DIRECTOR QUALIFICATIONS:</w:t>
      </w:r>
    </w:p>
    <w:p>
      <w:pPr>
        <w:spacing w:after="0" w:line="129" w:lineRule="exact"/>
        <w:rPr>
          <w:sz w:val="20"/>
          <w:szCs w:val="20"/>
          <w:color w:val="auto"/>
        </w:rPr>
      </w:pPr>
    </w:p>
    <w:p>
      <w:pPr>
        <w:ind w:left="200" w:right="200" w:hanging="132"/>
        <w:spacing w:after="0" w:line="298" w:lineRule="auto"/>
        <w:tabs>
          <w:tab w:leader="none" w:pos="200" w:val="left"/>
        </w:tabs>
        <w:numPr>
          <w:ilvl w:val="0"/>
          <w:numId w:val="26"/>
        </w:numPr>
        <w:rPr>
          <w:rFonts w:ascii="Arial" w:cs="Arial" w:eastAsia="Arial" w:hAnsi="Arial"/>
          <w:sz w:val="17"/>
          <w:szCs w:val="17"/>
          <w:color w:val="582C83"/>
        </w:rPr>
      </w:pPr>
      <w:r>
        <w:rPr>
          <w:rFonts w:ascii="Arial" w:cs="Arial" w:eastAsia="Arial" w:hAnsi="Arial"/>
          <w:sz w:val="17"/>
          <w:szCs w:val="17"/>
          <w:color w:val="auto"/>
        </w:rPr>
        <w:t>While working at Coca-Cola, Eastman Kodak, and Carlyle, Mr. Siewert developed extensive knowledge in the food and beverage and consumer products industries, especially insights into consumer trends and routes-to-market.</w:t>
      </w:r>
    </w:p>
    <w:p>
      <w:pPr>
        <w:ind w:left="200" w:right="380" w:hanging="132"/>
        <w:spacing w:after="0" w:line="290" w:lineRule="auto"/>
        <w:tabs>
          <w:tab w:leader="none" w:pos="200" w:val="left"/>
        </w:tabs>
        <w:numPr>
          <w:ilvl w:val="0"/>
          <w:numId w:val="26"/>
        </w:numPr>
        <w:rPr>
          <w:rFonts w:ascii="Arial" w:cs="Arial" w:eastAsia="Arial" w:hAnsi="Arial"/>
          <w:sz w:val="17"/>
          <w:szCs w:val="17"/>
          <w:color w:val="582C83"/>
        </w:rPr>
      </w:pPr>
      <w:r>
        <w:rPr>
          <w:rFonts w:ascii="Arial" w:cs="Arial" w:eastAsia="Arial" w:hAnsi="Arial"/>
          <w:sz w:val="17"/>
          <w:szCs w:val="17"/>
          <w:color w:val="auto"/>
        </w:rPr>
        <w:t>Mr. Siewert has led business operations in the Americas, Europe, Africa, the Middle East, and Asia. He currently focuses on investments and operations in Asian markets and select global opportunities.</w:t>
      </w:r>
    </w:p>
    <w:p>
      <w:pPr>
        <w:ind w:left="200" w:right="480" w:hanging="132"/>
        <w:spacing w:after="0" w:line="317" w:lineRule="auto"/>
        <w:tabs>
          <w:tab w:leader="none" w:pos="200" w:val="left"/>
        </w:tabs>
        <w:numPr>
          <w:ilvl w:val="0"/>
          <w:numId w:val="26"/>
        </w:numPr>
        <w:rPr>
          <w:rFonts w:ascii="Arial" w:cs="Arial" w:eastAsia="Arial" w:hAnsi="Arial"/>
          <w:sz w:val="17"/>
          <w:szCs w:val="17"/>
          <w:color w:val="582C83"/>
        </w:rPr>
      </w:pPr>
      <w:r>
        <w:rPr>
          <w:rFonts w:ascii="Arial" w:cs="Arial" w:eastAsia="Arial" w:hAnsi="Arial"/>
          <w:sz w:val="17"/>
          <w:szCs w:val="17"/>
          <w:color w:val="auto"/>
        </w:rPr>
        <w:t>Mr. Siewert has extensive public company board and corporate governance experience. He is a member of the Board of Directors of Avery Dennison Corporation.</w:t>
      </w:r>
    </w:p>
    <w:p>
      <w:pPr>
        <w:sectPr>
          <w:pgSz w:w="11900" w:h="16838" w:orient="portrait"/>
          <w:cols w:equalWidth="0" w:num="1">
            <w:col w:w="9040"/>
          </w:cols>
          <w:pgMar w:left="1420" w:top="1440" w:right="1439" w:bottom="1440" w:gutter="0" w:footer="0" w:header="0"/>
        </w:sectPr>
      </w:pPr>
    </w:p>
    <w:bookmarkStart w:id="28" w:name="page29"/>
    <w:bookmarkEnd w:id="28"/>
    <w:p>
      <w:pPr>
        <w:ind w:left="60"/>
        <w:spacing w:after="0"/>
        <w:rPr>
          <w:sz w:val="20"/>
          <w:szCs w:val="20"/>
          <w:color w:val="auto"/>
        </w:rPr>
      </w:pPr>
      <w:r>
        <w:rPr>
          <w:rFonts w:ascii="Arial" w:cs="Arial" w:eastAsia="Arial" w:hAnsi="Arial"/>
          <w:sz w:val="14"/>
          <w:szCs w:val="14"/>
          <w:b w:val="1"/>
          <w:bCs w:val="1"/>
          <w:color w:val="582C83"/>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848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10375" cy="584835"/>
                    </a:xfrm>
                    <a:prstGeom prst="rect">
                      <a:avLst/>
                    </a:prstGeom>
                    <a:noFill/>
                  </pic:spPr>
                </pic:pic>
              </a:graphicData>
            </a:graphic>
          </wp:anchor>
        </w:drawing>
        <w:t>30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8677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40"/>
        <w:spacing w:after="0"/>
        <w:rPr>
          <w:sz w:val="20"/>
          <w:szCs w:val="20"/>
          <w:color w:val="auto"/>
        </w:rPr>
      </w:pPr>
      <w:r>
        <w:rPr>
          <w:rFonts w:ascii="Arial" w:cs="Arial" w:eastAsia="Arial" w:hAnsi="Arial"/>
          <w:sz w:val="22"/>
          <w:szCs w:val="22"/>
          <w:b w:val="1"/>
          <w:bCs w:val="1"/>
          <w:color w:val="auto"/>
        </w:rPr>
        <w:t>ITEM 1. ELECTION OF DIRECTORS</w:t>
      </w:r>
    </w:p>
    <w:p>
      <w:pPr>
        <w:spacing w:after="0" w:line="37"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Director Nominees for Election at the Annual Meeting</w:t>
      </w:r>
    </w:p>
    <w:p>
      <w:pPr>
        <w:spacing w:after="0" w:line="200" w:lineRule="exact"/>
        <w:rPr>
          <w:sz w:val="20"/>
          <w:szCs w:val="20"/>
          <w:color w:val="auto"/>
        </w:rPr>
      </w:pP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3400" w:type="dxa"/>
            <w:vAlign w:val="bottom"/>
            <w:tcBorders>
              <w:top w:val="single" w:sz="8" w:color="auto"/>
              <w:left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Michael A. Todman</w:t>
            </w: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DIRECTOR SINCE:</w:t>
            </w:r>
          </w:p>
        </w:tc>
        <w:tc>
          <w:tcPr>
            <w:tcW w:w="18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DIRECTOR SKILLS:</w:t>
            </w:r>
          </w:p>
        </w:tc>
        <w:tc>
          <w:tcPr>
            <w:tcW w:w="208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BOARD COMMITTEES:</w:t>
            </w: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4"/>
                <w:szCs w:val="14"/>
                <w:i w:val="1"/>
                <w:iCs w:val="1"/>
                <w:color w:val="auto"/>
              </w:rPr>
              <w:t>Former Vice Chairman,</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May 2020</w:t>
            </w:r>
          </w:p>
        </w:tc>
        <w:tc>
          <w:tcPr>
            <w:tcW w:w="1840" w:type="dxa"/>
            <w:vAlign w:val="bottom"/>
            <w:tcBorders>
              <w:right w:val="single" w:sz="8" w:color="auto"/>
            </w:tcBorders>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7"/>
                <w:szCs w:val="17"/>
                <w:color w:val="582C83"/>
              </w:rPr>
              <w:t>•</w:t>
            </w:r>
          </w:p>
        </w:tc>
        <w:tc>
          <w:tcPr>
            <w:tcW w:w="18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Governance</w:t>
            </w:r>
          </w:p>
        </w:tc>
        <w:tc>
          <w:tcPr>
            <w:tcW w:w="0" w:type="dxa"/>
            <w:vAlign w:val="bottom"/>
          </w:tcPr>
          <w:p>
            <w:pPr>
              <w:spacing w:after="0"/>
              <w:rPr>
                <w:sz w:val="1"/>
                <w:szCs w:val="1"/>
                <w:color w:val="auto"/>
              </w:rPr>
            </w:pPr>
          </w:p>
        </w:tc>
      </w:tr>
      <w:tr>
        <w:trPr>
          <w:trHeight w:val="188"/>
        </w:trPr>
        <w:tc>
          <w:tcPr>
            <w:tcW w:w="340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4"/>
                <w:szCs w:val="14"/>
                <w:i w:val="1"/>
                <w:iCs w:val="1"/>
                <w:color w:val="auto"/>
              </w:rPr>
              <w:t>Whirlpool Corporation</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8"/>
              </w:rPr>
              <w:t>Age: 68</w:t>
            </w:r>
          </w:p>
        </w:tc>
        <w:tc>
          <w:tcPr>
            <w:tcW w:w="1840" w:type="dxa"/>
            <w:vAlign w:val="bottom"/>
            <w:tcBorders>
              <w:right w:val="single" w:sz="8" w:color="auto"/>
            </w:tcBorders>
          </w:tcPr>
          <w:p>
            <w:pPr>
              <w:spacing w:after="0"/>
              <w:rPr>
                <w:sz w:val="16"/>
                <w:szCs w:val="16"/>
                <w:color w:val="auto"/>
              </w:rPr>
            </w:pPr>
          </w:p>
        </w:tc>
        <w:tc>
          <w:tcPr>
            <w:tcW w:w="240" w:type="dxa"/>
            <w:vAlign w:val="bottom"/>
            <w:vMerge w:val="restart"/>
          </w:tcPr>
          <w:p>
            <w:pPr>
              <w:ind w:left="100"/>
              <w:spacing w:after="0"/>
              <w:rPr>
                <w:sz w:val="20"/>
                <w:szCs w:val="20"/>
                <w:color w:val="auto"/>
              </w:rPr>
            </w:pPr>
            <w:r>
              <w:rPr>
                <w:rFonts w:ascii="Arial" w:cs="Arial" w:eastAsia="Arial" w:hAnsi="Arial"/>
                <w:sz w:val="17"/>
                <w:szCs w:val="17"/>
                <w:color w:val="582C83"/>
              </w:rPr>
              <w:t>•</w:t>
            </w:r>
          </w:p>
        </w:tc>
        <w:tc>
          <w:tcPr>
            <w:tcW w:w="1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Chair, People and</w:t>
            </w:r>
          </w:p>
        </w:tc>
        <w:tc>
          <w:tcPr>
            <w:tcW w:w="0" w:type="dxa"/>
            <w:vAlign w:val="bottom"/>
          </w:tcPr>
          <w:p>
            <w:pPr>
              <w:spacing w:after="0"/>
              <w:rPr>
                <w:sz w:val="1"/>
                <w:szCs w:val="1"/>
                <w:color w:val="auto"/>
              </w:rPr>
            </w:pPr>
          </w:p>
        </w:tc>
      </w:tr>
      <w:tr>
        <w:trPr>
          <w:trHeight w:val="122"/>
        </w:trPr>
        <w:tc>
          <w:tcPr>
            <w:tcW w:w="3400" w:type="dxa"/>
            <w:vAlign w:val="bottom"/>
            <w:tcBorders>
              <w:left w:val="single" w:sz="8" w:color="auto"/>
              <w:right w:val="single" w:sz="8" w:color="auto"/>
            </w:tcBorders>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240" w:type="dxa"/>
            <w:vAlign w:val="bottom"/>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400" w:type="dxa"/>
            <w:vAlign w:val="bottom"/>
            <w:tcBorders>
              <w:left w:val="single" w:sz="8" w:color="auto"/>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Compensation</w:t>
            </w:r>
          </w:p>
        </w:tc>
        <w:tc>
          <w:tcPr>
            <w:tcW w:w="0" w:type="dxa"/>
            <w:vAlign w:val="bottom"/>
          </w:tcPr>
          <w:p>
            <w:pPr>
              <w:spacing w:after="0"/>
              <w:rPr>
                <w:sz w:val="1"/>
                <w:szCs w:val="1"/>
                <w:color w:val="auto"/>
              </w:rPr>
            </w:pPr>
          </w:p>
        </w:tc>
      </w:tr>
      <w:tr>
        <w:trPr>
          <w:trHeight w:val="240"/>
        </w:trPr>
        <w:tc>
          <w:tcPr>
            <w:tcW w:w="340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7"/>
                <w:szCs w:val="17"/>
                <w:b w:val="1"/>
                <w:bCs w:val="1"/>
                <w:color w:val="592B82"/>
              </w:rPr>
              <w:t>INDEPENDENT</w:t>
            </w:r>
          </w:p>
        </w:tc>
        <w:tc>
          <w:tcPr>
            <w:tcW w:w="174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340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PROFESSIONAL BACKGROUND:</w:t>
      </w:r>
    </w:p>
    <w:p>
      <w:pPr>
        <w:spacing w:after="0" w:line="129" w:lineRule="exact"/>
        <w:rPr>
          <w:sz w:val="20"/>
          <w:szCs w:val="20"/>
          <w:color w:val="auto"/>
        </w:rPr>
      </w:pPr>
    </w:p>
    <w:p>
      <w:pPr>
        <w:ind w:left="140" w:right="180"/>
        <w:spacing w:after="0" w:line="282" w:lineRule="auto"/>
        <w:rPr>
          <w:sz w:val="20"/>
          <w:szCs w:val="20"/>
          <w:color w:val="auto"/>
        </w:rPr>
      </w:pPr>
      <w:r>
        <w:rPr>
          <w:rFonts w:ascii="Arial" w:cs="Arial" w:eastAsia="Arial" w:hAnsi="Arial"/>
          <w:sz w:val="17"/>
          <w:szCs w:val="17"/>
          <w:color w:val="auto"/>
        </w:rPr>
        <w:t>Mr. Todman served as Vice Chairman of Whirlpool Corporation, a global home appliance company, from November 2014 until his retirement in December 2015, and as a member of Whirlpool’s Board of Directors for nine years. Prior to that, Mr. Todman was President, Whirlpool International, from 2009 to 2014 and President, Whirlpool North America, from 2007 to 2009. Mr. Todman joined Whirlpool in 1993 and served in various capacities, including management, operations, sales, and marketing positions in North America and Europe.</w:t>
      </w:r>
    </w:p>
    <w:p>
      <w:pPr>
        <w:spacing w:after="0" w:line="67" w:lineRule="exact"/>
        <w:rPr>
          <w:sz w:val="20"/>
          <w:szCs w:val="20"/>
          <w:color w:val="auto"/>
        </w:rPr>
      </w:pPr>
    </w:p>
    <w:p>
      <w:pPr>
        <w:ind w:left="140" w:right="140"/>
        <w:spacing w:after="0" w:line="291" w:lineRule="auto"/>
        <w:rPr>
          <w:sz w:val="20"/>
          <w:szCs w:val="20"/>
          <w:color w:val="auto"/>
        </w:rPr>
      </w:pPr>
      <w:r>
        <w:rPr>
          <w:rFonts w:ascii="Arial" w:cs="Arial" w:eastAsia="Arial" w:hAnsi="Arial"/>
          <w:sz w:val="17"/>
          <w:szCs w:val="17"/>
          <w:color w:val="auto"/>
        </w:rPr>
        <w:t>Before joining Whirlpool, Mr. Todman served in a variety of roles of increasing responsibility with Wang Laboratories, Inc., a manufacturer of computer systems, from 1983 to 1993, and PricewaterhouseCoopers LLP, a multinational professional services firm, from 1979 to 1983.</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DIRECTOR QUALIFICATIONS:</w:t>
      </w:r>
    </w:p>
    <w:p>
      <w:pPr>
        <w:spacing w:after="0" w:line="129" w:lineRule="exact"/>
        <w:rPr>
          <w:sz w:val="20"/>
          <w:szCs w:val="20"/>
          <w:color w:val="auto"/>
        </w:rPr>
      </w:pPr>
    </w:p>
    <w:p>
      <w:pPr>
        <w:ind w:left="200" w:hanging="132"/>
        <w:spacing w:after="0"/>
        <w:tabs>
          <w:tab w:leader="none" w:pos="200" w:val="left"/>
        </w:tabs>
        <w:numPr>
          <w:ilvl w:val="0"/>
          <w:numId w:val="27"/>
        </w:numPr>
        <w:rPr>
          <w:rFonts w:ascii="Arial" w:cs="Arial" w:eastAsia="Arial" w:hAnsi="Arial"/>
          <w:sz w:val="17"/>
          <w:szCs w:val="17"/>
          <w:color w:val="582C83"/>
        </w:rPr>
      </w:pPr>
      <w:r>
        <w:rPr>
          <w:rFonts w:ascii="Arial" w:cs="Arial" w:eastAsia="Arial" w:hAnsi="Arial"/>
          <w:sz w:val="17"/>
          <w:szCs w:val="17"/>
          <w:color w:val="auto"/>
        </w:rPr>
        <w:t>Mr. Todman has broad leadership experience, including leading a $10 billion international business unit at Whirlpool.</w:t>
      </w:r>
    </w:p>
    <w:p>
      <w:pPr>
        <w:spacing w:after="0" w:line="61" w:lineRule="exact"/>
        <w:rPr>
          <w:rFonts w:ascii="Arial" w:cs="Arial" w:eastAsia="Arial" w:hAnsi="Arial"/>
          <w:sz w:val="17"/>
          <w:szCs w:val="17"/>
          <w:color w:val="582C83"/>
        </w:rPr>
      </w:pPr>
    </w:p>
    <w:p>
      <w:pPr>
        <w:ind w:left="200" w:right="300" w:hanging="132"/>
        <w:spacing w:after="0" w:line="298" w:lineRule="auto"/>
        <w:tabs>
          <w:tab w:leader="none" w:pos="200" w:val="left"/>
        </w:tabs>
        <w:numPr>
          <w:ilvl w:val="0"/>
          <w:numId w:val="27"/>
        </w:numPr>
        <w:rPr>
          <w:rFonts w:ascii="Arial" w:cs="Arial" w:eastAsia="Arial" w:hAnsi="Arial"/>
          <w:sz w:val="17"/>
          <w:szCs w:val="17"/>
          <w:color w:val="582C83"/>
        </w:rPr>
      </w:pPr>
      <w:r>
        <w:rPr>
          <w:rFonts w:ascii="Arial" w:cs="Arial" w:eastAsia="Arial" w:hAnsi="Arial"/>
          <w:sz w:val="17"/>
          <w:szCs w:val="17"/>
          <w:color w:val="auto"/>
        </w:rPr>
        <w:t>Mr. Todman brings strong industry knowledge and marketing experience. He has extensive consumer experience from Whirlpool and as a director of Newell Brands and Brown-Forman.</w:t>
      </w:r>
    </w:p>
    <w:p>
      <w:pPr>
        <w:ind w:left="200" w:right="760" w:hanging="132"/>
        <w:spacing w:after="0" w:line="290" w:lineRule="auto"/>
        <w:tabs>
          <w:tab w:leader="none" w:pos="200" w:val="left"/>
        </w:tabs>
        <w:numPr>
          <w:ilvl w:val="0"/>
          <w:numId w:val="27"/>
        </w:numPr>
        <w:rPr>
          <w:rFonts w:ascii="Arial" w:cs="Arial" w:eastAsia="Arial" w:hAnsi="Arial"/>
          <w:sz w:val="17"/>
          <w:szCs w:val="17"/>
          <w:color w:val="582C83"/>
        </w:rPr>
      </w:pPr>
      <w:r>
        <w:rPr>
          <w:rFonts w:ascii="Arial" w:cs="Arial" w:eastAsia="Arial" w:hAnsi="Arial"/>
          <w:sz w:val="17"/>
          <w:szCs w:val="17"/>
          <w:color w:val="auto"/>
        </w:rPr>
        <w:t>Mr. Todman has comprehensive knowledge of emerging markets and has led strategic growth initiatives for emerging markets in Asia.</w:t>
      </w:r>
    </w:p>
    <w:p>
      <w:pPr>
        <w:ind w:left="200" w:right="300" w:hanging="132"/>
        <w:spacing w:after="0" w:line="317" w:lineRule="auto"/>
        <w:tabs>
          <w:tab w:leader="none" w:pos="200" w:val="left"/>
        </w:tabs>
        <w:numPr>
          <w:ilvl w:val="0"/>
          <w:numId w:val="27"/>
        </w:numPr>
        <w:rPr>
          <w:rFonts w:ascii="Arial" w:cs="Arial" w:eastAsia="Arial" w:hAnsi="Arial"/>
          <w:sz w:val="17"/>
          <w:szCs w:val="17"/>
          <w:color w:val="582C83"/>
        </w:rPr>
      </w:pPr>
      <w:r>
        <w:rPr>
          <w:rFonts w:ascii="Arial" w:cs="Arial" w:eastAsia="Arial" w:hAnsi="Arial"/>
          <w:sz w:val="17"/>
          <w:szCs w:val="17"/>
          <w:color w:val="auto"/>
        </w:rPr>
        <w:t>Mr. Todman has extensive public company board and corporate governance experience. He is a director of Brown-Forman, Carrier Global Corporation and Prudential, and a former director of Newell Brands and Whirlpool.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99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10375" cy="89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 ELECTION OF DIRECTORS</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Director Nominees for Election at the Annual Meeting</w:t>
      </w:r>
    </w:p>
    <w:p>
      <w:pPr>
        <w:sectPr>
          <w:pgSz w:w="11900" w:h="16838" w:orient="portrait"/>
          <w:cols w:equalWidth="0" w:num="1">
            <w:col w:w="9040"/>
          </w:cols>
          <w:pgMar w:left="1420" w:top="481" w:right="1439" w:bottom="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317"/>
        </w:trPr>
        <w:tc>
          <w:tcPr>
            <w:tcW w:w="3860" w:type="dxa"/>
            <w:vAlign w:val="bottom"/>
            <w:tcBorders>
              <w:top w:val="single" w:sz="8" w:color="auto"/>
              <w:left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Dirk Van de Put</w:t>
            </w:r>
          </w:p>
        </w:tc>
        <w:tc>
          <w:tcPr>
            <w:tcW w:w="2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DIRECTOR SINCE:</w:t>
            </w:r>
          </w:p>
        </w:tc>
        <w:tc>
          <w:tcPr>
            <w:tcW w:w="278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7"/>
                <w:szCs w:val="17"/>
                <w:b w:val="1"/>
                <w:bCs w:val="1"/>
                <w:color w:val="auto"/>
              </w:rPr>
              <w:t>DIRECTOR SKILLS:</w:t>
            </w:r>
          </w:p>
        </w:tc>
        <w:tc>
          <w:tcPr>
            <w:tcW w:w="0" w:type="dxa"/>
            <w:vAlign w:val="bottom"/>
          </w:tcPr>
          <w:p>
            <w:pPr>
              <w:spacing w:after="0"/>
              <w:rPr>
                <w:sz w:val="1"/>
                <w:szCs w:val="1"/>
                <w:color w:val="auto"/>
              </w:rPr>
            </w:pPr>
          </w:p>
        </w:tc>
      </w:tr>
      <w:tr>
        <w:trPr>
          <w:trHeight w:val="210"/>
        </w:trPr>
        <w:tc>
          <w:tcPr>
            <w:tcW w:w="386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4"/>
                <w:szCs w:val="14"/>
                <w:i w:val="1"/>
                <w:iCs w:val="1"/>
                <w:color w:val="auto"/>
              </w:rPr>
              <w:t>Chair and Chief Executive Officer,</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November 2017</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60" w:type="dxa"/>
            <w:vAlign w:val="bottom"/>
            <w:tcBorders>
              <w:left w:val="single" w:sz="8" w:color="auto"/>
              <w:right w:val="single" w:sz="8" w:color="auto"/>
            </w:tcBorders>
          </w:tcPr>
          <w:p>
            <w:pPr>
              <w:ind w:left="1360"/>
              <w:spacing w:after="0"/>
              <w:rPr>
                <w:sz w:val="20"/>
                <w:szCs w:val="20"/>
                <w:color w:val="auto"/>
              </w:rPr>
            </w:pPr>
            <w:r>
              <w:rPr>
                <w:rFonts w:ascii="Arial" w:cs="Arial" w:eastAsia="Arial" w:hAnsi="Arial"/>
                <w:sz w:val="14"/>
                <w:szCs w:val="14"/>
                <w:i w:val="1"/>
                <w:iCs w:val="1"/>
                <w:color w:val="auto"/>
              </w:rPr>
              <w:t>Mondelēz International, Inc.</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9"/>
              </w:rPr>
              <w:t>CHAIR SINCE:</w:t>
            </w:r>
          </w:p>
        </w:tc>
        <w:tc>
          <w:tcPr>
            <w:tcW w:w="2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60" w:type="dxa"/>
            <w:vAlign w:val="bottom"/>
            <w:tcBorders>
              <w:left w:val="single" w:sz="8" w:color="auto"/>
              <w:right w:val="single" w:sz="8" w:color="auto"/>
            </w:tcBorders>
          </w:tcPr>
          <w:p>
            <w:pPr>
              <w:spacing w:after="0"/>
              <w:rPr>
                <w:sz w:val="18"/>
                <w:szCs w:val="18"/>
                <w:color w:val="auto"/>
              </w:rPr>
            </w:pPr>
          </w:p>
        </w:tc>
        <w:tc>
          <w:tcPr>
            <w:tcW w:w="2420" w:type="dxa"/>
            <w:vAlign w:val="bottom"/>
            <w:tcBorders>
              <w:right w:val="single" w:sz="8" w:color="auto"/>
            </w:tcBorders>
            <w:vMerge w:val="continue"/>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3860" w:type="dxa"/>
            <w:vAlign w:val="bottom"/>
            <w:tcBorders>
              <w:left w:val="single" w:sz="8" w:color="auto"/>
              <w:right w:val="single" w:sz="8" w:color="auto"/>
            </w:tcBorders>
          </w:tcPr>
          <w:p>
            <w:pPr>
              <w:spacing w:after="0"/>
              <w:rPr>
                <w:sz w:val="24"/>
                <w:szCs w:val="24"/>
                <w:color w:val="auto"/>
              </w:rPr>
            </w:pP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April 2018</w:t>
            </w:r>
          </w:p>
        </w:tc>
        <w:tc>
          <w:tcPr>
            <w:tcW w:w="2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860" w:type="dxa"/>
            <w:vAlign w:val="bottom"/>
            <w:tcBorders>
              <w:left w:val="single" w:sz="8" w:color="auto"/>
              <w:right w:val="single" w:sz="8" w:color="auto"/>
            </w:tcBorders>
          </w:tcPr>
          <w:p>
            <w:pPr>
              <w:spacing w:after="0"/>
              <w:rPr>
                <w:sz w:val="19"/>
                <w:szCs w:val="19"/>
                <w:color w:val="auto"/>
              </w:rPr>
            </w:pP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Age: 65</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860" w:type="dxa"/>
            <w:vAlign w:val="bottom"/>
            <w:tcBorders>
              <w:left w:val="single" w:sz="8" w:color="auto"/>
              <w:bottom w:val="single" w:sz="8" w:color="auto"/>
              <w:right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27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8"/>
        </w:trPr>
        <w:tc>
          <w:tcPr>
            <w:tcW w:w="3860" w:type="dxa"/>
            <w:vAlign w:val="bottom"/>
          </w:tcPr>
          <w:p>
            <w:pPr>
              <w:ind w:left="140"/>
              <w:spacing w:after="0"/>
              <w:rPr>
                <w:sz w:val="20"/>
                <w:szCs w:val="20"/>
                <w:color w:val="auto"/>
              </w:rPr>
            </w:pPr>
            <w:r>
              <w:rPr>
                <w:rFonts w:ascii="Arial" w:cs="Arial" w:eastAsia="Arial" w:hAnsi="Arial"/>
                <w:sz w:val="17"/>
                <w:szCs w:val="17"/>
                <w:b w:val="1"/>
                <w:bCs w:val="1"/>
                <w:color w:val="auto"/>
              </w:rPr>
              <w:t>PROFESSIONAL BACKGROUND:</w:t>
            </w:r>
          </w:p>
        </w:tc>
        <w:tc>
          <w:tcPr>
            <w:tcW w:w="24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9571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10375" cy="7957185"/>
                    </a:xfrm>
                    <a:prstGeom prst="rect">
                      <a:avLst/>
                    </a:prstGeom>
                    <a:noFill/>
                  </pic:spPr>
                </pic:pic>
              </a:graphicData>
            </a:graphic>
          </wp:anchor>
        </w:drawing>
      </w:r>
    </w:p>
    <w:p>
      <w:pPr>
        <w:ind w:left="140" w:right="280"/>
        <w:spacing w:after="0" w:line="282" w:lineRule="auto"/>
        <w:rPr>
          <w:sz w:val="20"/>
          <w:szCs w:val="20"/>
          <w:color w:val="auto"/>
        </w:rPr>
      </w:pPr>
      <w:r>
        <w:rPr>
          <w:rFonts w:ascii="Arial" w:cs="Arial" w:eastAsia="Arial" w:hAnsi="Arial"/>
          <w:sz w:val="17"/>
          <w:szCs w:val="17"/>
          <w:color w:val="auto"/>
        </w:rPr>
        <w:t>Mr. Van de Put became Chief Executive Officer of Mondelēz International and joined the Company’s Board of Directors in November 2017. He became Chair in April 2018. Mr. Van de Put served as President and Chief Executive Officer of McCain Foods Limited, a multinational frozen food provider, from 2011 to 2017, and served as its Chief Operating Officer from 2010 to 2011.</w:t>
      </w:r>
    </w:p>
    <w:p>
      <w:pPr>
        <w:spacing w:after="0" w:line="80" w:lineRule="exact"/>
        <w:rPr>
          <w:sz w:val="20"/>
          <w:szCs w:val="20"/>
          <w:color w:val="auto"/>
        </w:rPr>
      </w:pPr>
    </w:p>
    <w:p>
      <w:pPr>
        <w:ind w:left="140" w:right="220"/>
        <w:spacing w:after="0" w:line="273" w:lineRule="auto"/>
        <w:rPr>
          <w:sz w:val="20"/>
          <w:szCs w:val="20"/>
          <w:color w:val="auto"/>
        </w:rPr>
      </w:pPr>
      <w:r>
        <w:rPr>
          <w:rFonts w:ascii="Arial" w:cs="Arial" w:eastAsia="Arial" w:hAnsi="Arial"/>
          <w:sz w:val="17"/>
          <w:szCs w:val="17"/>
          <w:color w:val="auto"/>
        </w:rPr>
        <w:t>Mr. Van de Put was President and Chief Executive Officer, Global Over-the-Counter, Consumer Health Division of Novartis AG, a global healthcare company, from 2009 to 2010. From 1998 to 2009, he held a variety of roles with Groupe Danone SA, a multinational provider of packaged water, dairy, and baby food products, including Executive Vice President, Fresh Dairy and Waters, Americas, and Executive Vice President, Fresh Dairy and Waters,</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Latin America.</w:t>
      </w:r>
    </w:p>
    <w:p>
      <w:pPr>
        <w:spacing w:after="0" w:line="129" w:lineRule="exact"/>
        <w:rPr>
          <w:sz w:val="20"/>
          <w:szCs w:val="20"/>
          <w:color w:val="auto"/>
        </w:rPr>
      </w:pPr>
    </w:p>
    <w:p>
      <w:pPr>
        <w:ind w:left="140" w:right="180"/>
        <w:spacing w:after="0" w:line="282" w:lineRule="auto"/>
        <w:rPr>
          <w:sz w:val="20"/>
          <w:szCs w:val="20"/>
          <w:color w:val="auto"/>
        </w:rPr>
      </w:pPr>
      <w:r>
        <w:rPr>
          <w:rFonts w:ascii="Arial" w:cs="Arial" w:eastAsia="Arial" w:hAnsi="Arial"/>
          <w:sz w:val="17"/>
          <w:szCs w:val="17"/>
          <w:color w:val="auto"/>
        </w:rPr>
        <w:t>From 1997 to 1998, Mr. Van de Put served as President, Coca-Cola Caribbean, and as Vice President, Value Chain Management, Coca-Cola Brazil. From 1986 to 1997, he held a variety of roles with Mars, Incorporated, a global manufacturer of confectionery, pet food, and other food products and a provider of animal care services, including General Manager and President, Southern Cone Region, Mars South America and Vice President, Marketing, Latin America.</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DIRECTOR QUALIFICATIONS:</w:t>
      </w:r>
    </w:p>
    <w:p>
      <w:pPr>
        <w:spacing w:after="0" w:line="129" w:lineRule="exact"/>
        <w:rPr>
          <w:sz w:val="20"/>
          <w:szCs w:val="20"/>
          <w:color w:val="auto"/>
        </w:rPr>
      </w:pPr>
    </w:p>
    <w:p>
      <w:pPr>
        <w:ind w:left="200" w:right="40" w:hanging="132"/>
        <w:spacing w:after="0" w:line="287" w:lineRule="auto"/>
        <w:tabs>
          <w:tab w:leader="none" w:pos="200" w:val="left"/>
        </w:tabs>
        <w:numPr>
          <w:ilvl w:val="0"/>
          <w:numId w:val="28"/>
        </w:numPr>
        <w:rPr>
          <w:rFonts w:ascii="Arial" w:cs="Arial" w:eastAsia="Arial" w:hAnsi="Arial"/>
          <w:sz w:val="17"/>
          <w:szCs w:val="17"/>
          <w:color w:val="582C83"/>
        </w:rPr>
      </w:pPr>
      <w:r>
        <w:rPr>
          <w:rFonts w:ascii="Arial" w:cs="Arial" w:eastAsia="Arial" w:hAnsi="Arial"/>
          <w:sz w:val="17"/>
          <w:szCs w:val="17"/>
          <w:color w:val="auto"/>
        </w:rPr>
        <w:t>Mr. Van de Put is a seasoned global Chief Executive Officer with experience and expertise in all critical business and commercial operations in both emerging and developed markets. He brings a global perspective to the Board, having lived and worked on three different continents.</w:t>
      </w:r>
    </w:p>
    <w:p>
      <w:pPr>
        <w:ind w:left="200" w:right="400" w:hanging="132"/>
        <w:spacing w:after="0" w:line="298" w:lineRule="auto"/>
        <w:tabs>
          <w:tab w:leader="none" w:pos="200" w:val="left"/>
        </w:tabs>
        <w:numPr>
          <w:ilvl w:val="0"/>
          <w:numId w:val="28"/>
        </w:numPr>
        <w:rPr>
          <w:rFonts w:ascii="Arial" w:cs="Arial" w:eastAsia="Arial" w:hAnsi="Arial"/>
          <w:sz w:val="17"/>
          <w:szCs w:val="17"/>
          <w:color w:val="582C83"/>
        </w:rPr>
      </w:pPr>
      <w:r>
        <w:rPr>
          <w:rFonts w:ascii="Arial" w:cs="Arial" w:eastAsia="Arial" w:hAnsi="Arial"/>
          <w:sz w:val="17"/>
          <w:szCs w:val="17"/>
          <w:color w:val="auto"/>
        </w:rPr>
        <w:t>Mr. Van de Put has extensive leadership experience, including 31 years of experience in the food and consumer packaged goods industry.</w:t>
      </w:r>
    </w:p>
    <w:p>
      <w:pPr>
        <w:ind w:left="200" w:hanging="132"/>
        <w:spacing w:after="0"/>
        <w:tabs>
          <w:tab w:leader="none" w:pos="200" w:val="left"/>
        </w:tabs>
        <w:numPr>
          <w:ilvl w:val="0"/>
          <w:numId w:val="28"/>
        </w:numPr>
        <w:rPr>
          <w:rFonts w:ascii="Arial" w:cs="Arial" w:eastAsia="Arial" w:hAnsi="Arial"/>
          <w:sz w:val="17"/>
          <w:szCs w:val="17"/>
          <w:color w:val="582C83"/>
        </w:rPr>
      </w:pPr>
      <w:r>
        <w:rPr>
          <w:rFonts w:ascii="Arial" w:cs="Arial" w:eastAsia="Arial" w:hAnsi="Arial"/>
          <w:sz w:val="17"/>
          <w:szCs w:val="17"/>
          <w:color w:val="auto"/>
        </w:rPr>
        <w:t>Mr. Van de Put is fluent in English, Dutch, French, Spanish, and Portuguese.</w:t>
      </w:r>
    </w:p>
    <w:p>
      <w:pPr>
        <w:spacing w:after="0" w:line="61" w:lineRule="exact"/>
        <w:rPr>
          <w:rFonts w:ascii="Arial" w:cs="Arial" w:eastAsia="Arial" w:hAnsi="Arial"/>
          <w:sz w:val="17"/>
          <w:szCs w:val="17"/>
          <w:color w:val="582C83"/>
        </w:rPr>
      </w:pPr>
    </w:p>
    <w:p>
      <w:pPr>
        <w:ind w:left="200" w:right="580" w:hanging="132"/>
        <w:spacing w:after="0" w:line="301" w:lineRule="auto"/>
        <w:tabs>
          <w:tab w:leader="none" w:pos="200" w:val="left"/>
        </w:tabs>
        <w:numPr>
          <w:ilvl w:val="0"/>
          <w:numId w:val="28"/>
        </w:numPr>
        <w:rPr>
          <w:rFonts w:ascii="Arial" w:cs="Arial" w:eastAsia="Arial" w:hAnsi="Arial"/>
          <w:sz w:val="17"/>
          <w:szCs w:val="17"/>
          <w:color w:val="582C83"/>
        </w:rPr>
      </w:pPr>
      <w:r>
        <w:rPr>
          <w:rFonts w:ascii="Arial" w:cs="Arial" w:eastAsia="Arial" w:hAnsi="Arial"/>
          <w:sz w:val="17"/>
          <w:szCs w:val="17"/>
          <w:color w:val="auto"/>
        </w:rPr>
        <w:t>Mr. Van de Put has public company board and corporate governance experience. He is a director of AB Inbev SA/NV and a former director of Keurig Dr Pepper Inc. and Mattel,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32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24765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10375" cy="247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45"/>
          <w:szCs w:val="45"/>
          <w:b w:val="1"/>
          <w:bCs w:val="1"/>
          <w:color w:val="582C83"/>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right="460"/>
        <w:spacing w:after="0" w:line="241" w:lineRule="exact"/>
        <w:rPr>
          <w:sz w:val="20"/>
          <w:szCs w:val="20"/>
          <w:color w:val="auto"/>
        </w:rPr>
      </w:pPr>
      <w:r>
        <w:rPr>
          <w:rFonts w:ascii="Arial" w:cs="Arial" w:eastAsia="Arial" w:hAnsi="Arial"/>
          <w:sz w:val="17"/>
          <w:szCs w:val="17"/>
          <w:color w:val="auto"/>
        </w:rPr>
        <w:t>Our Board is committed to corporate governance practices that promote and protect the long</w:t>
      </w:r>
      <w:r>
        <w:rPr>
          <w:rFonts w:ascii="MS PGothic" w:cs="MS PGothic" w:eastAsia="MS PGothic" w:hAnsi="MS PGothic"/>
          <w:sz w:val="17"/>
          <w:szCs w:val="17"/>
          <w:color w:val="auto"/>
        </w:rPr>
        <w:t>‑</w:t>
      </w:r>
      <w:r>
        <w:rPr>
          <w:rFonts w:ascii="Arial" w:cs="Arial" w:eastAsia="Arial" w:hAnsi="Arial"/>
          <w:sz w:val="17"/>
          <w:szCs w:val="17"/>
          <w:color w:val="auto"/>
        </w:rPr>
        <w:t>term interests of our shareholders. We design our corporate governance practices to provide a robust and balanced framework for the Board in performing its fiduciary duties and to promote trust in the Company. Our Board believes that having and adhering to a strong corporate governance framework is essential to our long</w:t>
      </w:r>
      <w:r>
        <w:rPr>
          <w:rFonts w:ascii="MS PGothic" w:cs="MS PGothic" w:eastAsia="MS PGothic" w:hAnsi="MS PGothic"/>
          <w:sz w:val="17"/>
          <w:szCs w:val="17"/>
          <w:color w:val="auto"/>
        </w:rPr>
        <w:t>‑</w:t>
      </w:r>
      <w:r>
        <w:rPr>
          <w:rFonts w:ascii="Arial" w:cs="Arial" w:eastAsia="Arial" w:hAnsi="Arial"/>
          <w:sz w:val="17"/>
          <w:szCs w:val="17"/>
          <w:color w:val="auto"/>
        </w:rPr>
        <w:t>term success.</w:t>
      </w:r>
    </w:p>
    <w:p>
      <w:pPr>
        <w:sectPr>
          <w:pgSz w:w="11900" w:h="16838" w:orient="portrait"/>
          <w:cols w:equalWidth="0" w:num="1">
            <w:col w:w="9040"/>
          </w:cols>
          <w:pgMar w:left="1420" w:top="322" w:right="1439" w:bottom="0" w:gutter="0" w:footer="0" w:header="0"/>
        </w:sectPr>
      </w:pPr>
    </w:p>
    <w:bookmarkStart w:id="30" w:name="page31"/>
    <w:bookmarkEnd w:id="30"/>
    <w:p>
      <w:pPr>
        <w:spacing w:after="0" w:line="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37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10375" cy="6379845"/>
                    </a:xfrm>
                    <a:prstGeom prst="rect">
                      <a:avLst/>
                    </a:prstGeom>
                    <a:noFill/>
                  </pic:spPr>
                </pic:pic>
              </a:graphicData>
            </a:graphic>
          </wp:anchor>
        </w:drawing>
      </w:r>
    </w:p>
    <w:p>
      <w:pPr>
        <w:ind w:left="60"/>
        <w:spacing w:after="0"/>
        <w:rPr>
          <w:sz w:val="20"/>
          <w:szCs w:val="20"/>
          <w:color w:val="auto"/>
        </w:rPr>
      </w:pPr>
      <w:r>
        <w:rPr>
          <w:sz w:val="1"/>
          <w:szCs w:val="1"/>
          <w:color w:val="auto"/>
        </w:rPr>
        <w:drawing>
          <wp:inline distT="0" distB="0" distL="0" distR="0">
            <wp:extent cx="162560" cy="16256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9"/>
          <w:szCs w:val="29"/>
          <w:b w:val="1"/>
          <w:bCs w:val="1"/>
          <w:color w:val="auto"/>
        </w:rPr>
        <w:t xml:space="preserve"> GOVERNANCE GUIDELINES</w:t>
      </w:r>
    </w:p>
    <w:p>
      <w:pPr>
        <w:ind w:right="300"/>
        <w:spacing w:after="0" w:line="254" w:lineRule="auto"/>
        <w:rPr>
          <w:sz w:val="20"/>
          <w:szCs w:val="20"/>
          <w:color w:val="auto"/>
        </w:rPr>
      </w:pPr>
      <w:r>
        <w:rPr>
          <w:rFonts w:ascii="Arial" w:cs="Arial" w:eastAsia="Arial" w:hAnsi="Arial"/>
          <w:sz w:val="22"/>
          <w:szCs w:val="22"/>
          <w:b w:val="1"/>
          <w:bCs w:val="1"/>
          <w:color w:val="582C83"/>
        </w:rPr>
        <w:t>KEY ELEMENTS OF OUR GOVERNANCE FRAMEWORK, PRACTICES, AND POLICIES ENHANCE OUR BOARD’S EFFECTIVENESS AND ACCOUNTABILITY TO SHAREHOLDERS</w:t>
      </w:r>
    </w:p>
    <w:p>
      <w:pPr>
        <w:spacing w:after="0" w:line="59"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The Guidelines articulate our governance philosophy, practices, and policies in a range of areas, including the Board’s role and responsibilities, Board composition, membership criteria and structure, CEO and Board performance evaluations, and succession planning. At least annually, the Governance Committee reviews the Guidelines and recommends any changes to the Board for its consideration.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00" w:type="dxa"/>
            <w:vAlign w:val="bottom"/>
            <w:tcBorders>
              <w:bottom w:val="single" w:sz="8" w:color="582C83"/>
            </w:tcBorders>
            <w:gridSpan w:val="2"/>
          </w:tcPr>
          <w:p>
            <w:pPr>
              <w:ind w:left="60"/>
              <w:spacing w:after="0"/>
              <w:rPr>
                <w:sz w:val="20"/>
                <w:szCs w:val="20"/>
                <w:color w:val="auto"/>
              </w:rPr>
            </w:pPr>
            <w:r>
              <w:rPr>
                <w:rFonts w:ascii="Arial" w:cs="Arial" w:eastAsia="Arial" w:hAnsi="Arial"/>
                <w:sz w:val="14"/>
                <w:szCs w:val="14"/>
                <w:b w:val="1"/>
                <w:bCs w:val="1"/>
                <w:color w:val="auto"/>
              </w:rPr>
              <w:t>Key Practice or Policy</w:t>
            </w:r>
          </w:p>
        </w:tc>
        <w:tc>
          <w:tcPr>
            <w:tcW w:w="4540" w:type="dxa"/>
            <w:vAlign w:val="bottom"/>
            <w:tcBorders>
              <w:bottom w:val="single" w:sz="8" w:color="582C83"/>
            </w:tcBorders>
            <w:gridSpan w:val="2"/>
          </w:tcPr>
          <w:p>
            <w:pPr>
              <w:ind w:left="60"/>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34"/>
        </w:trPr>
        <w:tc>
          <w:tcPr>
            <w:tcW w:w="4500" w:type="dxa"/>
            <w:vAlign w:val="bottom"/>
            <w:gridSpan w:val="2"/>
            <w:shd w:val="clear" w:color="auto" w:fill="E0DBEA"/>
          </w:tcPr>
          <w:p>
            <w:pPr>
              <w:ind w:left="60"/>
              <w:spacing w:after="0"/>
              <w:rPr>
                <w:sz w:val="20"/>
                <w:szCs w:val="20"/>
                <w:color w:val="auto"/>
              </w:rPr>
            </w:pPr>
            <w:r>
              <w:rPr>
                <w:rFonts w:ascii="Arial" w:cs="Arial" w:eastAsia="Arial" w:hAnsi="Arial"/>
                <w:sz w:val="14"/>
                <w:szCs w:val="14"/>
                <w:color w:val="auto"/>
              </w:rPr>
              <w:t>Lead Independent Director. Our Lead Independent Director has</w:t>
            </w:r>
          </w:p>
        </w:tc>
        <w:tc>
          <w:tcPr>
            <w:tcW w:w="4540" w:type="dxa"/>
            <w:vAlign w:val="bottom"/>
            <w:gridSpan w:val="2"/>
            <w:shd w:val="clear" w:color="auto" w:fill="E0DBEA"/>
          </w:tcPr>
          <w:p>
            <w:pPr>
              <w:ind w:left="60"/>
              <w:spacing w:after="0"/>
              <w:rPr>
                <w:sz w:val="20"/>
                <w:szCs w:val="20"/>
                <w:color w:val="auto"/>
              </w:rPr>
            </w:pPr>
            <w:r>
              <w:rPr>
                <w:rFonts w:ascii="Arial" w:cs="Arial" w:eastAsia="Arial" w:hAnsi="Arial"/>
                <w:sz w:val="14"/>
                <w:szCs w:val="14"/>
                <w:color w:val="auto"/>
              </w:rPr>
              <w:t>A highly effective and engaged Lead Independent Director:</w:t>
            </w:r>
          </w:p>
        </w:tc>
        <w:tc>
          <w:tcPr>
            <w:tcW w:w="0" w:type="dxa"/>
            <w:vAlign w:val="bottom"/>
          </w:tcPr>
          <w:p>
            <w:pPr>
              <w:spacing w:after="0"/>
              <w:rPr>
                <w:sz w:val="1"/>
                <w:szCs w:val="1"/>
                <w:color w:val="auto"/>
              </w:rPr>
            </w:pPr>
          </w:p>
        </w:tc>
      </w:tr>
      <w:tr>
        <w:trPr>
          <w:trHeight w:val="185"/>
        </w:trPr>
        <w:tc>
          <w:tcPr>
            <w:tcW w:w="4500" w:type="dxa"/>
            <w:vAlign w:val="bottom"/>
            <w:gridSpan w:val="2"/>
            <w:shd w:val="clear" w:color="auto" w:fill="E0DBEA"/>
          </w:tcPr>
          <w:p>
            <w:pPr>
              <w:ind w:left="60"/>
              <w:spacing w:after="0"/>
              <w:rPr>
                <w:sz w:val="20"/>
                <w:szCs w:val="20"/>
                <w:color w:val="auto"/>
              </w:rPr>
            </w:pPr>
            <w:r>
              <w:rPr>
                <w:rFonts w:ascii="Arial" w:cs="Arial" w:eastAsia="Arial" w:hAnsi="Arial"/>
                <w:sz w:val="14"/>
                <w:szCs w:val="14"/>
                <w:color w:val="auto"/>
              </w:rPr>
              <w:t>broad and substantive duties and responsibilities that have</w:t>
            </w:r>
          </w:p>
        </w:tc>
        <w:tc>
          <w:tcPr>
            <w:tcW w:w="14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4400" w:type="dxa"/>
            <w:vAlign w:val="bottom"/>
            <w:shd w:val="clear" w:color="auto" w:fill="E0DBEA"/>
          </w:tcPr>
          <w:p>
            <w:pPr>
              <w:ind w:left="40"/>
              <w:spacing w:after="0"/>
              <w:rPr>
                <w:sz w:val="20"/>
                <w:szCs w:val="20"/>
                <w:color w:val="auto"/>
              </w:rPr>
            </w:pPr>
            <w:r>
              <w:rPr>
                <w:rFonts w:ascii="Arial" w:cs="Arial" w:eastAsia="Arial" w:hAnsi="Arial"/>
                <w:sz w:val="14"/>
                <w:szCs w:val="14"/>
                <w:color w:val="auto"/>
              </w:rPr>
              <w:t>provides independent Board leadership and oversight, including on</w:t>
            </w:r>
          </w:p>
        </w:tc>
        <w:tc>
          <w:tcPr>
            <w:tcW w:w="0" w:type="dxa"/>
            <w:vAlign w:val="bottom"/>
          </w:tcPr>
          <w:p>
            <w:pPr>
              <w:spacing w:after="0"/>
              <w:rPr>
                <w:sz w:val="1"/>
                <w:szCs w:val="1"/>
                <w:color w:val="auto"/>
              </w:rPr>
            </w:pPr>
          </w:p>
        </w:tc>
      </w:tr>
      <w:tr>
        <w:trPr>
          <w:trHeight w:val="162"/>
        </w:trPr>
        <w:tc>
          <w:tcPr>
            <w:tcW w:w="4500" w:type="dxa"/>
            <w:vAlign w:val="bottom"/>
            <w:gridSpan w:val="2"/>
            <w:shd w:val="clear" w:color="auto" w:fill="E0DBEA"/>
          </w:tcPr>
          <w:p>
            <w:pPr>
              <w:ind w:left="60"/>
              <w:spacing w:after="0"/>
              <w:rPr>
                <w:sz w:val="20"/>
                <w:szCs w:val="20"/>
                <w:color w:val="auto"/>
              </w:rPr>
            </w:pPr>
            <w:r>
              <w:rPr>
                <w:rFonts w:ascii="Arial" w:cs="Arial" w:eastAsia="Arial" w:hAnsi="Arial"/>
                <w:sz w:val="14"/>
                <w:szCs w:val="14"/>
                <w:color w:val="auto"/>
              </w:rPr>
              <w:t>considerable overlap with those typically performed by an</w:t>
            </w:r>
          </w:p>
        </w:tc>
        <w:tc>
          <w:tcPr>
            <w:tcW w:w="140" w:type="dxa"/>
            <w:vAlign w:val="bottom"/>
            <w:shd w:val="clear" w:color="auto" w:fill="E0DBEA"/>
          </w:tcPr>
          <w:p>
            <w:pPr>
              <w:spacing w:after="0"/>
              <w:rPr>
                <w:sz w:val="14"/>
                <w:szCs w:val="14"/>
                <w:color w:val="auto"/>
              </w:rPr>
            </w:pPr>
          </w:p>
        </w:tc>
        <w:tc>
          <w:tcPr>
            <w:tcW w:w="4400" w:type="dxa"/>
            <w:vAlign w:val="bottom"/>
            <w:shd w:val="clear" w:color="auto" w:fill="E0DBEA"/>
          </w:tcPr>
          <w:p>
            <w:pPr>
              <w:ind w:left="40"/>
              <w:spacing w:after="0"/>
              <w:rPr>
                <w:sz w:val="20"/>
                <w:szCs w:val="20"/>
                <w:color w:val="auto"/>
              </w:rPr>
            </w:pPr>
            <w:r>
              <w:rPr>
                <w:rFonts w:ascii="Arial" w:cs="Arial" w:eastAsia="Arial" w:hAnsi="Arial"/>
                <w:sz w:val="14"/>
                <w:szCs w:val="14"/>
                <w:color w:val="auto"/>
              </w:rPr>
              <w:t>business matters and risk management activities;</w:t>
            </w:r>
          </w:p>
        </w:tc>
        <w:tc>
          <w:tcPr>
            <w:tcW w:w="0" w:type="dxa"/>
            <w:vAlign w:val="bottom"/>
          </w:tcPr>
          <w:p>
            <w:pPr>
              <w:spacing w:after="0"/>
              <w:rPr>
                <w:sz w:val="1"/>
                <w:szCs w:val="1"/>
                <w:color w:val="auto"/>
              </w:rPr>
            </w:pPr>
          </w:p>
        </w:tc>
      </w:tr>
      <w:tr>
        <w:trPr>
          <w:trHeight w:val="180"/>
        </w:trPr>
        <w:tc>
          <w:tcPr>
            <w:tcW w:w="4500" w:type="dxa"/>
            <w:vAlign w:val="bottom"/>
            <w:gridSpan w:val="2"/>
            <w:shd w:val="clear" w:color="auto" w:fill="E0DBEA"/>
          </w:tcPr>
          <w:p>
            <w:pPr>
              <w:ind w:left="60"/>
              <w:spacing w:after="0"/>
              <w:rPr>
                <w:sz w:val="20"/>
                <w:szCs w:val="20"/>
                <w:color w:val="auto"/>
              </w:rPr>
            </w:pPr>
            <w:r>
              <w:rPr>
                <w:rFonts w:ascii="Arial" w:cs="Arial" w:eastAsia="Arial" w:hAnsi="Arial"/>
                <w:sz w:val="14"/>
                <w:szCs w:val="14"/>
                <w:color w:val="auto"/>
              </w:rPr>
              <w:t>independent Board Chair, including:</w:t>
            </w:r>
          </w:p>
        </w:tc>
        <w:tc>
          <w:tcPr>
            <w:tcW w:w="140" w:type="dxa"/>
            <w:vAlign w:val="bottom"/>
            <w:vMerge w:val="restart"/>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4400" w:type="dxa"/>
            <w:vAlign w:val="bottom"/>
            <w:vMerge w:val="restart"/>
            <w:shd w:val="clear" w:color="auto" w:fill="E0DBEA"/>
          </w:tcPr>
          <w:p>
            <w:pPr>
              <w:ind w:left="40"/>
              <w:spacing w:after="0"/>
              <w:rPr>
                <w:sz w:val="20"/>
                <w:szCs w:val="20"/>
                <w:color w:val="auto"/>
              </w:rPr>
            </w:pPr>
            <w:r>
              <w:rPr>
                <w:rFonts w:ascii="Arial" w:cs="Arial" w:eastAsia="Arial" w:hAnsi="Arial"/>
                <w:sz w:val="14"/>
                <w:szCs w:val="14"/>
                <w:color w:val="auto"/>
              </w:rPr>
              <w:t>enhances independent directors’ input and investors’ perspectives</w:t>
            </w:r>
          </w:p>
        </w:tc>
        <w:tc>
          <w:tcPr>
            <w:tcW w:w="0" w:type="dxa"/>
            <w:vAlign w:val="bottom"/>
          </w:tcPr>
          <w:p>
            <w:pPr>
              <w:spacing w:after="0"/>
              <w:rPr>
                <w:sz w:val="1"/>
                <w:szCs w:val="1"/>
                <w:color w:val="auto"/>
              </w:rPr>
            </w:pPr>
          </w:p>
        </w:tc>
      </w:tr>
      <w:tr>
        <w:trPr>
          <w:trHeight w:val="40"/>
        </w:trPr>
        <w:tc>
          <w:tcPr>
            <w:tcW w:w="160" w:type="dxa"/>
            <w:vAlign w:val="bottom"/>
            <w:vMerge w:val="restart"/>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4340" w:type="dxa"/>
            <w:vAlign w:val="bottom"/>
            <w:vMerge w:val="restart"/>
            <w:shd w:val="clear" w:color="auto" w:fill="E0DBEA"/>
          </w:tcPr>
          <w:p>
            <w:pPr>
              <w:ind w:left="40"/>
              <w:spacing w:after="0"/>
              <w:rPr>
                <w:sz w:val="20"/>
                <w:szCs w:val="20"/>
                <w:color w:val="auto"/>
              </w:rPr>
            </w:pPr>
            <w:r>
              <w:rPr>
                <w:rFonts w:ascii="Arial" w:cs="Arial" w:eastAsia="Arial" w:hAnsi="Arial"/>
                <w:sz w:val="14"/>
                <w:szCs w:val="14"/>
                <w:color w:val="auto"/>
              </w:rPr>
              <w:t>engages in planning and approval of meeting schedules</w:t>
            </w:r>
          </w:p>
        </w:tc>
        <w:tc>
          <w:tcPr>
            <w:tcW w:w="140" w:type="dxa"/>
            <w:vAlign w:val="bottom"/>
            <w:vMerge w:val="continue"/>
            <w:shd w:val="clear" w:color="auto" w:fill="E0DBEA"/>
          </w:tcPr>
          <w:p>
            <w:pPr>
              <w:spacing w:after="0"/>
              <w:rPr>
                <w:sz w:val="3"/>
                <w:szCs w:val="3"/>
                <w:color w:val="auto"/>
              </w:rPr>
            </w:pPr>
          </w:p>
        </w:tc>
        <w:tc>
          <w:tcPr>
            <w:tcW w:w="4400" w:type="dxa"/>
            <w:vAlign w:val="bottom"/>
            <w:vMerge w:val="continue"/>
            <w:shd w:val="clear" w:color="auto" w:fill="E0DBEA"/>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60" w:type="dxa"/>
            <w:vAlign w:val="bottom"/>
            <w:vMerge w:val="continue"/>
            <w:shd w:val="clear" w:color="auto" w:fill="E0DBEA"/>
          </w:tcPr>
          <w:p>
            <w:pPr>
              <w:spacing w:after="0"/>
              <w:rPr>
                <w:sz w:val="12"/>
                <w:szCs w:val="12"/>
                <w:color w:val="auto"/>
              </w:rPr>
            </w:pPr>
          </w:p>
        </w:tc>
        <w:tc>
          <w:tcPr>
            <w:tcW w:w="4340" w:type="dxa"/>
            <w:vAlign w:val="bottom"/>
            <w:vMerge w:val="continue"/>
            <w:shd w:val="clear" w:color="auto" w:fill="E0DBEA"/>
          </w:tcPr>
          <w:p>
            <w:pPr>
              <w:spacing w:after="0"/>
              <w:rPr>
                <w:sz w:val="12"/>
                <w:szCs w:val="12"/>
                <w:color w:val="auto"/>
              </w:rPr>
            </w:pPr>
          </w:p>
        </w:tc>
        <w:tc>
          <w:tcPr>
            <w:tcW w:w="140" w:type="dxa"/>
            <w:vAlign w:val="bottom"/>
            <w:shd w:val="clear" w:color="auto" w:fill="E0DBEA"/>
          </w:tcPr>
          <w:p>
            <w:pPr>
              <w:spacing w:after="0"/>
              <w:rPr>
                <w:sz w:val="12"/>
                <w:szCs w:val="12"/>
                <w:color w:val="auto"/>
              </w:rPr>
            </w:pPr>
          </w:p>
        </w:tc>
        <w:tc>
          <w:tcPr>
            <w:tcW w:w="4400" w:type="dxa"/>
            <w:vAlign w:val="bottom"/>
            <w:shd w:val="clear" w:color="auto" w:fill="E0DBEA"/>
          </w:tcPr>
          <w:p>
            <w:pPr>
              <w:ind w:left="40"/>
              <w:spacing w:after="0" w:line="145" w:lineRule="exact"/>
              <w:rPr>
                <w:sz w:val="20"/>
                <w:szCs w:val="20"/>
                <w:color w:val="auto"/>
              </w:rPr>
            </w:pPr>
            <w:r>
              <w:rPr>
                <w:rFonts w:ascii="Arial" w:cs="Arial" w:eastAsia="Arial" w:hAnsi="Arial"/>
                <w:sz w:val="14"/>
                <w:szCs w:val="14"/>
                <w:color w:val="auto"/>
              </w:rPr>
              <w:t>on agendas and discussions;</w:t>
            </w:r>
          </w:p>
        </w:tc>
        <w:tc>
          <w:tcPr>
            <w:tcW w:w="0" w:type="dxa"/>
            <w:vAlign w:val="bottom"/>
          </w:tcPr>
          <w:p>
            <w:pPr>
              <w:spacing w:after="0"/>
              <w:rPr>
                <w:sz w:val="1"/>
                <w:szCs w:val="1"/>
                <w:color w:val="auto"/>
              </w:rPr>
            </w:pPr>
          </w:p>
        </w:tc>
      </w:tr>
      <w:tr>
        <w:trPr>
          <w:trHeight w:val="180"/>
        </w:trPr>
        <w:tc>
          <w:tcPr>
            <w:tcW w:w="160" w:type="dxa"/>
            <w:vAlign w:val="bottom"/>
            <w:shd w:val="clear" w:color="auto" w:fill="E0DBEA"/>
          </w:tcPr>
          <w:p>
            <w:pPr>
              <w:spacing w:after="0"/>
              <w:rPr>
                <w:sz w:val="15"/>
                <w:szCs w:val="15"/>
                <w:color w:val="auto"/>
              </w:rPr>
            </w:pPr>
          </w:p>
        </w:tc>
        <w:tc>
          <w:tcPr>
            <w:tcW w:w="4340" w:type="dxa"/>
            <w:vAlign w:val="bottom"/>
            <w:shd w:val="clear" w:color="auto" w:fill="E0DBEA"/>
          </w:tcPr>
          <w:p>
            <w:pPr>
              <w:ind w:left="40"/>
              <w:spacing w:after="0"/>
              <w:rPr>
                <w:sz w:val="20"/>
                <w:szCs w:val="20"/>
                <w:color w:val="auto"/>
              </w:rPr>
            </w:pPr>
            <w:r>
              <w:rPr>
                <w:rFonts w:ascii="Arial" w:cs="Arial" w:eastAsia="Arial" w:hAnsi="Arial"/>
                <w:sz w:val="14"/>
                <w:szCs w:val="14"/>
                <w:color w:val="auto"/>
              </w:rPr>
              <w:t>and agendas;</w:t>
            </w:r>
          </w:p>
        </w:tc>
        <w:tc>
          <w:tcPr>
            <w:tcW w:w="140" w:type="dxa"/>
            <w:vAlign w:val="bottom"/>
            <w:vMerge w:val="restart"/>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4400" w:type="dxa"/>
            <w:vAlign w:val="bottom"/>
            <w:vMerge w:val="restart"/>
            <w:shd w:val="clear" w:color="auto" w:fill="E0DBEA"/>
          </w:tcPr>
          <w:p>
            <w:pPr>
              <w:ind w:left="40"/>
              <w:spacing w:after="0"/>
              <w:rPr>
                <w:sz w:val="20"/>
                <w:szCs w:val="20"/>
                <w:color w:val="auto"/>
              </w:rPr>
            </w:pPr>
            <w:r>
              <w:rPr>
                <w:rFonts w:ascii="Arial" w:cs="Arial" w:eastAsia="Arial" w:hAnsi="Arial"/>
                <w:sz w:val="14"/>
                <w:szCs w:val="14"/>
                <w:color w:val="auto"/>
              </w:rPr>
              <w:t>fosters candid discussion during regular executive sessions of the</w:t>
            </w:r>
          </w:p>
        </w:tc>
        <w:tc>
          <w:tcPr>
            <w:tcW w:w="0" w:type="dxa"/>
            <w:vAlign w:val="bottom"/>
          </w:tcPr>
          <w:p>
            <w:pPr>
              <w:spacing w:after="0"/>
              <w:rPr>
                <w:sz w:val="1"/>
                <w:szCs w:val="1"/>
                <w:color w:val="auto"/>
              </w:rPr>
            </w:pPr>
          </w:p>
        </w:tc>
      </w:tr>
      <w:tr>
        <w:trPr>
          <w:trHeight w:val="41"/>
        </w:trPr>
        <w:tc>
          <w:tcPr>
            <w:tcW w:w="160" w:type="dxa"/>
            <w:vAlign w:val="bottom"/>
            <w:vMerge w:val="restart"/>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4340" w:type="dxa"/>
            <w:vAlign w:val="bottom"/>
            <w:vMerge w:val="restart"/>
            <w:shd w:val="clear" w:color="auto" w:fill="E0DBEA"/>
          </w:tcPr>
          <w:p>
            <w:pPr>
              <w:ind w:left="40"/>
              <w:spacing w:after="0"/>
              <w:rPr>
                <w:sz w:val="20"/>
                <w:szCs w:val="20"/>
                <w:color w:val="auto"/>
              </w:rPr>
            </w:pPr>
            <w:r>
              <w:rPr>
                <w:rFonts w:ascii="Arial" w:cs="Arial" w:eastAsia="Arial" w:hAnsi="Arial"/>
                <w:sz w:val="14"/>
                <w:szCs w:val="14"/>
                <w:color w:val="auto"/>
              </w:rPr>
              <w:t>presides over regular executive sessions of independent directors;</w:t>
            </w:r>
          </w:p>
        </w:tc>
        <w:tc>
          <w:tcPr>
            <w:tcW w:w="140" w:type="dxa"/>
            <w:vAlign w:val="bottom"/>
            <w:vMerge w:val="continue"/>
            <w:shd w:val="clear" w:color="auto" w:fill="E0DBEA"/>
          </w:tcPr>
          <w:p>
            <w:pPr>
              <w:spacing w:after="0"/>
              <w:rPr>
                <w:sz w:val="3"/>
                <w:szCs w:val="3"/>
                <w:color w:val="auto"/>
              </w:rPr>
            </w:pPr>
          </w:p>
        </w:tc>
        <w:tc>
          <w:tcPr>
            <w:tcW w:w="4400" w:type="dxa"/>
            <w:vAlign w:val="bottom"/>
            <w:vMerge w:val="continue"/>
            <w:shd w:val="clear" w:color="auto" w:fill="E0DBEA"/>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60" w:type="dxa"/>
            <w:vAlign w:val="bottom"/>
            <w:vMerge w:val="continue"/>
            <w:shd w:val="clear" w:color="auto" w:fill="E0DBEA"/>
          </w:tcPr>
          <w:p>
            <w:pPr>
              <w:spacing w:after="0"/>
              <w:rPr>
                <w:sz w:val="14"/>
                <w:szCs w:val="14"/>
                <w:color w:val="auto"/>
              </w:rPr>
            </w:pPr>
          </w:p>
        </w:tc>
        <w:tc>
          <w:tcPr>
            <w:tcW w:w="4340" w:type="dxa"/>
            <w:vAlign w:val="bottom"/>
            <w:vMerge w:val="continue"/>
            <w:shd w:val="clear" w:color="auto" w:fill="E0DBEA"/>
          </w:tcPr>
          <w:p>
            <w:pPr>
              <w:spacing w:after="0"/>
              <w:rPr>
                <w:sz w:val="14"/>
                <w:szCs w:val="14"/>
                <w:color w:val="auto"/>
              </w:rPr>
            </w:pPr>
          </w:p>
        </w:tc>
        <w:tc>
          <w:tcPr>
            <w:tcW w:w="140" w:type="dxa"/>
            <w:vAlign w:val="bottom"/>
            <w:shd w:val="clear" w:color="auto" w:fill="E0DBEA"/>
          </w:tcPr>
          <w:p>
            <w:pPr>
              <w:spacing w:after="0"/>
              <w:rPr>
                <w:sz w:val="14"/>
                <w:szCs w:val="14"/>
                <w:color w:val="auto"/>
              </w:rPr>
            </w:pPr>
          </w:p>
        </w:tc>
        <w:tc>
          <w:tcPr>
            <w:tcW w:w="4400" w:type="dxa"/>
            <w:vAlign w:val="bottom"/>
            <w:shd w:val="clear" w:color="auto" w:fill="E0DBEA"/>
          </w:tcPr>
          <w:p>
            <w:pPr>
              <w:ind w:left="40"/>
              <w:spacing w:after="0"/>
              <w:rPr>
                <w:sz w:val="20"/>
                <w:szCs w:val="20"/>
                <w:color w:val="auto"/>
              </w:rPr>
            </w:pPr>
            <w:r>
              <w:rPr>
                <w:rFonts w:ascii="Arial" w:cs="Arial" w:eastAsia="Arial" w:hAnsi="Arial"/>
                <w:sz w:val="14"/>
                <w:szCs w:val="14"/>
                <w:color w:val="auto"/>
              </w:rPr>
              <w:t>independent directors;</w:t>
            </w:r>
          </w:p>
        </w:tc>
        <w:tc>
          <w:tcPr>
            <w:tcW w:w="0" w:type="dxa"/>
            <w:vAlign w:val="bottom"/>
          </w:tcPr>
          <w:p>
            <w:pPr>
              <w:spacing w:after="0"/>
              <w:rPr>
                <w:sz w:val="1"/>
                <w:szCs w:val="1"/>
                <w:color w:val="auto"/>
              </w:rPr>
            </w:pPr>
          </w:p>
        </w:tc>
      </w:tr>
      <w:tr>
        <w:trPr>
          <w:trHeight w:val="185"/>
        </w:trPr>
        <w:tc>
          <w:tcPr>
            <w:tcW w:w="16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4340" w:type="dxa"/>
            <w:vAlign w:val="bottom"/>
            <w:shd w:val="clear" w:color="auto" w:fill="E0DBEA"/>
          </w:tcPr>
          <w:p>
            <w:pPr>
              <w:ind w:left="40"/>
              <w:spacing w:after="0"/>
              <w:rPr>
                <w:sz w:val="20"/>
                <w:szCs w:val="20"/>
                <w:color w:val="auto"/>
              </w:rPr>
            </w:pPr>
            <w:r>
              <w:rPr>
                <w:rFonts w:ascii="Arial" w:cs="Arial" w:eastAsia="Arial" w:hAnsi="Arial"/>
                <w:sz w:val="14"/>
                <w:szCs w:val="14"/>
                <w:color w:val="auto"/>
              </w:rPr>
              <w:t>provides input into the design of the annual Board, committee, and</w:t>
            </w:r>
          </w:p>
        </w:tc>
        <w:tc>
          <w:tcPr>
            <w:tcW w:w="14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4400" w:type="dxa"/>
            <w:vAlign w:val="bottom"/>
            <w:shd w:val="clear" w:color="auto" w:fill="E0DBEA"/>
          </w:tcPr>
          <w:p>
            <w:pPr>
              <w:ind w:left="40"/>
              <w:spacing w:after="0"/>
              <w:rPr>
                <w:sz w:val="20"/>
                <w:szCs w:val="20"/>
                <w:color w:val="auto"/>
              </w:rPr>
            </w:pPr>
            <w:r>
              <w:rPr>
                <w:rFonts w:ascii="Arial" w:cs="Arial" w:eastAsia="Arial" w:hAnsi="Arial"/>
                <w:sz w:val="14"/>
                <w:szCs w:val="14"/>
                <w:color w:val="auto"/>
              </w:rPr>
              <w:t>facilitates effective communication and interaction between the</w:t>
            </w:r>
          </w:p>
        </w:tc>
        <w:tc>
          <w:tcPr>
            <w:tcW w:w="0" w:type="dxa"/>
            <w:vAlign w:val="bottom"/>
          </w:tcPr>
          <w:p>
            <w:pPr>
              <w:spacing w:after="0"/>
              <w:rPr>
                <w:sz w:val="1"/>
                <w:szCs w:val="1"/>
                <w:color w:val="auto"/>
              </w:rPr>
            </w:pPr>
          </w:p>
        </w:tc>
      </w:tr>
      <w:tr>
        <w:trPr>
          <w:trHeight w:val="180"/>
        </w:trPr>
        <w:tc>
          <w:tcPr>
            <w:tcW w:w="160" w:type="dxa"/>
            <w:vAlign w:val="bottom"/>
            <w:shd w:val="clear" w:color="auto" w:fill="E0DBEA"/>
          </w:tcPr>
          <w:p>
            <w:pPr>
              <w:spacing w:after="0"/>
              <w:rPr>
                <w:sz w:val="15"/>
                <w:szCs w:val="15"/>
                <w:color w:val="auto"/>
              </w:rPr>
            </w:pPr>
          </w:p>
        </w:tc>
        <w:tc>
          <w:tcPr>
            <w:tcW w:w="4340" w:type="dxa"/>
            <w:vAlign w:val="bottom"/>
            <w:shd w:val="clear" w:color="auto" w:fill="E0DBEA"/>
          </w:tcPr>
          <w:p>
            <w:pPr>
              <w:ind w:left="40"/>
              <w:spacing w:after="0"/>
              <w:rPr>
                <w:sz w:val="20"/>
                <w:szCs w:val="20"/>
                <w:color w:val="auto"/>
              </w:rPr>
            </w:pPr>
            <w:r>
              <w:rPr>
                <w:rFonts w:ascii="Arial" w:cs="Arial" w:eastAsia="Arial" w:hAnsi="Arial"/>
                <w:sz w:val="14"/>
                <w:szCs w:val="14"/>
                <w:color w:val="auto"/>
              </w:rPr>
              <w:t>individual director self-evaluation process;</w:t>
            </w:r>
          </w:p>
        </w:tc>
        <w:tc>
          <w:tcPr>
            <w:tcW w:w="140" w:type="dxa"/>
            <w:vAlign w:val="bottom"/>
            <w:shd w:val="clear" w:color="auto" w:fill="E0DBEA"/>
          </w:tcPr>
          <w:p>
            <w:pPr>
              <w:spacing w:after="0"/>
              <w:rPr>
                <w:sz w:val="15"/>
                <w:szCs w:val="15"/>
                <w:color w:val="auto"/>
              </w:rPr>
            </w:pPr>
          </w:p>
        </w:tc>
        <w:tc>
          <w:tcPr>
            <w:tcW w:w="4400" w:type="dxa"/>
            <w:vAlign w:val="bottom"/>
            <w:shd w:val="clear" w:color="auto" w:fill="E0DBEA"/>
          </w:tcPr>
          <w:p>
            <w:pPr>
              <w:ind w:left="40"/>
              <w:spacing w:after="0"/>
              <w:rPr>
                <w:sz w:val="20"/>
                <w:szCs w:val="20"/>
                <w:color w:val="auto"/>
              </w:rPr>
            </w:pPr>
            <w:r>
              <w:rPr>
                <w:rFonts w:ascii="Arial" w:cs="Arial" w:eastAsia="Arial" w:hAnsi="Arial"/>
                <w:sz w:val="14"/>
                <w:szCs w:val="14"/>
                <w:color w:val="auto"/>
              </w:rPr>
              <w:t>Board and management;</w:t>
            </w:r>
          </w:p>
        </w:tc>
        <w:tc>
          <w:tcPr>
            <w:tcW w:w="0" w:type="dxa"/>
            <w:vAlign w:val="bottom"/>
          </w:tcPr>
          <w:p>
            <w:pPr>
              <w:spacing w:after="0"/>
              <w:rPr>
                <w:sz w:val="1"/>
                <w:szCs w:val="1"/>
                <w:color w:val="auto"/>
              </w:rPr>
            </w:pPr>
          </w:p>
        </w:tc>
      </w:tr>
      <w:tr>
        <w:trPr>
          <w:trHeight w:val="203"/>
        </w:trPr>
        <w:tc>
          <w:tcPr>
            <w:tcW w:w="16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4340" w:type="dxa"/>
            <w:vAlign w:val="bottom"/>
            <w:shd w:val="clear" w:color="auto" w:fill="E0DBEA"/>
          </w:tcPr>
          <w:p>
            <w:pPr>
              <w:ind w:left="40"/>
              <w:spacing w:after="0"/>
              <w:rPr>
                <w:sz w:val="20"/>
                <w:szCs w:val="20"/>
                <w:color w:val="auto"/>
              </w:rPr>
            </w:pPr>
            <w:r>
              <w:rPr>
                <w:rFonts w:ascii="Arial" w:cs="Arial" w:eastAsia="Arial" w:hAnsi="Arial"/>
                <w:sz w:val="14"/>
                <w:szCs w:val="14"/>
                <w:color w:val="auto"/>
              </w:rPr>
              <w:t>serves as an alternate member of all Board committees;</w:t>
            </w:r>
          </w:p>
        </w:tc>
        <w:tc>
          <w:tcPr>
            <w:tcW w:w="14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4400" w:type="dxa"/>
            <w:vAlign w:val="bottom"/>
            <w:shd w:val="clear" w:color="auto" w:fill="E0DBEA"/>
          </w:tcPr>
          <w:p>
            <w:pPr>
              <w:ind w:left="40"/>
              <w:spacing w:after="0"/>
              <w:rPr>
                <w:sz w:val="20"/>
                <w:szCs w:val="20"/>
                <w:color w:val="auto"/>
              </w:rPr>
            </w:pPr>
            <w:r>
              <w:rPr>
                <w:rFonts w:ascii="Arial" w:cs="Arial" w:eastAsia="Arial" w:hAnsi="Arial"/>
                <w:sz w:val="14"/>
                <w:szCs w:val="14"/>
                <w:color w:val="auto"/>
              </w:rPr>
              <w:t>serves as a liaison between the independent directors and the</w:t>
            </w:r>
          </w:p>
        </w:tc>
        <w:tc>
          <w:tcPr>
            <w:tcW w:w="0" w:type="dxa"/>
            <w:vAlign w:val="bottom"/>
          </w:tcPr>
          <w:p>
            <w:pPr>
              <w:spacing w:after="0"/>
              <w:rPr>
                <w:sz w:val="1"/>
                <w:szCs w:val="1"/>
                <w:color w:val="auto"/>
              </w:rPr>
            </w:pPr>
          </w:p>
        </w:tc>
      </w:tr>
      <w:tr>
        <w:trPr>
          <w:trHeight w:val="162"/>
        </w:trPr>
        <w:tc>
          <w:tcPr>
            <w:tcW w:w="16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4340" w:type="dxa"/>
            <w:vAlign w:val="bottom"/>
            <w:shd w:val="clear" w:color="auto" w:fill="E0DBEA"/>
          </w:tcPr>
          <w:p>
            <w:pPr>
              <w:ind w:left="40"/>
              <w:spacing w:after="0"/>
              <w:rPr>
                <w:sz w:val="20"/>
                <w:szCs w:val="20"/>
                <w:color w:val="auto"/>
              </w:rPr>
            </w:pPr>
            <w:r>
              <w:rPr>
                <w:rFonts w:ascii="Arial" w:cs="Arial" w:eastAsia="Arial" w:hAnsi="Arial"/>
                <w:sz w:val="14"/>
                <w:szCs w:val="14"/>
                <w:color w:val="auto"/>
              </w:rPr>
              <w:t>conducts the annual Board and individual director self-evaluation</w:t>
            </w:r>
          </w:p>
        </w:tc>
        <w:tc>
          <w:tcPr>
            <w:tcW w:w="140" w:type="dxa"/>
            <w:vAlign w:val="bottom"/>
            <w:shd w:val="clear" w:color="auto" w:fill="E0DBEA"/>
          </w:tcPr>
          <w:p>
            <w:pPr>
              <w:spacing w:after="0"/>
              <w:rPr>
                <w:sz w:val="14"/>
                <w:szCs w:val="14"/>
                <w:color w:val="auto"/>
              </w:rPr>
            </w:pPr>
          </w:p>
        </w:tc>
        <w:tc>
          <w:tcPr>
            <w:tcW w:w="4400" w:type="dxa"/>
            <w:vAlign w:val="bottom"/>
            <w:shd w:val="clear" w:color="auto" w:fill="E0DBEA"/>
          </w:tcPr>
          <w:p>
            <w:pPr>
              <w:ind w:left="40"/>
              <w:spacing w:after="0"/>
              <w:rPr>
                <w:sz w:val="20"/>
                <w:szCs w:val="20"/>
                <w:color w:val="auto"/>
              </w:rPr>
            </w:pPr>
            <w:r>
              <w:rPr>
                <w:rFonts w:ascii="Arial" w:cs="Arial" w:eastAsia="Arial" w:hAnsi="Arial"/>
                <w:sz w:val="14"/>
                <w:szCs w:val="14"/>
                <w:color w:val="auto"/>
              </w:rPr>
              <w:t>Chair and CEO; and</w:t>
            </w:r>
          </w:p>
        </w:tc>
        <w:tc>
          <w:tcPr>
            <w:tcW w:w="0" w:type="dxa"/>
            <w:vAlign w:val="bottom"/>
          </w:tcPr>
          <w:p>
            <w:pPr>
              <w:spacing w:after="0"/>
              <w:rPr>
                <w:sz w:val="1"/>
                <w:szCs w:val="1"/>
                <w:color w:val="auto"/>
              </w:rPr>
            </w:pPr>
          </w:p>
        </w:tc>
      </w:tr>
      <w:tr>
        <w:trPr>
          <w:trHeight w:val="203"/>
        </w:trPr>
        <w:tc>
          <w:tcPr>
            <w:tcW w:w="160" w:type="dxa"/>
            <w:vAlign w:val="bottom"/>
            <w:shd w:val="clear" w:color="auto" w:fill="E0DBEA"/>
          </w:tcPr>
          <w:p>
            <w:pPr>
              <w:spacing w:after="0"/>
              <w:rPr>
                <w:sz w:val="17"/>
                <w:szCs w:val="17"/>
                <w:color w:val="auto"/>
              </w:rPr>
            </w:pPr>
          </w:p>
        </w:tc>
        <w:tc>
          <w:tcPr>
            <w:tcW w:w="4340" w:type="dxa"/>
            <w:vAlign w:val="bottom"/>
            <w:shd w:val="clear" w:color="auto" w:fill="E0DBEA"/>
          </w:tcPr>
          <w:p>
            <w:pPr>
              <w:ind w:left="40"/>
              <w:spacing w:after="0"/>
              <w:rPr>
                <w:sz w:val="20"/>
                <w:szCs w:val="20"/>
                <w:color w:val="auto"/>
              </w:rPr>
            </w:pPr>
            <w:r>
              <w:rPr>
                <w:rFonts w:ascii="Arial" w:cs="Arial" w:eastAsia="Arial" w:hAnsi="Arial"/>
                <w:sz w:val="14"/>
                <w:szCs w:val="14"/>
                <w:color w:val="auto"/>
              </w:rPr>
              <w:t>process in coordination with the Governance Committee; and</w:t>
            </w:r>
          </w:p>
        </w:tc>
        <w:tc>
          <w:tcPr>
            <w:tcW w:w="14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4400" w:type="dxa"/>
            <w:vAlign w:val="bottom"/>
            <w:shd w:val="clear" w:color="auto" w:fill="E0DBEA"/>
          </w:tcPr>
          <w:p>
            <w:pPr>
              <w:ind w:left="40"/>
              <w:spacing w:after="0"/>
              <w:rPr>
                <w:sz w:val="20"/>
                <w:szCs w:val="20"/>
                <w:color w:val="auto"/>
              </w:rPr>
            </w:pPr>
            <w:r>
              <w:rPr>
                <w:rFonts w:ascii="Arial" w:cs="Arial" w:eastAsia="Arial" w:hAnsi="Arial"/>
                <w:sz w:val="14"/>
                <w:szCs w:val="14"/>
                <w:color w:val="auto"/>
              </w:rPr>
              <w:t>provides feedback to management regarding Board concerns and</w:t>
            </w:r>
          </w:p>
        </w:tc>
        <w:tc>
          <w:tcPr>
            <w:tcW w:w="0" w:type="dxa"/>
            <w:vAlign w:val="bottom"/>
          </w:tcPr>
          <w:p>
            <w:pPr>
              <w:spacing w:after="0"/>
              <w:rPr>
                <w:sz w:val="1"/>
                <w:szCs w:val="1"/>
                <w:color w:val="auto"/>
              </w:rPr>
            </w:pPr>
          </w:p>
        </w:tc>
      </w:tr>
      <w:tr>
        <w:trPr>
          <w:trHeight w:val="190"/>
        </w:trPr>
        <w:tc>
          <w:tcPr>
            <w:tcW w:w="16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4340" w:type="dxa"/>
            <w:vAlign w:val="bottom"/>
            <w:shd w:val="clear" w:color="auto" w:fill="E0DBEA"/>
          </w:tcPr>
          <w:p>
            <w:pPr>
              <w:ind w:left="40"/>
              <w:spacing w:after="0"/>
              <w:rPr>
                <w:sz w:val="20"/>
                <w:szCs w:val="20"/>
                <w:color w:val="auto"/>
              </w:rPr>
            </w:pPr>
            <w:r>
              <w:rPr>
                <w:rFonts w:ascii="Arial" w:cs="Arial" w:eastAsia="Arial" w:hAnsi="Arial"/>
                <w:sz w:val="14"/>
                <w:szCs w:val="14"/>
                <w:color w:val="auto"/>
              </w:rPr>
              <w:t>consults with shareholders.</w:t>
            </w:r>
          </w:p>
        </w:tc>
        <w:tc>
          <w:tcPr>
            <w:tcW w:w="140" w:type="dxa"/>
            <w:vAlign w:val="bottom"/>
            <w:shd w:val="clear" w:color="auto" w:fill="E0DBEA"/>
          </w:tcPr>
          <w:p>
            <w:pPr>
              <w:spacing w:after="0"/>
              <w:rPr>
                <w:sz w:val="16"/>
                <w:szCs w:val="16"/>
                <w:color w:val="auto"/>
              </w:rPr>
            </w:pPr>
          </w:p>
        </w:tc>
        <w:tc>
          <w:tcPr>
            <w:tcW w:w="4400" w:type="dxa"/>
            <w:vAlign w:val="bottom"/>
            <w:shd w:val="clear" w:color="auto" w:fill="E0DBEA"/>
          </w:tcPr>
          <w:p>
            <w:pPr>
              <w:ind w:left="40"/>
              <w:spacing w:after="0"/>
              <w:rPr>
                <w:sz w:val="20"/>
                <w:szCs w:val="20"/>
                <w:color w:val="auto"/>
              </w:rPr>
            </w:pPr>
            <w:r>
              <w:rPr>
                <w:rFonts w:ascii="Arial" w:cs="Arial" w:eastAsia="Arial" w:hAnsi="Arial"/>
                <w:sz w:val="14"/>
                <w:szCs w:val="14"/>
                <w:color w:val="auto"/>
              </w:rPr>
              <w:t>information needs.</w:t>
            </w:r>
          </w:p>
        </w:tc>
        <w:tc>
          <w:tcPr>
            <w:tcW w:w="0" w:type="dxa"/>
            <w:vAlign w:val="bottom"/>
          </w:tcPr>
          <w:p>
            <w:pPr>
              <w:spacing w:after="0"/>
              <w:rPr>
                <w:sz w:val="1"/>
                <w:szCs w:val="1"/>
                <w:color w:val="auto"/>
              </w:rPr>
            </w:pPr>
          </w:p>
        </w:tc>
      </w:tr>
      <w:tr>
        <w:trPr>
          <w:trHeight w:val="62"/>
        </w:trPr>
        <w:tc>
          <w:tcPr>
            <w:tcW w:w="4500" w:type="dxa"/>
            <w:vAlign w:val="bottom"/>
            <w:tcBorders>
              <w:bottom w:val="single" w:sz="8" w:color="582C83"/>
            </w:tcBorders>
            <w:gridSpan w:val="2"/>
            <w:shd w:val="clear" w:color="auto" w:fill="E0DBEA"/>
          </w:tcPr>
          <w:p>
            <w:pPr>
              <w:spacing w:after="0"/>
              <w:rPr>
                <w:sz w:val="5"/>
                <w:szCs w:val="5"/>
                <w:color w:val="auto"/>
              </w:rPr>
            </w:pPr>
          </w:p>
        </w:tc>
        <w:tc>
          <w:tcPr>
            <w:tcW w:w="140" w:type="dxa"/>
            <w:vAlign w:val="bottom"/>
            <w:tcBorders>
              <w:bottom w:val="single" w:sz="8" w:color="582C83"/>
            </w:tcBorders>
            <w:shd w:val="clear" w:color="auto" w:fill="E0DBEA"/>
          </w:tcPr>
          <w:p>
            <w:pPr>
              <w:spacing w:after="0"/>
              <w:rPr>
                <w:sz w:val="5"/>
                <w:szCs w:val="5"/>
                <w:color w:val="auto"/>
              </w:rPr>
            </w:pPr>
          </w:p>
        </w:tc>
        <w:tc>
          <w:tcPr>
            <w:tcW w:w="4400" w:type="dxa"/>
            <w:vAlign w:val="bottom"/>
            <w:tcBorders>
              <w:bottom w:val="single" w:sz="8" w:color="582C83"/>
            </w:tcBorders>
            <w:shd w:val="clear" w:color="auto" w:fill="E0DBEA"/>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4500" w:type="dxa"/>
            <w:vAlign w:val="bottom"/>
            <w:gridSpan w:val="2"/>
          </w:tcPr>
          <w:p>
            <w:pPr>
              <w:ind w:left="60"/>
              <w:spacing w:after="0"/>
              <w:rPr>
                <w:sz w:val="20"/>
                <w:szCs w:val="20"/>
                <w:color w:val="auto"/>
              </w:rPr>
            </w:pPr>
            <w:r>
              <w:rPr>
                <w:rFonts w:ascii="Arial" w:cs="Arial" w:eastAsia="Arial" w:hAnsi="Arial"/>
                <w:sz w:val="14"/>
                <w:szCs w:val="14"/>
                <w:color w:val="auto"/>
              </w:rPr>
              <w:t>Majority Independent Board.</w:t>
            </w:r>
          </w:p>
        </w:tc>
        <w:tc>
          <w:tcPr>
            <w:tcW w:w="140" w:type="dxa"/>
            <w:vAlign w:val="bottom"/>
          </w:tcPr>
          <w:p>
            <w:pPr>
              <w:ind w:left="60"/>
              <w:spacing w:after="0"/>
              <w:rPr>
                <w:sz w:val="20"/>
                <w:szCs w:val="20"/>
                <w:color w:val="auto"/>
              </w:rPr>
            </w:pPr>
            <w:r>
              <w:rPr>
                <w:rFonts w:ascii="Arial" w:cs="Arial" w:eastAsia="Arial" w:hAnsi="Arial"/>
                <w:sz w:val="17"/>
                <w:szCs w:val="17"/>
                <w:color w:val="582C83"/>
              </w:rPr>
              <w:t>•</w:t>
            </w:r>
          </w:p>
        </w:tc>
        <w:tc>
          <w:tcPr>
            <w:tcW w:w="4400" w:type="dxa"/>
            <w:vAlign w:val="bottom"/>
          </w:tcPr>
          <w:p>
            <w:pPr>
              <w:ind w:left="40"/>
              <w:spacing w:after="0"/>
              <w:rPr>
                <w:sz w:val="20"/>
                <w:szCs w:val="20"/>
                <w:color w:val="auto"/>
              </w:rPr>
            </w:pPr>
            <w:r>
              <w:rPr>
                <w:rFonts w:ascii="Arial" w:cs="Arial" w:eastAsia="Arial" w:hAnsi="Arial"/>
                <w:sz w:val="14"/>
                <w:szCs w:val="14"/>
                <w:color w:val="auto"/>
              </w:rPr>
              <w:t>Provides independent Board oversight of management on behalf</w:t>
            </w:r>
          </w:p>
        </w:tc>
        <w:tc>
          <w:tcPr>
            <w:tcW w:w="0" w:type="dxa"/>
            <w:vAlign w:val="bottom"/>
          </w:tcPr>
          <w:p>
            <w:pPr>
              <w:spacing w:after="0"/>
              <w:rPr>
                <w:sz w:val="1"/>
                <w:szCs w:val="1"/>
                <w:color w:val="auto"/>
              </w:rPr>
            </w:pPr>
          </w:p>
        </w:tc>
      </w:tr>
      <w:tr>
        <w:trPr>
          <w:trHeight w:val="176"/>
        </w:trPr>
        <w:tc>
          <w:tcPr>
            <w:tcW w:w="160" w:type="dxa"/>
            <w:vAlign w:val="bottom"/>
          </w:tcPr>
          <w:p>
            <w:pPr>
              <w:ind w:left="60"/>
              <w:spacing w:after="0"/>
              <w:rPr>
                <w:sz w:val="20"/>
                <w:szCs w:val="20"/>
                <w:color w:val="auto"/>
              </w:rPr>
            </w:pPr>
            <w:r>
              <w:rPr>
                <w:rFonts w:ascii="Arial" w:cs="Arial" w:eastAsia="Arial" w:hAnsi="Arial"/>
                <w:sz w:val="14"/>
                <w:szCs w:val="14"/>
                <w:color w:val="582C83"/>
              </w:rPr>
              <w:t>•</w:t>
            </w:r>
          </w:p>
        </w:tc>
        <w:tc>
          <w:tcPr>
            <w:tcW w:w="4340" w:type="dxa"/>
            <w:vAlign w:val="bottom"/>
          </w:tcPr>
          <w:p>
            <w:pPr>
              <w:ind w:left="40"/>
              <w:spacing w:after="0"/>
              <w:rPr>
                <w:sz w:val="20"/>
                <w:szCs w:val="20"/>
                <w:color w:val="auto"/>
              </w:rPr>
            </w:pPr>
            <w:r>
              <w:rPr>
                <w:rFonts w:ascii="Arial" w:cs="Arial" w:eastAsia="Arial" w:hAnsi="Arial"/>
                <w:sz w:val="14"/>
                <w:szCs w:val="14"/>
                <w:color w:val="auto"/>
              </w:rPr>
              <w:t>At least 80% of our directors must meet the independence</w:t>
            </w:r>
          </w:p>
        </w:tc>
        <w:tc>
          <w:tcPr>
            <w:tcW w:w="14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Arial" w:cs="Arial" w:eastAsia="Arial" w:hAnsi="Arial"/>
                <w:sz w:val="14"/>
                <w:szCs w:val="14"/>
                <w:color w:val="auto"/>
              </w:rPr>
              <w:t>of shareholders.</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4"/>
                <w:szCs w:val="14"/>
                <w:color w:val="auto"/>
              </w:rPr>
              <w:t>requirements prescribed by Nasdaq listing standards.</w:t>
            </w:r>
          </w:p>
        </w:tc>
        <w:tc>
          <w:tcPr>
            <w:tcW w:w="140" w:type="dxa"/>
            <w:vAlign w:val="bottom"/>
          </w:tcPr>
          <w:p>
            <w:pPr>
              <w:ind w:left="60"/>
              <w:spacing w:after="0"/>
              <w:rPr>
                <w:sz w:val="20"/>
                <w:szCs w:val="20"/>
                <w:color w:val="auto"/>
              </w:rPr>
            </w:pPr>
            <w:r>
              <w:rPr>
                <w:rFonts w:ascii="Arial" w:cs="Arial" w:eastAsia="Arial" w:hAnsi="Arial"/>
                <w:sz w:val="17"/>
                <w:szCs w:val="17"/>
                <w:color w:val="582C83"/>
              </w:rPr>
              <w:t>•</w:t>
            </w:r>
          </w:p>
        </w:tc>
        <w:tc>
          <w:tcPr>
            <w:tcW w:w="4400" w:type="dxa"/>
            <w:vAlign w:val="bottom"/>
          </w:tcPr>
          <w:p>
            <w:pPr>
              <w:ind w:left="40"/>
              <w:spacing w:after="0"/>
              <w:rPr>
                <w:sz w:val="20"/>
                <w:szCs w:val="20"/>
                <w:color w:val="auto"/>
              </w:rPr>
            </w:pPr>
            <w:r>
              <w:rPr>
                <w:rFonts w:ascii="Arial" w:cs="Arial" w:eastAsia="Arial" w:hAnsi="Arial"/>
                <w:sz w:val="14"/>
                <w:szCs w:val="14"/>
                <w:color w:val="auto"/>
              </w:rPr>
              <w:t>Board composed entirely of independent directors, with the</w:t>
            </w:r>
          </w:p>
        </w:tc>
        <w:tc>
          <w:tcPr>
            <w:tcW w:w="0" w:type="dxa"/>
            <w:vAlign w:val="bottom"/>
          </w:tcPr>
          <w:p>
            <w:pPr>
              <w:spacing w:after="0"/>
              <w:rPr>
                <w:sz w:val="1"/>
                <w:szCs w:val="1"/>
                <w:color w:val="auto"/>
              </w:rPr>
            </w:pPr>
          </w:p>
        </w:tc>
      </w:tr>
      <w:tr>
        <w:trPr>
          <w:trHeight w:val="171"/>
        </w:trPr>
        <w:tc>
          <w:tcPr>
            <w:tcW w:w="160" w:type="dxa"/>
            <w:vAlign w:val="bottom"/>
          </w:tcPr>
          <w:p>
            <w:pPr>
              <w:ind w:left="60"/>
              <w:spacing w:after="0"/>
              <w:rPr>
                <w:sz w:val="20"/>
                <w:szCs w:val="20"/>
                <w:color w:val="auto"/>
              </w:rPr>
            </w:pPr>
            <w:r>
              <w:rPr>
                <w:rFonts w:ascii="Arial" w:cs="Arial" w:eastAsia="Arial" w:hAnsi="Arial"/>
                <w:sz w:val="14"/>
                <w:szCs w:val="14"/>
                <w:color w:val="582C83"/>
              </w:rPr>
              <w:t>•</w:t>
            </w:r>
          </w:p>
        </w:tc>
        <w:tc>
          <w:tcPr>
            <w:tcW w:w="4340" w:type="dxa"/>
            <w:vAlign w:val="bottom"/>
          </w:tcPr>
          <w:p>
            <w:pPr>
              <w:ind w:left="40"/>
              <w:spacing w:after="0"/>
              <w:rPr>
                <w:sz w:val="20"/>
                <w:szCs w:val="20"/>
                <w:color w:val="auto"/>
              </w:rPr>
            </w:pPr>
            <w:r>
              <w:rPr>
                <w:rFonts w:ascii="Arial" w:cs="Arial" w:eastAsia="Arial" w:hAnsi="Arial"/>
                <w:sz w:val="14"/>
                <w:szCs w:val="14"/>
                <w:color w:val="auto"/>
              </w:rPr>
              <w:t>The Guidelines provide that currently the Chair and CEO should be</w:t>
            </w:r>
          </w:p>
        </w:tc>
        <w:tc>
          <w:tcPr>
            <w:tcW w:w="140" w:type="dxa"/>
            <w:vAlign w:val="bottom"/>
          </w:tcPr>
          <w:p>
            <w:pPr>
              <w:spacing w:after="0"/>
              <w:rPr>
                <w:sz w:val="14"/>
                <w:szCs w:val="14"/>
                <w:color w:val="auto"/>
              </w:rPr>
            </w:pPr>
          </w:p>
        </w:tc>
        <w:tc>
          <w:tcPr>
            <w:tcW w:w="4400" w:type="dxa"/>
            <w:vAlign w:val="bottom"/>
          </w:tcPr>
          <w:p>
            <w:pPr>
              <w:ind w:left="40"/>
              <w:spacing w:after="0"/>
              <w:rPr>
                <w:sz w:val="20"/>
                <w:szCs w:val="20"/>
                <w:color w:val="auto"/>
              </w:rPr>
            </w:pPr>
            <w:r>
              <w:rPr>
                <w:rFonts w:ascii="Arial" w:cs="Arial" w:eastAsia="Arial" w:hAnsi="Arial"/>
                <w:sz w:val="14"/>
                <w:szCs w:val="14"/>
                <w:color w:val="auto"/>
              </w:rPr>
              <w:t>exception of the CEO.</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4340" w:type="dxa"/>
            <w:vAlign w:val="bottom"/>
          </w:tcPr>
          <w:p>
            <w:pPr>
              <w:ind w:left="40"/>
              <w:spacing w:after="0"/>
              <w:rPr>
                <w:sz w:val="20"/>
                <w:szCs w:val="20"/>
                <w:color w:val="auto"/>
              </w:rPr>
            </w:pPr>
            <w:r>
              <w:rPr>
                <w:rFonts w:ascii="Arial" w:cs="Arial" w:eastAsia="Arial" w:hAnsi="Arial"/>
                <w:sz w:val="14"/>
                <w:szCs w:val="14"/>
                <w:color w:val="auto"/>
              </w:rPr>
              <w:t>the only member of management to serve as a director.</w:t>
            </w:r>
          </w:p>
        </w:tc>
        <w:tc>
          <w:tcPr>
            <w:tcW w:w="140" w:type="dxa"/>
            <w:vAlign w:val="bottom"/>
            <w:vMerge w:val="restart"/>
          </w:tcPr>
          <w:p>
            <w:pPr>
              <w:ind w:left="60"/>
              <w:spacing w:after="0"/>
              <w:rPr>
                <w:sz w:val="20"/>
                <w:szCs w:val="20"/>
                <w:color w:val="auto"/>
              </w:rPr>
            </w:pPr>
            <w:r>
              <w:rPr>
                <w:rFonts w:ascii="Arial" w:cs="Arial" w:eastAsia="Arial" w:hAnsi="Arial"/>
                <w:sz w:val="17"/>
                <w:szCs w:val="17"/>
                <w:color w:val="582C83"/>
              </w:rPr>
              <w:t>•</w:t>
            </w:r>
          </w:p>
        </w:tc>
        <w:tc>
          <w:tcPr>
            <w:tcW w:w="4400" w:type="dxa"/>
            <w:vAlign w:val="bottom"/>
            <w:vMerge w:val="restart"/>
          </w:tcPr>
          <w:p>
            <w:pPr>
              <w:ind w:left="40"/>
              <w:spacing w:after="0"/>
              <w:rPr>
                <w:sz w:val="20"/>
                <w:szCs w:val="20"/>
                <w:color w:val="auto"/>
              </w:rPr>
            </w:pPr>
            <w:r>
              <w:rPr>
                <w:rFonts w:ascii="Arial" w:cs="Arial" w:eastAsia="Arial" w:hAnsi="Arial"/>
                <w:sz w:val="14"/>
                <w:szCs w:val="14"/>
                <w:color w:val="auto"/>
              </w:rPr>
              <w:t>Committees composed entirely of and chaired by</w:t>
            </w:r>
          </w:p>
        </w:tc>
        <w:tc>
          <w:tcPr>
            <w:tcW w:w="0" w:type="dxa"/>
            <w:vAlign w:val="bottom"/>
          </w:tcPr>
          <w:p>
            <w:pPr>
              <w:spacing w:after="0"/>
              <w:rPr>
                <w:sz w:val="1"/>
                <w:szCs w:val="1"/>
                <w:color w:val="auto"/>
              </w:rPr>
            </w:pPr>
          </w:p>
        </w:tc>
      </w:tr>
      <w:tr>
        <w:trPr>
          <w:trHeight w:val="93"/>
        </w:trPr>
        <w:tc>
          <w:tcPr>
            <w:tcW w:w="16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4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4680"/>
        <w:spacing w:after="0"/>
        <w:rPr>
          <w:sz w:val="20"/>
          <w:szCs w:val="20"/>
          <w:color w:val="auto"/>
        </w:rPr>
      </w:pPr>
      <w:r>
        <w:rPr>
          <w:rFonts w:ascii="Arial" w:cs="Arial" w:eastAsia="Arial" w:hAnsi="Arial"/>
          <w:sz w:val="14"/>
          <w:szCs w:val="14"/>
          <w:color w:val="auto"/>
        </w:rPr>
        <w:t>independent directors.</w:t>
      </w:r>
    </w:p>
    <w:p>
      <w:pPr>
        <w:sectPr>
          <w:pgSz w:w="11900" w:h="16900" w:orient="portrait"/>
          <w:cols w:equalWidth="0" w:num="1">
            <w:col w:w="9040"/>
          </w:cols>
          <w:pgMar w:left="1420" w:top="137" w:right="1439" w:bottom="0" w:gutter="0" w:footer="0" w:header="0"/>
        </w:sectPr>
      </w:pPr>
    </w:p>
    <w:p>
      <w:pPr>
        <w:spacing w:after="0" w:line="181" w:lineRule="exact"/>
        <w:rPr>
          <w:sz w:val="20"/>
          <w:szCs w:val="20"/>
          <w:color w:val="auto"/>
        </w:rPr>
      </w:pPr>
    </w:p>
    <w:p>
      <w:pPr>
        <w:ind w:left="60"/>
        <w:spacing w:after="0" w:line="170" w:lineRule="exact"/>
        <w:rPr>
          <w:sz w:val="20"/>
          <w:szCs w:val="20"/>
          <w:color w:val="auto"/>
        </w:rPr>
      </w:pPr>
      <w:r>
        <w:rPr>
          <w:rFonts w:ascii="Arial" w:cs="Arial" w:eastAsia="Arial" w:hAnsi="Arial"/>
          <w:sz w:val="14"/>
          <w:szCs w:val="14"/>
          <w:color w:val="auto"/>
        </w:rPr>
        <w:t>Regular Executive Sessions of Independent Directors. At each in</w:t>
      </w:r>
      <w:r>
        <w:rPr>
          <w:rFonts w:ascii="MS PGothic" w:cs="MS PGothic" w:eastAsia="MS PGothic" w:hAnsi="MS PGothic"/>
          <w:sz w:val="14"/>
          <w:szCs w:val="14"/>
          <w:color w:val="auto"/>
        </w:rPr>
        <w:t>‑</w:t>
      </w:r>
      <w:r>
        <w:rPr>
          <w:rFonts w:ascii="Arial" w:cs="Arial" w:eastAsia="Arial" w:hAnsi="Arial"/>
          <w:sz w:val="14"/>
          <w:szCs w:val="14"/>
          <w:color w:val="auto"/>
        </w:rPr>
        <w:t>person Board meeting, the independent directors meet in executive session without any members of management present. The Lead Independent Director chairs these sessions.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340"/>
        <w:spacing w:after="0" w:line="285" w:lineRule="auto"/>
        <w:rPr>
          <w:sz w:val="20"/>
          <w:szCs w:val="20"/>
          <w:color w:val="auto"/>
        </w:rPr>
      </w:pPr>
      <w:r>
        <w:rPr>
          <w:rFonts w:ascii="Arial" w:cs="Arial" w:eastAsia="Arial" w:hAnsi="Arial"/>
          <w:sz w:val="14"/>
          <w:szCs w:val="14"/>
          <w:color w:val="auto"/>
        </w:rPr>
        <w:t>Allows the Board to discuss substantive issues, including matters concerning management, without management present.</w:t>
      </w:r>
    </w:p>
    <w:p>
      <w:pPr>
        <w:spacing w:after="0" w:line="396" w:lineRule="exact"/>
        <w:rPr>
          <w:sz w:val="20"/>
          <w:szCs w:val="20"/>
          <w:color w:val="auto"/>
        </w:rPr>
      </w:pPr>
    </w:p>
    <w:p>
      <w:pPr>
        <w:sectPr>
          <w:pgSz w:w="11900" w:h="16900" w:orient="portrait"/>
          <w:cols w:equalWidth="0" w:num="2">
            <w:col w:w="4220" w:space="340"/>
            <w:col w:w="4480"/>
          </w:cols>
          <w:pgMar w:left="1420" w:top="137" w:right="1439" w:bottom="0" w:gutter="0" w:footer="0" w:header="0"/>
          <w:type w:val="continuous"/>
        </w:sectPr>
      </w:pPr>
    </w:p>
    <w:p>
      <w:pPr>
        <w:ind w:left="60"/>
        <w:spacing w:after="0" w:line="161" w:lineRule="exact"/>
        <w:rPr>
          <w:sz w:val="20"/>
          <w:szCs w:val="20"/>
          <w:color w:val="auto"/>
        </w:rPr>
      </w:pPr>
      <w:r>
        <w:rPr>
          <w:rFonts w:ascii="Arial" w:cs="Arial" w:eastAsia="Arial" w:hAnsi="Arial"/>
          <w:sz w:val="14"/>
          <w:szCs w:val="14"/>
          <w:color w:val="auto"/>
        </w:rPr>
        <w:t>Annual Board and Committee Self</w:t>
      </w:r>
      <w:r>
        <w:rPr>
          <w:rFonts w:ascii="MS PGothic" w:cs="MS PGothic" w:eastAsia="MS PGothic" w:hAnsi="MS PGothic"/>
          <w:sz w:val="14"/>
          <w:szCs w:val="14"/>
          <w:color w:val="auto"/>
        </w:rPr>
        <w:t>‑</w:t>
      </w:r>
      <w:r>
        <w:rPr>
          <w:rFonts w:ascii="Arial" w:cs="Arial" w:eastAsia="Arial" w:hAnsi="Arial"/>
          <w:sz w:val="14"/>
          <w:szCs w:val="14"/>
          <w:color w:val="auto"/>
        </w:rPr>
        <w:t>Assessments.</w:t>
      </w:r>
    </w:p>
    <w:p>
      <w:pPr>
        <w:spacing w:after="0" w:line="81" w:lineRule="exact"/>
        <w:rPr>
          <w:sz w:val="20"/>
          <w:szCs w:val="20"/>
          <w:color w:val="auto"/>
        </w:rPr>
      </w:pPr>
    </w:p>
    <w:p>
      <w:pPr>
        <w:ind w:left="200" w:hanging="132"/>
        <w:spacing w:after="0" w:line="168" w:lineRule="exact"/>
        <w:tabs>
          <w:tab w:leader="none" w:pos="200" w:val="left"/>
        </w:tabs>
        <w:numPr>
          <w:ilvl w:val="0"/>
          <w:numId w:val="29"/>
        </w:numPr>
        <w:rPr>
          <w:rFonts w:ascii="Arial" w:cs="Arial" w:eastAsia="Arial" w:hAnsi="Arial"/>
          <w:sz w:val="14"/>
          <w:szCs w:val="14"/>
          <w:color w:val="582C83"/>
        </w:rPr>
      </w:pPr>
      <w:r>
        <w:rPr>
          <w:rFonts w:ascii="Arial" w:cs="Arial" w:eastAsia="Arial" w:hAnsi="Arial"/>
          <w:sz w:val="14"/>
          <w:szCs w:val="14"/>
          <w:color w:val="auto"/>
        </w:rPr>
        <w:t>Annual Board, committee, and director self</w:t>
      </w:r>
      <w:r>
        <w:rPr>
          <w:rFonts w:ascii="MS PGothic" w:cs="MS PGothic" w:eastAsia="MS PGothic" w:hAnsi="MS PGothic"/>
          <w:sz w:val="14"/>
          <w:szCs w:val="14"/>
          <w:color w:val="auto"/>
        </w:rPr>
        <w:t>‑</w:t>
      </w:r>
      <w:r>
        <w:rPr>
          <w:rFonts w:ascii="Arial" w:cs="Arial" w:eastAsia="Arial" w:hAnsi="Arial"/>
          <w:sz w:val="14"/>
          <w:szCs w:val="14"/>
          <w:color w:val="auto"/>
        </w:rPr>
        <w:t>assessments include candid, one</w:t>
      </w:r>
      <w:r>
        <w:rPr>
          <w:rFonts w:ascii="MS PGothic" w:cs="MS PGothic" w:eastAsia="MS PGothic" w:hAnsi="MS PGothic"/>
          <w:sz w:val="14"/>
          <w:szCs w:val="14"/>
          <w:color w:val="auto"/>
        </w:rPr>
        <w:t>‑</w:t>
      </w:r>
      <w:r>
        <w:rPr>
          <w:rFonts w:ascii="Arial" w:cs="Arial" w:eastAsia="Arial" w:hAnsi="Arial"/>
          <w:sz w:val="14"/>
          <w:szCs w:val="14"/>
          <w:color w:val="auto"/>
        </w:rPr>
        <w:t>on</w:t>
      </w:r>
      <w:r>
        <w:rPr>
          <w:rFonts w:ascii="MS PGothic" w:cs="MS PGothic" w:eastAsia="MS PGothic" w:hAnsi="MS PGothic"/>
          <w:sz w:val="14"/>
          <w:szCs w:val="14"/>
          <w:color w:val="auto"/>
        </w:rPr>
        <w:t>‑</w:t>
      </w:r>
      <w:r>
        <w:rPr>
          <w:rFonts w:ascii="Arial" w:cs="Arial" w:eastAsia="Arial" w:hAnsi="Arial"/>
          <w:sz w:val="14"/>
          <w:szCs w:val="14"/>
          <w:color w:val="auto"/>
        </w:rPr>
        <w:t>one conversations between the Lead Independent Director and each director, in coordination with the Governance Committee.</w:t>
      </w:r>
    </w:p>
    <w:p>
      <w:pPr>
        <w:ind w:left="200" w:right="20" w:hanging="132"/>
        <w:spacing w:after="0" w:line="170" w:lineRule="exact"/>
        <w:tabs>
          <w:tab w:leader="none" w:pos="200" w:val="left"/>
        </w:tabs>
        <w:numPr>
          <w:ilvl w:val="0"/>
          <w:numId w:val="29"/>
        </w:numPr>
        <w:rPr>
          <w:rFonts w:ascii="Arial" w:cs="Arial" w:eastAsia="Arial" w:hAnsi="Arial"/>
          <w:sz w:val="14"/>
          <w:szCs w:val="14"/>
          <w:color w:val="582C83"/>
        </w:rPr>
      </w:pPr>
      <w:r>
        <w:rPr>
          <w:rFonts w:ascii="Arial" w:cs="Arial" w:eastAsia="Arial" w:hAnsi="Arial"/>
          <w:sz w:val="14"/>
          <w:szCs w:val="14"/>
          <w:color w:val="auto"/>
        </w:rPr>
        <w:t>The results of these self</w:t>
      </w:r>
      <w:r>
        <w:rPr>
          <w:rFonts w:ascii="MS PGothic" w:cs="MS PGothic" w:eastAsia="MS PGothic" w:hAnsi="MS PGothic"/>
          <w:sz w:val="14"/>
          <w:szCs w:val="14"/>
          <w:color w:val="auto"/>
        </w:rPr>
        <w:t>‑</w:t>
      </w:r>
      <w:r>
        <w:rPr>
          <w:rFonts w:ascii="Arial" w:cs="Arial" w:eastAsia="Arial" w:hAnsi="Arial"/>
          <w:sz w:val="14"/>
          <w:szCs w:val="14"/>
          <w:color w:val="auto"/>
        </w:rPr>
        <w:t>assessments are used in planning Board and committee meetings and agendas, fostering director accountability and committee effectiveness, analyzing Board composition, and making director recruitment and governance decisions.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130" w:right="1020" w:hanging="130"/>
        <w:spacing w:after="0" w:line="253" w:lineRule="auto"/>
        <w:tabs>
          <w:tab w:leader="none" w:pos="130" w:val="left"/>
        </w:tabs>
        <w:numPr>
          <w:ilvl w:val="0"/>
          <w:numId w:val="30"/>
        </w:numPr>
        <w:rPr>
          <w:rFonts w:ascii="Arial" w:cs="Arial" w:eastAsia="Arial" w:hAnsi="Arial"/>
          <w:sz w:val="17"/>
          <w:szCs w:val="17"/>
          <w:color w:val="582C83"/>
        </w:rPr>
      </w:pPr>
      <w:r>
        <w:rPr>
          <w:rFonts w:ascii="Arial" w:cs="Arial" w:eastAsia="Arial" w:hAnsi="Arial"/>
          <w:sz w:val="14"/>
          <w:szCs w:val="14"/>
          <w:color w:val="auto"/>
        </w:rPr>
        <w:t>Promotes regular process improvement of the Board and committees.</w:t>
      </w:r>
    </w:p>
    <w:p>
      <w:pPr>
        <w:spacing w:after="0" w:line="42" w:lineRule="exact"/>
        <w:rPr>
          <w:rFonts w:ascii="Arial" w:cs="Arial" w:eastAsia="Arial" w:hAnsi="Arial"/>
          <w:sz w:val="17"/>
          <w:szCs w:val="17"/>
          <w:color w:val="582C83"/>
        </w:rPr>
      </w:pPr>
    </w:p>
    <w:p>
      <w:pPr>
        <w:ind w:left="130" w:right="60" w:hanging="130"/>
        <w:spacing w:after="0" w:line="274" w:lineRule="auto"/>
        <w:tabs>
          <w:tab w:leader="none" w:pos="130" w:val="left"/>
        </w:tabs>
        <w:numPr>
          <w:ilvl w:val="0"/>
          <w:numId w:val="30"/>
        </w:numPr>
        <w:rPr>
          <w:rFonts w:ascii="Arial" w:cs="Arial" w:eastAsia="Arial" w:hAnsi="Arial"/>
          <w:sz w:val="17"/>
          <w:szCs w:val="17"/>
          <w:color w:val="582C83"/>
        </w:rPr>
      </w:pPr>
      <w:r>
        <w:rPr>
          <w:rFonts w:ascii="Arial" w:cs="Arial" w:eastAsia="Arial" w:hAnsi="Arial"/>
          <w:sz w:val="14"/>
          <w:szCs w:val="14"/>
          <w:color w:val="auto"/>
        </w:rPr>
        <w:t>Provides an opportunity to discuss individual directors’ contributions and performance and to solicit their views on improving Board and committee performance.</w:t>
      </w:r>
    </w:p>
    <w:p>
      <w:pPr>
        <w:spacing w:after="0" w:line="30" w:lineRule="exact"/>
        <w:rPr>
          <w:rFonts w:ascii="Arial" w:cs="Arial" w:eastAsia="Arial" w:hAnsi="Arial"/>
          <w:sz w:val="17"/>
          <w:szCs w:val="17"/>
          <w:color w:val="582C83"/>
        </w:rPr>
      </w:pPr>
    </w:p>
    <w:p>
      <w:pPr>
        <w:ind w:left="130" w:right="80" w:hanging="130"/>
        <w:spacing w:after="0" w:line="273" w:lineRule="auto"/>
        <w:tabs>
          <w:tab w:leader="none" w:pos="130" w:val="left"/>
        </w:tabs>
        <w:numPr>
          <w:ilvl w:val="0"/>
          <w:numId w:val="30"/>
        </w:numPr>
        <w:rPr>
          <w:rFonts w:ascii="Arial" w:cs="Arial" w:eastAsia="Arial" w:hAnsi="Arial"/>
          <w:sz w:val="17"/>
          <w:szCs w:val="17"/>
          <w:color w:val="582C83"/>
        </w:rPr>
      </w:pPr>
      <w:r>
        <w:rPr>
          <w:rFonts w:ascii="Arial" w:cs="Arial" w:eastAsia="Arial" w:hAnsi="Arial"/>
          <w:sz w:val="14"/>
          <w:szCs w:val="14"/>
          <w:color w:val="auto"/>
        </w:rPr>
        <w:t>Provides a disciplined mechanism for director input into the Board’s evolution and succession planning process.</w:t>
      </w:r>
    </w:p>
    <w:p>
      <w:pPr>
        <w:spacing w:after="0" w:line="468" w:lineRule="exact"/>
        <w:rPr>
          <w:sz w:val="20"/>
          <w:szCs w:val="20"/>
          <w:color w:val="auto"/>
        </w:rPr>
      </w:pPr>
    </w:p>
    <w:p>
      <w:pPr>
        <w:sectPr>
          <w:pgSz w:w="11900" w:h="16900" w:orient="portrait"/>
          <w:cols w:equalWidth="0" w:num="2">
            <w:col w:w="4400" w:space="150"/>
            <w:col w:w="4490"/>
          </w:cols>
          <w:pgMar w:left="1420" w:top="137" w:right="1439" w:bottom="0" w:gutter="0" w:footer="0" w:header="0"/>
          <w:type w:val="continuous"/>
        </w:sectPr>
      </w:pPr>
    </w:p>
    <w:p>
      <w:pPr>
        <w:spacing w:after="0" w:line="314"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582C83"/>
        </w:rPr>
        <w:t>2026 PROXY STATEMENT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40538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10375" cy="4053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CORPORATE GOVERNANCE</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Governance Guidelines</w:t>
      </w:r>
    </w:p>
    <w:p>
      <w:pPr>
        <w:sectPr>
          <w:pgSz w:w="11900" w:h="16900" w:orient="portrait"/>
          <w:cols w:equalWidth="0" w:num="1">
            <w:col w:w="9040"/>
          </w:cols>
          <w:pgMar w:left="1420" w:top="137" w:right="1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Arial" w:cs="Arial" w:eastAsia="Arial" w:hAnsi="Arial"/>
          <w:sz w:val="14"/>
          <w:szCs w:val="14"/>
          <w:color w:val="auto"/>
        </w:rPr>
        <w:t>Tenure and Retirement Policies.</w:t>
      </w:r>
    </w:p>
    <w:p>
      <w:pPr>
        <w:spacing w:after="0" w:line="29" w:lineRule="exact"/>
        <w:rPr>
          <w:sz w:val="20"/>
          <w:szCs w:val="20"/>
          <w:color w:val="auto"/>
        </w:rPr>
      </w:pPr>
    </w:p>
    <w:p>
      <w:pPr>
        <w:ind w:left="200" w:hanging="132"/>
        <w:spacing w:after="0" w:line="161" w:lineRule="exact"/>
        <w:tabs>
          <w:tab w:leader="none" w:pos="200" w:val="left"/>
        </w:tabs>
        <w:numPr>
          <w:ilvl w:val="0"/>
          <w:numId w:val="31"/>
        </w:numPr>
        <w:rPr>
          <w:rFonts w:ascii="Arial" w:cs="Arial" w:eastAsia="Arial" w:hAnsi="Arial"/>
          <w:sz w:val="14"/>
          <w:szCs w:val="14"/>
          <w:color w:val="582C83"/>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employee directors have a term limit of 15 years.</w:t>
      </w:r>
    </w:p>
    <w:p>
      <w:pPr>
        <w:spacing w:after="0" w:line="40" w:lineRule="exact"/>
        <w:rPr>
          <w:rFonts w:ascii="Arial" w:cs="Arial" w:eastAsia="Arial" w:hAnsi="Arial"/>
          <w:sz w:val="14"/>
          <w:szCs w:val="14"/>
          <w:color w:val="582C83"/>
        </w:rPr>
      </w:pPr>
    </w:p>
    <w:p>
      <w:pPr>
        <w:ind w:left="200" w:hanging="132"/>
        <w:spacing w:after="0" w:line="170" w:lineRule="exact"/>
        <w:tabs>
          <w:tab w:leader="none" w:pos="200" w:val="left"/>
        </w:tabs>
        <w:numPr>
          <w:ilvl w:val="0"/>
          <w:numId w:val="31"/>
        </w:numPr>
        <w:rPr>
          <w:rFonts w:ascii="Arial" w:cs="Arial" w:eastAsia="Arial" w:hAnsi="Arial"/>
          <w:sz w:val="14"/>
          <w:szCs w:val="14"/>
          <w:color w:val="582C83"/>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employee directors will not be nominated for election to the Board after their 75th birthday.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30" w:hanging="130"/>
        <w:spacing w:after="0"/>
        <w:tabs>
          <w:tab w:leader="none" w:pos="130" w:val="left"/>
        </w:tabs>
        <w:numPr>
          <w:ilvl w:val="0"/>
          <w:numId w:val="32"/>
        </w:numPr>
        <w:rPr>
          <w:rFonts w:ascii="Arial" w:cs="Arial" w:eastAsia="Arial" w:hAnsi="Arial"/>
          <w:sz w:val="17"/>
          <w:szCs w:val="17"/>
          <w:color w:val="582C83"/>
        </w:rPr>
      </w:pPr>
      <w:r>
        <w:rPr>
          <w:rFonts w:ascii="Arial" w:cs="Arial" w:eastAsia="Arial" w:hAnsi="Arial"/>
          <w:sz w:val="14"/>
          <w:szCs w:val="14"/>
          <w:color w:val="auto"/>
        </w:rPr>
        <w:t>Promotes ongoing evolution and refreshment.</w:t>
      </w:r>
    </w:p>
    <w:p>
      <w:pPr>
        <w:spacing w:after="0" w:line="20" w:lineRule="exact"/>
        <w:rPr>
          <w:rFonts w:ascii="Arial" w:cs="Arial" w:eastAsia="Arial" w:hAnsi="Arial"/>
          <w:sz w:val="17"/>
          <w:szCs w:val="17"/>
          <w:color w:val="582C83"/>
        </w:rPr>
      </w:pPr>
    </w:p>
    <w:p>
      <w:pPr>
        <w:ind w:left="130" w:hanging="130"/>
        <w:spacing w:after="0"/>
        <w:tabs>
          <w:tab w:leader="none" w:pos="130" w:val="left"/>
        </w:tabs>
        <w:numPr>
          <w:ilvl w:val="0"/>
          <w:numId w:val="32"/>
        </w:numPr>
        <w:rPr>
          <w:rFonts w:ascii="Arial" w:cs="Arial" w:eastAsia="Arial" w:hAnsi="Arial"/>
          <w:sz w:val="17"/>
          <w:szCs w:val="17"/>
          <w:color w:val="582C83"/>
        </w:rPr>
      </w:pPr>
      <w:r>
        <w:rPr>
          <w:rFonts w:ascii="Arial" w:cs="Arial" w:eastAsia="Arial" w:hAnsi="Arial"/>
          <w:sz w:val="14"/>
          <w:szCs w:val="14"/>
          <w:color w:val="auto"/>
        </w:rPr>
        <w:t>Average tenure for current directors is approximately six years.</w:t>
      </w:r>
    </w:p>
    <w:p>
      <w:pPr>
        <w:spacing w:after="0" w:line="430" w:lineRule="exact"/>
        <w:rPr>
          <w:sz w:val="20"/>
          <w:szCs w:val="20"/>
          <w:color w:val="auto"/>
        </w:rPr>
      </w:pPr>
    </w:p>
    <w:p>
      <w:pPr>
        <w:sectPr>
          <w:pgSz w:w="11900" w:h="16900" w:orient="portrait"/>
          <w:cols w:equalWidth="0" w:num="2">
            <w:col w:w="4260" w:space="290"/>
            <w:col w:w="4490"/>
          </w:cols>
          <w:pgMar w:left="1420" w:top="137" w:right="1439" w:bottom="0" w:gutter="0" w:footer="0" w:header="0"/>
          <w:type w:val="continuous"/>
        </w:sectPr>
      </w:pPr>
    </w:p>
    <w:p>
      <w:pPr>
        <w:ind w:left="60"/>
        <w:spacing w:after="0" w:line="241" w:lineRule="auto"/>
        <w:rPr>
          <w:sz w:val="20"/>
          <w:szCs w:val="20"/>
          <w:color w:val="auto"/>
        </w:rPr>
      </w:pPr>
      <w:r>
        <w:rPr>
          <w:rFonts w:ascii="Arial" w:cs="Arial" w:eastAsia="Arial" w:hAnsi="Arial"/>
          <w:sz w:val="14"/>
          <w:szCs w:val="14"/>
          <w:color w:val="auto"/>
        </w:rPr>
        <w:t>Ongoing Director Succession Planning. The Guidelines provide that the Governance Committee will periodically review the succession</w:t>
      </w:r>
    </w:p>
    <w:p>
      <w:pPr>
        <w:spacing w:after="0" w:line="1" w:lineRule="exact"/>
        <w:rPr>
          <w:sz w:val="20"/>
          <w:szCs w:val="20"/>
          <w:color w:val="auto"/>
        </w:rPr>
      </w:pPr>
    </w:p>
    <w:p>
      <w:pPr>
        <w:ind w:left="60"/>
        <w:spacing w:after="0" w:line="264" w:lineRule="auto"/>
        <w:rPr>
          <w:sz w:val="20"/>
          <w:szCs w:val="20"/>
          <w:color w:val="auto"/>
        </w:rPr>
      </w:pPr>
      <w:r>
        <w:rPr>
          <w:rFonts w:ascii="Arial" w:cs="Arial" w:eastAsia="Arial" w:hAnsi="Arial"/>
          <w:sz w:val="14"/>
          <w:szCs w:val="14"/>
          <w:color w:val="auto"/>
        </w:rPr>
        <w:t>plans for members of the Board, each Committee and its Chair, and the Lead Independent Director.</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4"/>
          <w:szCs w:val="14"/>
          <w:color w:val="auto"/>
        </w:rPr>
        <w:t>Limitations on Other Board Service.</w:t>
      </w:r>
    </w:p>
    <w:p>
      <w:pPr>
        <w:spacing w:after="0" w:line="29" w:lineRule="exact"/>
        <w:rPr>
          <w:sz w:val="20"/>
          <w:szCs w:val="20"/>
          <w:color w:val="auto"/>
        </w:rPr>
      </w:pPr>
    </w:p>
    <w:p>
      <w:pPr>
        <w:ind w:left="200" w:right="220" w:hanging="132"/>
        <w:spacing w:after="0" w:line="261" w:lineRule="auto"/>
        <w:tabs>
          <w:tab w:leader="none" w:pos="200" w:val="left"/>
        </w:tabs>
        <w:numPr>
          <w:ilvl w:val="0"/>
          <w:numId w:val="33"/>
        </w:numPr>
        <w:rPr>
          <w:rFonts w:ascii="Arial" w:cs="Arial" w:eastAsia="Arial" w:hAnsi="Arial"/>
          <w:sz w:val="14"/>
          <w:szCs w:val="14"/>
          <w:color w:val="582C83"/>
        </w:rPr>
      </w:pPr>
      <w:r>
        <w:rPr>
          <w:rFonts w:ascii="Arial" w:cs="Arial" w:eastAsia="Arial" w:hAnsi="Arial"/>
          <w:sz w:val="14"/>
          <w:szCs w:val="14"/>
          <w:color w:val="auto"/>
        </w:rPr>
        <w:t>Directors should not serve on more than three public company boards in addition to our Board.</w:t>
      </w:r>
    </w:p>
    <w:p>
      <w:pPr>
        <w:jc w:val="both"/>
        <w:ind w:left="200" w:right="340" w:hanging="132"/>
        <w:spacing w:after="0" w:line="262" w:lineRule="auto"/>
        <w:tabs>
          <w:tab w:leader="none" w:pos="200" w:val="left"/>
        </w:tabs>
        <w:numPr>
          <w:ilvl w:val="0"/>
          <w:numId w:val="33"/>
        </w:numPr>
        <w:rPr>
          <w:rFonts w:ascii="Arial" w:cs="Arial" w:eastAsia="Arial" w:hAnsi="Arial"/>
          <w:sz w:val="14"/>
          <w:szCs w:val="14"/>
          <w:color w:val="582C83"/>
        </w:rPr>
      </w:pPr>
      <w:r>
        <w:rPr>
          <w:rFonts w:ascii="Arial" w:cs="Arial" w:eastAsia="Arial" w:hAnsi="Arial"/>
          <w:sz w:val="14"/>
          <w:szCs w:val="14"/>
          <w:color w:val="auto"/>
        </w:rPr>
        <w:t>Directors who also serve as CEO at another public company should not serve on more than one public company board in addition to our Board.</w:t>
      </w:r>
    </w:p>
    <w:p>
      <w:pPr>
        <w:spacing w:after="0" w:line="20" w:lineRule="exact"/>
        <w:rPr>
          <w:sz w:val="20"/>
          <w:szCs w:val="20"/>
          <w:color w:val="auto"/>
        </w:rPr>
      </w:pPr>
      <w:r>
        <w:rPr>
          <w:sz w:val="20"/>
          <w:szCs w:val="20"/>
          <w:color w:val="auto"/>
        </w:rPr>
        <w:br w:type="column"/>
      </w:r>
    </w:p>
    <w:p>
      <w:pPr>
        <w:ind w:left="10" w:right="60"/>
        <w:spacing w:after="0" w:line="166" w:lineRule="exact"/>
        <w:rPr>
          <w:sz w:val="20"/>
          <w:szCs w:val="20"/>
          <w:color w:val="auto"/>
        </w:rPr>
      </w:pPr>
      <w:r>
        <w:rPr>
          <w:rFonts w:ascii="Arial" w:cs="Arial" w:eastAsia="Arial" w:hAnsi="Arial"/>
          <w:sz w:val="14"/>
          <w:szCs w:val="14"/>
          <w:color w:val="auto"/>
        </w:rPr>
        <w:t>Maintaining a diverse Board with varying backgrounds, skills, and expertise promotes inclusion in decision</w:t>
      </w:r>
      <w:r>
        <w:rPr>
          <w:rFonts w:ascii="MS PGothic" w:cs="MS PGothic" w:eastAsia="MS PGothic" w:hAnsi="MS PGothic"/>
          <w:sz w:val="14"/>
          <w:szCs w:val="14"/>
          <w:color w:val="auto"/>
        </w:rPr>
        <w:t>‑</w:t>
      </w:r>
      <w:r>
        <w:rPr>
          <w:rFonts w:ascii="Arial" w:cs="Arial" w:eastAsia="Arial" w:hAnsi="Arial"/>
          <w:sz w:val="14"/>
          <w:szCs w:val="14"/>
          <w:color w:val="auto"/>
        </w:rPr>
        <w:t>making and oversight and helps the Board remain appropriately tailored to guiding the Company and its strategy.</w:t>
      </w:r>
    </w:p>
    <w:p>
      <w:pPr>
        <w:spacing w:after="0" w:line="175" w:lineRule="exact"/>
        <w:rPr>
          <w:sz w:val="20"/>
          <w:szCs w:val="20"/>
          <w:color w:val="auto"/>
        </w:rPr>
      </w:pPr>
    </w:p>
    <w:p>
      <w:pPr>
        <w:ind w:left="130" w:right="80" w:hanging="130"/>
        <w:spacing w:after="0" w:line="237" w:lineRule="auto"/>
        <w:tabs>
          <w:tab w:leader="none" w:pos="130" w:val="left"/>
        </w:tabs>
        <w:numPr>
          <w:ilvl w:val="0"/>
          <w:numId w:val="34"/>
        </w:numPr>
        <w:rPr>
          <w:rFonts w:ascii="Arial" w:cs="Arial" w:eastAsia="Arial" w:hAnsi="Arial"/>
          <w:sz w:val="17"/>
          <w:szCs w:val="17"/>
          <w:color w:val="582C83"/>
        </w:rPr>
      </w:pPr>
      <w:r>
        <w:rPr>
          <w:rFonts w:ascii="Arial" w:cs="Arial" w:eastAsia="Arial" w:hAnsi="Arial"/>
          <w:sz w:val="14"/>
          <w:szCs w:val="14"/>
          <w:color w:val="auto"/>
        </w:rPr>
        <w:t>Helps affirm that directors have sufficient time to fulfill their fiduciary duties to the Company.</w:t>
      </w:r>
    </w:p>
    <w:p>
      <w:pPr>
        <w:spacing w:after="0" w:line="47" w:lineRule="exact"/>
        <w:rPr>
          <w:rFonts w:ascii="Arial" w:cs="Arial" w:eastAsia="Arial" w:hAnsi="Arial"/>
          <w:sz w:val="17"/>
          <w:szCs w:val="17"/>
          <w:color w:val="582C83"/>
        </w:rPr>
      </w:pPr>
    </w:p>
    <w:p>
      <w:pPr>
        <w:ind w:left="130" w:hanging="130"/>
        <w:spacing w:after="0"/>
        <w:tabs>
          <w:tab w:leader="none" w:pos="130" w:val="left"/>
        </w:tabs>
        <w:numPr>
          <w:ilvl w:val="0"/>
          <w:numId w:val="34"/>
        </w:numPr>
        <w:rPr>
          <w:rFonts w:ascii="Arial" w:cs="Arial" w:eastAsia="Arial" w:hAnsi="Arial"/>
          <w:sz w:val="17"/>
          <w:szCs w:val="17"/>
          <w:color w:val="582C83"/>
        </w:rPr>
      </w:pPr>
      <w:r>
        <w:rPr>
          <w:rFonts w:ascii="Arial" w:cs="Arial" w:eastAsia="Arial" w:hAnsi="Arial"/>
          <w:sz w:val="14"/>
          <w:szCs w:val="14"/>
          <w:color w:val="auto"/>
        </w:rPr>
        <w:t>All directors comply with this policy.</w:t>
      </w:r>
    </w:p>
    <w:p>
      <w:pPr>
        <w:spacing w:after="0" w:line="579" w:lineRule="exact"/>
        <w:rPr>
          <w:sz w:val="20"/>
          <w:szCs w:val="20"/>
          <w:color w:val="auto"/>
        </w:rPr>
      </w:pPr>
    </w:p>
    <w:p>
      <w:pPr>
        <w:sectPr>
          <w:pgSz w:w="11900" w:h="16900" w:orient="portrait"/>
          <w:cols w:equalWidth="0" w:num="2">
            <w:col w:w="4380" w:space="170"/>
            <w:col w:w="4490"/>
          </w:cols>
          <w:pgMar w:left="1420" w:top="137" w:right="1439" w:bottom="0" w:gutter="0" w:footer="0" w:header="0"/>
          <w:type w:val="continuous"/>
        </w:sectPr>
      </w:pPr>
    </w:p>
    <w:p>
      <w:pPr>
        <w:ind w:left="60" w:right="160"/>
        <w:spacing w:after="0" w:line="264" w:lineRule="auto"/>
        <w:rPr>
          <w:sz w:val="20"/>
          <w:szCs w:val="20"/>
          <w:color w:val="auto"/>
        </w:rPr>
      </w:pPr>
      <w:r>
        <w:rPr>
          <w:rFonts w:ascii="Arial" w:cs="Arial" w:eastAsia="Arial" w:hAnsi="Arial"/>
          <w:sz w:val="14"/>
          <w:szCs w:val="14"/>
          <w:color w:val="auto"/>
        </w:rPr>
        <w:t>Annual Election of Directors. Shareholders elect directors annually by majority vote in uncontested elections.</w:t>
      </w:r>
    </w:p>
    <w:p>
      <w:pPr>
        <w:spacing w:after="0" w:line="132" w:lineRule="exact"/>
        <w:rPr>
          <w:sz w:val="20"/>
          <w:szCs w:val="20"/>
          <w:color w:val="auto"/>
        </w:rPr>
      </w:pPr>
    </w:p>
    <w:p>
      <w:pPr>
        <w:ind w:left="60"/>
        <w:spacing w:after="0" w:line="241" w:lineRule="auto"/>
        <w:rPr>
          <w:sz w:val="20"/>
          <w:szCs w:val="20"/>
          <w:color w:val="auto"/>
        </w:rPr>
      </w:pPr>
      <w:r>
        <w:rPr>
          <w:rFonts w:ascii="Arial" w:cs="Arial" w:eastAsia="Arial" w:hAnsi="Arial"/>
          <w:sz w:val="14"/>
          <w:szCs w:val="14"/>
          <w:color w:val="auto"/>
        </w:rPr>
        <w:t>Proxy Access. Shareholders who own 3% or more of our outstanding Common Stock continuously for at least three years may nominate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up to two director nominees to our Proxy Statement.</w:t>
      </w:r>
    </w:p>
    <w:p>
      <w:pPr>
        <w:spacing w:after="0" w:line="149" w:lineRule="exact"/>
        <w:rPr>
          <w:sz w:val="20"/>
          <w:szCs w:val="20"/>
          <w:color w:val="auto"/>
        </w:rPr>
      </w:pPr>
    </w:p>
    <w:p>
      <w:pPr>
        <w:ind w:left="60" w:right="80"/>
        <w:spacing w:after="0" w:line="264" w:lineRule="auto"/>
        <w:rPr>
          <w:sz w:val="20"/>
          <w:szCs w:val="20"/>
          <w:color w:val="auto"/>
        </w:rPr>
      </w:pPr>
      <w:r>
        <w:rPr>
          <w:rFonts w:ascii="Arial" w:cs="Arial" w:eastAsia="Arial" w:hAnsi="Arial"/>
          <w:sz w:val="14"/>
          <w:szCs w:val="14"/>
          <w:color w:val="auto"/>
        </w:rPr>
        <w:t>Special Meeting of Shareholders. The holders of at least 20% of the voting power of the outstanding Common Stock may call a special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Strengthens Board, committee, and individual director accountability.</w:t>
      </w:r>
    </w:p>
    <w:p>
      <w:pPr>
        <w:spacing w:after="0" w:line="325" w:lineRule="exact"/>
        <w:rPr>
          <w:sz w:val="20"/>
          <w:szCs w:val="20"/>
          <w:color w:val="auto"/>
        </w:rPr>
      </w:pPr>
    </w:p>
    <w:p>
      <w:pPr>
        <w:ind w:right="180"/>
        <w:spacing w:after="0" w:line="285" w:lineRule="auto"/>
        <w:rPr>
          <w:sz w:val="20"/>
          <w:szCs w:val="20"/>
          <w:color w:val="auto"/>
        </w:rPr>
      </w:pPr>
      <w:r>
        <w:rPr>
          <w:rFonts w:ascii="Arial" w:cs="Arial" w:eastAsia="Arial" w:hAnsi="Arial"/>
          <w:sz w:val="14"/>
          <w:szCs w:val="14"/>
          <w:color w:val="auto"/>
        </w:rPr>
        <w:t>Strengthens Board accountability and encourages engagement with shareholders regarding Board composition.</w:t>
      </w:r>
    </w:p>
    <w:p>
      <w:pPr>
        <w:spacing w:after="0" w:line="252" w:lineRule="exact"/>
        <w:rPr>
          <w:sz w:val="20"/>
          <w:szCs w:val="20"/>
          <w:color w:val="auto"/>
        </w:rPr>
      </w:pPr>
    </w:p>
    <w:p>
      <w:pPr>
        <w:ind w:right="180"/>
        <w:spacing w:after="0" w:line="285" w:lineRule="auto"/>
        <w:rPr>
          <w:sz w:val="20"/>
          <w:szCs w:val="20"/>
          <w:color w:val="auto"/>
        </w:rPr>
      </w:pPr>
      <w:r>
        <w:rPr>
          <w:rFonts w:ascii="Arial" w:cs="Arial" w:eastAsia="Arial" w:hAnsi="Arial"/>
          <w:sz w:val="14"/>
          <w:szCs w:val="14"/>
          <w:color w:val="auto"/>
        </w:rPr>
        <w:t>Strengthens Board accountability and encourages engagement with shareholders regarding important matters.</w:t>
      </w:r>
    </w:p>
    <w:p>
      <w:pPr>
        <w:sectPr>
          <w:pgSz w:w="11900" w:h="16900" w:orient="portrait"/>
          <w:cols w:equalWidth="0" w:num="2">
            <w:col w:w="4460" w:space="100"/>
            <w:col w:w="4480"/>
          </w:cols>
          <w:pgMar w:left="1420" w:top="137" w:right="1439" w:bottom="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4500" w:type="dxa"/>
            <w:vAlign w:val="bottom"/>
            <w:gridSpan w:val="2"/>
          </w:tcPr>
          <w:p>
            <w:pPr>
              <w:ind w:left="60"/>
              <w:spacing w:after="0"/>
              <w:rPr>
                <w:sz w:val="20"/>
                <w:szCs w:val="20"/>
                <w:color w:val="auto"/>
              </w:rPr>
            </w:pPr>
            <w:r>
              <w:rPr>
                <w:rFonts w:ascii="Arial" w:cs="Arial" w:eastAsia="Arial" w:hAnsi="Arial"/>
                <w:sz w:val="14"/>
                <w:szCs w:val="14"/>
                <w:color w:val="auto"/>
              </w:rPr>
              <w:t>meeting of shareholders.</w:t>
            </w:r>
          </w:p>
        </w:tc>
        <w:tc>
          <w:tcPr>
            <w:tcW w:w="4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128"/>
        </w:trPr>
        <w:tc>
          <w:tcPr>
            <w:tcW w:w="4500" w:type="dxa"/>
            <w:vAlign w:val="bottom"/>
            <w:tcBorders>
              <w:bottom w:val="single" w:sz="8" w:color="582C83"/>
            </w:tcBorders>
            <w:gridSpan w:val="2"/>
          </w:tcPr>
          <w:p>
            <w:pPr>
              <w:ind w:left="60"/>
              <w:spacing w:after="0" w:line="81" w:lineRule="exact"/>
              <w:rPr>
                <w:sz w:val="20"/>
                <w:szCs w:val="20"/>
                <w:color w:val="auto"/>
              </w:rPr>
            </w:pPr>
            <w:r>
              <w:rPr>
                <w:rFonts w:ascii="Arial" w:cs="Arial" w:eastAsia="Arial" w:hAnsi="Arial"/>
                <w:sz w:val="9"/>
                <w:szCs w:val="9"/>
                <w:b w:val="1"/>
                <w:bCs w:val="1"/>
                <w:color w:val="auto"/>
              </w:rPr>
              <w:t>Key Practice or Policy</w:t>
            </w:r>
          </w:p>
        </w:tc>
        <w:tc>
          <w:tcPr>
            <w:tcW w:w="4540" w:type="dxa"/>
            <w:vAlign w:val="bottom"/>
            <w:tcBorders>
              <w:bottom w:val="single" w:sz="8" w:color="582C83"/>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500" w:type="dxa"/>
            <w:vAlign w:val="bottom"/>
            <w:gridSpan w:val="2"/>
          </w:tcPr>
          <w:p>
            <w:pPr>
              <w:ind w:left="60"/>
              <w:spacing w:after="0" w:line="139" w:lineRule="exact"/>
              <w:rPr>
                <w:sz w:val="20"/>
                <w:szCs w:val="20"/>
                <w:color w:val="auto"/>
              </w:rPr>
            </w:pPr>
            <w:r>
              <w:rPr>
                <w:rFonts w:ascii="Arial" w:cs="Arial" w:eastAsia="Arial" w:hAnsi="Arial"/>
                <w:sz w:val="14"/>
                <w:szCs w:val="14"/>
                <w:color w:val="auto"/>
              </w:rPr>
              <w:t>Regular Shareholder Engagement.</w:t>
            </w:r>
          </w:p>
        </w:tc>
        <w:tc>
          <w:tcPr>
            <w:tcW w:w="140" w:type="dxa"/>
            <w:vAlign w:val="bottom"/>
            <w:tcBorders>
              <w:top w:val="single" w:sz="8" w:color="E0DBEA"/>
            </w:tcBorders>
          </w:tcPr>
          <w:p>
            <w:pPr>
              <w:ind w:left="60"/>
              <w:spacing w:after="0" w:line="139" w:lineRule="exact"/>
              <w:rPr>
                <w:sz w:val="20"/>
                <w:szCs w:val="20"/>
                <w:color w:val="auto"/>
              </w:rPr>
            </w:pPr>
            <w:r>
              <w:rPr>
                <w:rFonts w:ascii="Arial" w:cs="Arial" w:eastAsia="Arial" w:hAnsi="Arial"/>
                <w:sz w:val="16"/>
                <w:szCs w:val="16"/>
                <w:color w:val="582C83"/>
              </w:rPr>
              <w:t>•</w:t>
            </w:r>
          </w:p>
        </w:tc>
        <w:tc>
          <w:tcPr>
            <w:tcW w:w="4400" w:type="dxa"/>
            <w:vAlign w:val="bottom"/>
            <w:tcBorders>
              <w:top w:val="single" w:sz="8" w:color="E0DBEA"/>
            </w:tcBorders>
          </w:tcPr>
          <w:p>
            <w:pPr>
              <w:ind w:left="40"/>
              <w:spacing w:after="0" w:line="139" w:lineRule="exact"/>
              <w:rPr>
                <w:sz w:val="20"/>
                <w:szCs w:val="20"/>
                <w:color w:val="auto"/>
              </w:rPr>
            </w:pPr>
            <w:r>
              <w:rPr>
                <w:rFonts w:ascii="Arial" w:cs="Arial" w:eastAsia="Arial" w:hAnsi="Arial"/>
                <w:sz w:val="14"/>
                <w:szCs w:val="14"/>
                <w:color w:val="auto"/>
              </w:rPr>
              <w:t>Following our 2025 Annual Meeting of Shareholders, we reached</w:t>
            </w:r>
          </w:p>
        </w:tc>
        <w:tc>
          <w:tcPr>
            <w:tcW w:w="0" w:type="dxa"/>
            <w:vAlign w:val="bottom"/>
          </w:tcPr>
          <w:p>
            <w:pPr>
              <w:spacing w:after="0"/>
              <w:rPr>
                <w:sz w:val="1"/>
                <w:szCs w:val="1"/>
                <w:color w:val="auto"/>
              </w:rPr>
            </w:pPr>
          </w:p>
        </w:tc>
      </w:tr>
      <w:tr>
        <w:trPr>
          <w:trHeight w:val="189"/>
        </w:trPr>
        <w:tc>
          <w:tcPr>
            <w:tcW w:w="160" w:type="dxa"/>
            <w:vAlign w:val="bottom"/>
          </w:tcPr>
          <w:p>
            <w:pPr>
              <w:ind w:left="60"/>
              <w:spacing w:after="0"/>
              <w:rPr>
                <w:sz w:val="20"/>
                <w:szCs w:val="20"/>
                <w:color w:val="auto"/>
              </w:rPr>
            </w:pPr>
            <w:r>
              <w:rPr>
                <w:rFonts w:ascii="Arial" w:cs="Arial" w:eastAsia="Arial" w:hAnsi="Arial"/>
                <w:sz w:val="14"/>
                <w:szCs w:val="14"/>
                <w:color w:val="582C83"/>
              </w:rPr>
              <w:t>•</w:t>
            </w:r>
          </w:p>
        </w:tc>
        <w:tc>
          <w:tcPr>
            <w:tcW w:w="4340" w:type="dxa"/>
            <w:vAlign w:val="bottom"/>
          </w:tcPr>
          <w:p>
            <w:pPr>
              <w:ind w:left="40"/>
              <w:spacing w:after="0"/>
              <w:rPr>
                <w:sz w:val="20"/>
                <w:szCs w:val="20"/>
                <w:color w:val="auto"/>
              </w:rPr>
            </w:pPr>
            <w:r>
              <w:rPr>
                <w:rFonts w:ascii="Arial" w:cs="Arial" w:eastAsia="Arial" w:hAnsi="Arial"/>
                <w:sz w:val="14"/>
                <w:szCs w:val="14"/>
                <w:color w:val="auto"/>
              </w:rPr>
              <w:t>We regularly engage with shareholders to seek their input on</w:t>
            </w:r>
          </w:p>
        </w:tc>
        <w:tc>
          <w:tcPr>
            <w:tcW w:w="140" w:type="dxa"/>
            <w:vAlign w:val="bottom"/>
          </w:tcPr>
          <w:p>
            <w:pPr>
              <w:spacing w:after="0"/>
              <w:rPr>
                <w:sz w:val="16"/>
                <w:szCs w:val="16"/>
                <w:color w:val="auto"/>
              </w:rPr>
            </w:pPr>
          </w:p>
        </w:tc>
        <w:tc>
          <w:tcPr>
            <w:tcW w:w="4400" w:type="dxa"/>
            <w:vAlign w:val="bottom"/>
          </w:tcPr>
          <w:p>
            <w:pPr>
              <w:ind w:left="40"/>
              <w:spacing w:after="0"/>
              <w:rPr>
                <w:sz w:val="20"/>
                <w:szCs w:val="20"/>
                <w:color w:val="auto"/>
              </w:rPr>
            </w:pPr>
            <w:r>
              <w:rPr>
                <w:rFonts w:ascii="Arial" w:cs="Arial" w:eastAsia="Arial" w:hAnsi="Arial"/>
                <w:sz w:val="14"/>
                <w:szCs w:val="14"/>
                <w:color w:val="auto"/>
              </w:rPr>
              <w:t>out to shareholders representing approximately 57% of our</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4340" w:type="dxa"/>
            <w:vAlign w:val="bottom"/>
          </w:tcPr>
          <w:p>
            <w:pPr>
              <w:ind w:left="40"/>
              <w:spacing w:after="0"/>
              <w:rPr>
                <w:sz w:val="20"/>
                <w:szCs w:val="20"/>
                <w:color w:val="auto"/>
              </w:rPr>
            </w:pPr>
            <w:r>
              <w:rPr>
                <w:rFonts w:ascii="Arial" w:cs="Arial" w:eastAsia="Arial" w:hAnsi="Arial"/>
                <w:sz w:val="14"/>
                <w:szCs w:val="14"/>
                <w:color w:val="auto"/>
              </w:rPr>
              <w:t>emerging issues, address their questions, and understand</w:t>
            </w:r>
          </w:p>
        </w:tc>
        <w:tc>
          <w:tcPr>
            <w:tcW w:w="140" w:type="dxa"/>
            <w:vAlign w:val="bottom"/>
          </w:tcPr>
          <w:p>
            <w:pPr>
              <w:spacing w:after="0"/>
              <w:rPr>
                <w:sz w:val="14"/>
                <w:szCs w:val="14"/>
                <w:color w:val="auto"/>
              </w:rPr>
            </w:pPr>
          </w:p>
        </w:tc>
        <w:tc>
          <w:tcPr>
            <w:tcW w:w="4400" w:type="dxa"/>
            <w:vAlign w:val="bottom"/>
          </w:tcPr>
          <w:p>
            <w:pPr>
              <w:ind w:left="40"/>
              <w:spacing w:after="0"/>
              <w:rPr>
                <w:sz w:val="20"/>
                <w:szCs w:val="20"/>
                <w:color w:val="auto"/>
              </w:rPr>
            </w:pPr>
            <w:r>
              <w:rPr>
                <w:rFonts w:ascii="Arial" w:cs="Arial" w:eastAsia="Arial" w:hAnsi="Arial"/>
                <w:sz w:val="14"/>
                <w:szCs w:val="14"/>
                <w:color w:val="auto"/>
              </w:rPr>
              <w:t>outstanding shares and engaged with 23 different shareholders that</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4"/>
                <w:szCs w:val="14"/>
                <w:color w:val="auto"/>
              </w:rPr>
              <w:t>their perspectives.</w:t>
            </w:r>
          </w:p>
        </w:tc>
        <w:tc>
          <w:tcPr>
            <w:tcW w:w="140" w:type="dxa"/>
            <w:vAlign w:val="bottom"/>
          </w:tcPr>
          <w:p>
            <w:pPr>
              <w:spacing w:after="0"/>
              <w:rPr>
                <w:sz w:val="17"/>
                <w:szCs w:val="17"/>
                <w:color w:val="auto"/>
              </w:rPr>
            </w:pPr>
          </w:p>
        </w:tc>
        <w:tc>
          <w:tcPr>
            <w:tcW w:w="4400" w:type="dxa"/>
            <w:vAlign w:val="bottom"/>
          </w:tcPr>
          <w:p>
            <w:pPr>
              <w:ind w:left="40"/>
              <w:spacing w:after="0"/>
              <w:rPr>
                <w:sz w:val="20"/>
                <w:szCs w:val="20"/>
                <w:color w:val="auto"/>
              </w:rPr>
            </w:pPr>
            <w:r>
              <w:rPr>
                <w:rFonts w:ascii="Arial" w:cs="Arial" w:eastAsia="Arial" w:hAnsi="Arial"/>
                <w:sz w:val="14"/>
                <w:szCs w:val="14"/>
                <w:color w:val="auto"/>
              </w:rPr>
              <w:t>collectively represent approximately 35% of our outstanding shares.</w:t>
            </w:r>
          </w:p>
        </w:tc>
        <w:tc>
          <w:tcPr>
            <w:tcW w:w="0" w:type="dxa"/>
            <w:vAlign w:val="bottom"/>
          </w:tcPr>
          <w:p>
            <w:pPr>
              <w:spacing w:after="0"/>
              <w:rPr>
                <w:sz w:val="1"/>
                <w:szCs w:val="1"/>
                <w:color w:val="auto"/>
              </w:rPr>
            </w:pPr>
          </w:p>
        </w:tc>
      </w:tr>
      <w:tr>
        <w:trPr>
          <w:trHeight w:val="162"/>
        </w:trPr>
        <w:tc>
          <w:tcPr>
            <w:tcW w:w="160" w:type="dxa"/>
            <w:vAlign w:val="bottom"/>
          </w:tcPr>
          <w:p>
            <w:pPr>
              <w:ind w:left="60"/>
              <w:spacing w:after="0"/>
              <w:rPr>
                <w:sz w:val="20"/>
                <w:szCs w:val="20"/>
                <w:color w:val="auto"/>
              </w:rPr>
            </w:pPr>
            <w:r>
              <w:rPr>
                <w:rFonts w:ascii="Arial" w:cs="Arial" w:eastAsia="Arial" w:hAnsi="Arial"/>
                <w:sz w:val="14"/>
                <w:szCs w:val="14"/>
                <w:color w:val="582C83"/>
              </w:rPr>
              <w:t>•</w:t>
            </w:r>
          </w:p>
        </w:tc>
        <w:tc>
          <w:tcPr>
            <w:tcW w:w="4340" w:type="dxa"/>
            <w:vAlign w:val="bottom"/>
          </w:tcPr>
          <w:p>
            <w:pPr>
              <w:ind w:left="40"/>
              <w:spacing w:after="0"/>
              <w:rPr>
                <w:sz w:val="20"/>
                <w:szCs w:val="20"/>
                <w:color w:val="auto"/>
              </w:rPr>
            </w:pPr>
            <w:r>
              <w:rPr>
                <w:rFonts w:ascii="Arial" w:cs="Arial" w:eastAsia="Arial" w:hAnsi="Arial"/>
                <w:sz w:val="14"/>
                <w:szCs w:val="14"/>
                <w:color w:val="auto"/>
              </w:rPr>
              <w:t>The Lead Independent Director is available for consultation with</w:t>
            </w:r>
          </w:p>
        </w:tc>
        <w:tc>
          <w:tcPr>
            <w:tcW w:w="140" w:type="dxa"/>
            <w:vAlign w:val="bottom"/>
          </w:tcPr>
          <w:p>
            <w:pPr>
              <w:spacing w:after="0"/>
              <w:rPr>
                <w:sz w:val="14"/>
                <w:szCs w:val="14"/>
                <w:color w:val="auto"/>
              </w:rPr>
            </w:pPr>
          </w:p>
        </w:tc>
        <w:tc>
          <w:tcPr>
            <w:tcW w:w="4400" w:type="dxa"/>
            <w:vAlign w:val="bottom"/>
          </w:tcPr>
          <w:p>
            <w:pPr>
              <w:ind w:left="40"/>
              <w:spacing w:after="0"/>
              <w:rPr>
                <w:sz w:val="20"/>
                <w:szCs w:val="20"/>
                <w:color w:val="auto"/>
              </w:rPr>
            </w:pPr>
            <w:r>
              <w:rPr>
                <w:rFonts w:ascii="Arial" w:cs="Arial" w:eastAsia="Arial" w:hAnsi="Arial"/>
                <w:sz w:val="14"/>
                <w:szCs w:val="14"/>
                <w:color w:val="auto"/>
              </w:rPr>
              <w:t>The Lead Independent Director met with shareholders representing</w:t>
            </w: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4340" w:type="dxa"/>
            <w:vAlign w:val="bottom"/>
          </w:tcPr>
          <w:p>
            <w:pPr>
              <w:ind w:left="40"/>
              <w:spacing w:after="0"/>
              <w:rPr>
                <w:sz w:val="20"/>
                <w:szCs w:val="20"/>
                <w:color w:val="auto"/>
              </w:rPr>
            </w:pPr>
            <w:r>
              <w:rPr>
                <w:rFonts w:ascii="Arial" w:cs="Arial" w:eastAsia="Arial" w:hAnsi="Arial"/>
                <w:sz w:val="14"/>
                <w:szCs w:val="14"/>
                <w:color w:val="auto"/>
              </w:rPr>
              <w:t>our shareholders.</w:t>
            </w:r>
          </w:p>
        </w:tc>
        <w:tc>
          <w:tcPr>
            <w:tcW w:w="140" w:type="dxa"/>
            <w:vAlign w:val="bottom"/>
          </w:tcPr>
          <w:p>
            <w:pPr>
              <w:spacing w:after="0"/>
              <w:rPr>
                <w:sz w:val="20"/>
                <w:szCs w:val="20"/>
                <w:color w:val="auto"/>
              </w:rPr>
            </w:pPr>
          </w:p>
        </w:tc>
        <w:tc>
          <w:tcPr>
            <w:tcW w:w="4400" w:type="dxa"/>
            <w:vAlign w:val="bottom"/>
          </w:tcPr>
          <w:p>
            <w:pPr>
              <w:ind w:left="40"/>
              <w:spacing w:after="0"/>
              <w:rPr>
                <w:sz w:val="20"/>
                <w:szCs w:val="20"/>
                <w:color w:val="auto"/>
              </w:rPr>
            </w:pPr>
            <w:r>
              <w:rPr>
                <w:rFonts w:ascii="Arial" w:cs="Arial" w:eastAsia="Arial" w:hAnsi="Arial"/>
                <w:sz w:val="14"/>
                <w:szCs w:val="14"/>
                <w:color w:val="auto"/>
              </w:rPr>
              <w:t>approximately 22% of our outstanding shares.</w:t>
            </w:r>
          </w:p>
        </w:tc>
        <w:tc>
          <w:tcPr>
            <w:tcW w:w="0" w:type="dxa"/>
            <w:vAlign w:val="bottom"/>
          </w:tcPr>
          <w:p>
            <w:pPr>
              <w:spacing w:after="0"/>
              <w:rPr>
                <w:sz w:val="1"/>
                <w:szCs w:val="1"/>
                <w:color w:val="auto"/>
              </w:rPr>
            </w:pPr>
          </w:p>
        </w:tc>
      </w:tr>
      <w:tr>
        <w:trPr>
          <w:trHeight w:val="228"/>
        </w:trPr>
        <w:tc>
          <w:tcPr>
            <w:tcW w:w="1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7"/>
                <w:szCs w:val="17"/>
                <w:color w:val="582C83"/>
              </w:rPr>
              <w:t>•</w:t>
            </w:r>
          </w:p>
        </w:tc>
        <w:tc>
          <w:tcPr>
            <w:tcW w:w="4400" w:type="dxa"/>
            <w:vAlign w:val="bottom"/>
          </w:tcPr>
          <w:p>
            <w:pPr>
              <w:ind w:left="40"/>
              <w:spacing w:after="0"/>
              <w:rPr>
                <w:sz w:val="20"/>
                <w:szCs w:val="20"/>
                <w:color w:val="auto"/>
              </w:rPr>
            </w:pPr>
            <w:r>
              <w:rPr>
                <w:rFonts w:ascii="Arial" w:cs="Arial" w:eastAsia="Arial" w:hAnsi="Arial"/>
                <w:sz w:val="14"/>
                <w:szCs w:val="14"/>
                <w:color w:val="auto"/>
              </w:rPr>
              <w:t>This practice provides open channels of communication with our</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0" w:type="dxa"/>
            <w:vAlign w:val="bottom"/>
          </w:tcPr>
          <w:p>
            <w:pPr>
              <w:ind w:left="40"/>
              <w:spacing w:after="0"/>
              <w:rPr>
                <w:sz w:val="20"/>
                <w:szCs w:val="20"/>
                <w:color w:val="auto"/>
              </w:rPr>
            </w:pPr>
            <w:r>
              <w:rPr>
                <w:rFonts w:ascii="Arial" w:cs="Arial" w:eastAsia="Arial" w:hAnsi="Arial"/>
                <w:sz w:val="14"/>
                <w:szCs w:val="14"/>
                <w:color w:val="auto"/>
              </w:rPr>
              <w:t>shareholders and helps promote regular consideration of and</w:t>
            </w:r>
          </w:p>
        </w:tc>
        <w:tc>
          <w:tcPr>
            <w:tcW w:w="0" w:type="dxa"/>
            <w:vAlign w:val="bottom"/>
          </w:tcPr>
          <w:p>
            <w:pPr>
              <w:spacing w:after="0"/>
              <w:rPr>
                <w:sz w:val="1"/>
                <w:szCs w:val="1"/>
                <w:color w:val="auto"/>
              </w:rPr>
            </w:pPr>
          </w:p>
        </w:tc>
      </w:tr>
      <w:tr>
        <w:trPr>
          <w:trHeight w:val="194"/>
        </w:trPr>
        <w:tc>
          <w:tcPr>
            <w:tcW w:w="160" w:type="dxa"/>
            <w:vAlign w:val="bottom"/>
            <w:tcBorders>
              <w:bottom w:val="single" w:sz="8" w:color="582C83"/>
            </w:tcBorders>
          </w:tcPr>
          <w:p>
            <w:pPr>
              <w:spacing w:after="0"/>
              <w:rPr>
                <w:sz w:val="16"/>
                <w:szCs w:val="16"/>
                <w:color w:val="auto"/>
              </w:rPr>
            </w:pPr>
          </w:p>
        </w:tc>
        <w:tc>
          <w:tcPr>
            <w:tcW w:w="4340" w:type="dxa"/>
            <w:vAlign w:val="bottom"/>
            <w:tcBorders>
              <w:bottom w:val="single" w:sz="8" w:color="582C83"/>
            </w:tcBorders>
          </w:tcPr>
          <w:p>
            <w:pPr>
              <w:spacing w:after="0"/>
              <w:rPr>
                <w:sz w:val="16"/>
                <w:szCs w:val="16"/>
                <w:color w:val="auto"/>
              </w:rPr>
            </w:pPr>
          </w:p>
        </w:tc>
        <w:tc>
          <w:tcPr>
            <w:tcW w:w="140" w:type="dxa"/>
            <w:vAlign w:val="bottom"/>
            <w:tcBorders>
              <w:bottom w:val="single" w:sz="8" w:color="582C83"/>
            </w:tcBorders>
          </w:tcPr>
          <w:p>
            <w:pPr>
              <w:spacing w:after="0"/>
              <w:rPr>
                <w:sz w:val="16"/>
                <w:szCs w:val="16"/>
                <w:color w:val="auto"/>
              </w:rPr>
            </w:pPr>
          </w:p>
        </w:tc>
        <w:tc>
          <w:tcPr>
            <w:tcW w:w="4400" w:type="dxa"/>
            <w:vAlign w:val="bottom"/>
            <w:tcBorders>
              <w:bottom w:val="single" w:sz="8" w:color="582C83"/>
            </w:tcBorders>
          </w:tcPr>
          <w:p>
            <w:pPr>
              <w:ind w:left="40"/>
              <w:spacing w:after="0"/>
              <w:rPr>
                <w:sz w:val="20"/>
                <w:szCs w:val="20"/>
                <w:color w:val="auto"/>
              </w:rPr>
            </w:pPr>
            <w:r>
              <w:rPr>
                <w:rFonts w:ascii="Arial" w:cs="Arial" w:eastAsia="Arial" w:hAnsi="Arial"/>
                <w:sz w:val="14"/>
                <w:szCs w:val="14"/>
                <w:color w:val="auto"/>
              </w:rPr>
              <w:t>response to feedback on the Company’s strategy, corporate</w:t>
            </w: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0" w:type="dxa"/>
            <w:vAlign w:val="bottom"/>
          </w:tcPr>
          <w:p>
            <w:pPr>
              <w:ind w:left="40"/>
              <w:spacing w:after="0"/>
              <w:rPr>
                <w:sz w:val="20"/>
                <w:szCs w:val="20"/>
                <w:color w:val="auto"/>
              </w:rPr>
            </w:pPr>
            <w:r>
              <w:rPr>
                <w:rFonts w:ascii="Arial" w:cs="Arial" w:eastAsia="Arial" w:hAnsi="Arial"/>
                <w:sz w:val="14"/>
                <w:szCs w:val="14"/>
                <w:color w:val="auto"/>
              </w:rPr>
              <w:t>governance, compensation, and sustainability.</w:t>
            </w:r>
          </w:p>
        </w:tc>
        <w:tc>
          <w:tcPr>
            <w:tcW w:w="0" w:type="dxa"/>
            <w:vAlign w:val="bottom"/>
          </w:tcPr>
          <w:p>
            <w:pPr>
              <w:spacing w:after="0"/>
              <w:rPr>
                <w:sz w:val="1"/>
                <w:szCs w:val="1"/>
                <w:color w:val="auto"/>
              </w:rPr>
            </w:pPr>
          </w:p>
        </w:tc>
      </w:tr>
      <w:tr>
        <w:trPr>
          <w:trHeight w:val="273"/>
        </w:trPr>
        <w:tc>
          <w:tcPr>
            <w:tcW w:w="4500" w:type="dxa"/>
            <w:vAlign w:val="bottom"/>
            <w:gridSpan w:val="2"/>
          </w:tcPr>
          <w:p>
            <w:pPr>
              <w:ind w:left="60"/>
              <w:spacing w:after="0"/>
              <w:rPr>
                <w:sz w:val="20"/>
                <w:szCs w:val="20"/>
                <w:color w:val="auto"/>
              </w:rPr>
            </w:pPr>
            <w:r>
              <w:rPr>
                <w:rFonts w:ascii="Arial" w:cs="Arial" w:eastAsia="Arial" w:hAnsi="Arial"/>
                <w:sz w:val="14"/>
                <w:szCs w:val="14"/>
                <w:color w:val="auto"/>
              </w:rPr>
              <w:t>Stock Ownership Requirements. Directors must own shares of our</w:t>
            </w:r>
          </w:p>
        </w:tc>
        <w:tc>
          <w:tcPr>
            <w:tcW w:w="4540" w:type="dxa"/>
            <w:vAlign w:val="bottom"/>
            <w:gridSpan w:val="2"/>
          </w:tcPr>
          <w:p>
            <w:pPr>
              <w:ind w:left="60"/>
              <w:spacing w:after="0" w:line="161" w:lineRule="exact"/>
              <w:rPr>
                <w:sz w:val="20"/>
                <w:szCs w:val="20"/>
                <w:color w:val="auto"/>
              </w:rPr>
            </w:pPr>
            <w:r>
              <w:rPr>
                <w:rFonts w:ascii="Arial" w:cs="Arial" w:eastAsia="Arial" w:hAnsi="Arial"/>
                <w:sz w:val="14"/>
                <w:szCs w:val="14"/>
                <w:color w:val="auto"/>
              </w:rPr>
              <w:t>Aligns directors’ and shareholders’ long</w:t>
            </w:r>
            <w:r>
              <w:rPr>
                <w:rFonts w:ascii="MS PGothic" w:cs="MS PGothic" w:eastAsia="MS PGothic" w:hAnsi="MS PGothic"/>
                <w:sz w:val="14"/>
                <w:szCs w:val="14"/>
                <w:color w:val="auto"/>
              </w:rPr>
              <w:t>‑</w:t>
            </w:r>
            <w:r>
              <w:rPr>
                <w:rFonts w:ascii="Arial" w:cs="Arial" w:eastAsia="Arial" w:hAnsi="Arial"/>
                <w:sz w:val="14"/>
                <w:szCs w:val="14"/>
                <w:color w:val="auto"/>
              </w:rPr>
              <w:t>term interests.</w:t>
            </w:r>
          </w:p>
        </w:tc>
        <w:tc>
          <w:tcPr>
            <w:tcW w:w="0" w:type="dxa"/>
            <w:vAlign w:val="bottom"/>
          </w:tcPr>
          <w:p>
            <w:pPr>
              <w:spacing w:after="0"/>
              <w:rPr>
                <w:sz w:val="1"/>
                <w:szCs w:val="1"/>
                <w:color w:val="auto"/>
              </w:rPr>
            </w:pPr>
          </w:p>
        </w:tc>
      </w:tr>
      <w:tr>
        <w:trPr>
          <w:trHeight w:val="162"/>
        </w:trPr>
        <w:tc>
          <w:tcPr>
            <w:tcW w:w="4500" w:type="dxa"/>
            <w:vAlign w:val="bottom"/>
            <w:gridSpan w:val="2"/>
          </w:tcPr>
          <w:p>
            <w:pPr>
              <w:ind w:left="60"/>
              <w:spacing w:after="0"/>
              <w:rPr>
                <w:sz w:val="20"/>
                <w:szCs w:val="20"/>
                <w:color w:val="auto"/>
              </w:rPr>
            </w:pPr>
            <w:r>
              <w:rPr>
                <w:rFonts w:ascii="Arial" w:cs="Arial" w:eastAsia="Arial" w:hAnsi="Arial"/>
                <w:sz w:val="14"/>
                <w:szCs w:val="14"/>
                <w:color w:val="auto"/>
              </w:rPr>
              <w:t>Common Stock in an amount equal to five times the annual Board</w:t>
            </w:r>
          </w:p>
        </w:tc>
        <w:tc>
          <w:tcPr>
            <w:tcW w:w="1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500" w:type="dxa"/>
            <w:vAlign w:val="bottom"/>
            <w:gridSpan w:val="2"/>
          </w:tcPr>
          <w:p>
            <w:pPr>
              <w:ind w:left="60"/>
              <w:spacing w:after="0"/>
              <w:rPr>
                <w:sz w:val="20"/>
                <w:szCs w:val="20"/>
                <w:color w:val="auto"/>
              </w:rPr>
            </w:pPr>
            <w:r>
              <w:rPr>
                <w:rFonts w:ascii="Arial" w:cs="Arial" w:eastAsia="Arial" w:hAnsi="Arial"/>
                <w:sz w:val="14"/>
                <w:szCs w:val="14"/>
                <w:color w:val="auto"/>
              </w:rPr>
              <w:t>cash retainer within five years of joining the Board.</w:t>
            </w:r>
          </w:p>
        </w:tc>
        <w:tc>
          <w:tcPr>
            <w:tcW w:w="1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500" w:type="dxa"/>
            <w:vAlign w:val="bottom"/>
            <w:gridSpan w:val="2"/>
          </w:tcPr>
          <w:p>
            <w:pPr>
              <w:ind w:left="60"/>
              <w:spacing w:after="0"/>
              <w:rPr>
                <w:sz w:val="20"/>
                <w:szCs w:val="20"/>
                <w:color w:val="auto"/>
              </w:rPr>
            </w:pPr>
            <w:r>
              <w:rPr>
                <w:rFonts w:ascii="Arial" w:cs="Arial" w:eastAsia="Arial" w:hAnsi="Arial"/>
                <w:sz w:val="14"/>
                <w:szCs w:val="14"/>
                <w:color w:val="auto"/>
              </w:rPr>
              <w:t>Annual CEO Evaluation and Board Oversight of</w:t>
            </w:r>
          </w:p>
        </w:tc>
        <w:tc>
          <w:tcPr>
            <w:tcW w:w="140" w:type="dxa"/>
            <w:vAlign w:val="bottom"/>
          </w:tcPr>
          <w:p>
            <w:pPr>
              <w:ind w:left="60"/>
              <w:spacing w:after="0"/>
              <w:rPr>
                <w:sz w:val="20"/>
                <w:szCs w:val="20"/>
                <w:color w:val="auto"/>
              </w:rPr>
            </w:pPr>
            <w:r>
              <w:rPr>
                <w:rFonts w:ascii="Arial" w:cs="Arial" w:eastAsia="Arial" w:hAnsi="Arial"/>
                <w:sz w:val="17"/>
                <w:szCs w:val="17"/>
                <w:color w:val="582C83"/>
              </w:rPr>
              <w:t>•</w:t>
            </w:r>
          </w:p>
        </w:tc>
        <w:tc>
          <w:tcPr>
            <w:tcW w:w="4400" w:type="dxa"/>
            <w:vAlign w:val="bottom"/>
          </w:tcPr>
          <w:p>
            <w:pPr>
              <w:ind w:left="40"/>
              <w:spacing w:after="0"/>
              <w:rPr>
                <w:sz w:val="20"/>
                <w:szCs w:val="20"/>
                <w:color w:val="auto"/>
              </w:rPr>
            </w:pPr>
            <w:r>
              <w:rPr>
                <w:rFonts w:ascii="Arial" w:cs="Arial" w:eastAsia="Arial" w:hAnsi="Arial"/>
                <w:sz w:val="14"/>
                <w:szCs w:val="14"/>
                <w:color w:val="auto"/>
              </w:rPr>
              <w:t>Company’s executive compensation program aligns with our</w:t>
            </w:r>
          </w:p>
        </w:tc>
        <w:tc>
          <w:tcPr>
            <w:tcW w:w="0" w:type="dxa"/>
            <w:vAlign w:val="bottom"/>
          </w:tcPr>
          <w:p>
            <w:pPr>
              <w:spacing w:after="0"/>
              <w:rPr>
                <w:sz w:val="1"/>
                <w:szCs w:val="1"/>
                <w:color w:val="auto"/>
              </w:rPr>
            </w:pPr>
          </w:p>
        </w:tc>
      </w:tr>
      <w:tr>
        <w:trPr>
          <w:trHeight w:val="193"/>
        </w:trPr>
        <w:tc>
          <w:tcPr>
            <w:tcW w:w="4500" w:type="dxa"/>
            <w:vAlign w:val="bottom"/>
            <w:gridSpan w:val="2"/>
          </w:tcPr>
          <w:p>
            <w:pPr>
              <w:ind w:left="60"/>
              <w:spacing w:after="0"/>
              <w:rPr>
                <w:sz w:val="20"/>
                <w:szCs w:val="20"/>
                <w:color w:val="auto"/>
              </w:rPr>
            </w:pPr>
            <w:r>
              <w:rPr>
                <w:rFonts w:ascii="Arial" w:cs="Arial" w:eastAsia="Arial" w:hAnsi="Arial"/>
                <w:sz w:val="14"/>
                <w:szCs w:val="14"/>
                <w:color w:val="auto"/>
              </w:rPr>
              <w:t>Executive Compensation.</w:t>
            </w:r>
          </w:p>
        </w:tc>
        <w:tc>
          <w:tcPr>
            <w:tcW w:w="140" w:type="dxa"/>
            <w:vAlign w:val="bottom"/>
          </w:tcPr>
          <w:p>
            <w:pPr>
              <w:spacing w:after="0"/>
              <w:rPr>
                <w:sz w:val="16"/>
                <w:szCs w:val="16"/>
                <w:color w:val="auto"/>
              </w:rPr>
            </w:pPr>
          </w:p>
        </w:tc>
        <w:tc>
          <w:tcPr>
            <w:tcW w:w="4400" w:type="dxa"/>
            <w:vAlign w:val="bottom"/>
          </w:tcPr>
          <w:p>
            <w:pPr>
              <w:ind w:left="40"/>
              <w:spacing w:after="0"/>
              <w:rPr>
                <w:sz w:val="20"/>
                <w:szCs w:val="20"/>
                <w:color w:val="auto"/>
              </w:rPr>
            </w:pPr>
            <w:r>
              <w:rPr>
                <w:rFonts w:ascii="Arial" w:cs="Arial" w:eastAsia="Arial" w:hAnsi="Arial"/>
                <w:sz w:val="14"/>
                <w:szCs w:val="14"/>
                <w:color w:val="auto"/>
              </w:rPr>
              <w:t>business strategy and reflects the strength of ongoing</w:t>
            </w:r>
          </w:p>
        </w:tc>
        <w:tc>
          <w:tcPr>
            <w:tcW w:w="0" w:type="dxa"/>
            <w:vAlign w:val="bottom"/>
          </w:tcPr>
          <w:p>
            <w:pPr>
              <w:spacing w:after="0"/>
              <w:rPr>
                <w:sz w:val="1"/>
                <w:szCs w:val="1"/>
                <w:color w:val="auto"/>
              </w:rPr>
            </w:pPr>
          </w:p>
        </w:tc>
      </w:tr>
      <w:tr>
        <w:trPr>
          <w:trHeight w:val="185"/>
        </w:trPr>
        <w:tc>
          <w:tcPr>
            <w:tcW w:w="160" w:type="dxa"/>
            <w:vAlign w:val="bottom"/>
          </w:tcPr>
          <w:p>
            <w:pPr>
              <w:ind w:left="60"/>
              <w:spacing w:after="0"/>
              <w:rPr>
                <w:sz w:val="20"/>
                <w:szCs w:val="20"/>
                <w:color w:val="auto"/>
              </w:rPr>
            </w:pPr>
            <w:r>
              <w:rPr>
                <w:rFonts w:ascii="Arial" w:cs="Arial" w:eastAsia="Arial" w:hAnsi="Arial"/>
                <w:sz w:val="14"/>
                <w:szCs w:val="14"/>
                <w:color w:val="582C83"/>
              </w:rPr>
              <w:t>•</w:t>
            </w:r>
          </w:p>
        </w:tc>
        <w:tc>
          <w:tcPr>
            <w:tcW w:w="4340" w:type="dxa"/>
            <w:vAlign w:val="bottom"/>
          </w:tcPr>
          <w:p>
            <w:pPr>
              <w:ind w:left="40"/>
              <w:spacing w:after="0"/>
              <w:rPr>
                <w:sz w:val="20"/>
                <w:szCs w:val="20"/>
                <w:color w:val="auto"/>
              </w:rPr>
            </w:pPr>
            <w:r>
              <w:rPr>
                <w:rFonts w:ascii="Arial" w:cs="Arial" w:eastAsia="Arial" w:hAnsi="Arial"/>
                <w:sz w:val="14"/>
                <w:szCs w:val="14"/>
                <w:color w:val="auto"/>
              </w:rPr>
              <w:t>Annually, the People and Compensation Committee sets goals for</w:t>
            </w:r>
          </w:p>
        </w:tc>
        <w:tc>
          <w:tcPr>
            <w:tcW w:w="140" w:type="dxa"/>
            <w:vAlign w:val="bottom"/>
          </w:tcPr>
          <w:p>
            <w:pPr>
              <w:spacing w:after="0"/>
              <w:rPr>
                <w:sz w:val="16"/>
                <w:szCs w:val="16"/>
                <w:color w:val="auto"/>
              </w:rPr>
            </w:pPr>
          </w:p>
        </w:tc>
        <w:tc>
          <w:tcPr>
            <w:tcW w:w="4400" w:type="dxa"/>
            <w:vAlign w:val="bottom"/>
          </w:tcPr>
          <w:p>
            <w:pPr>
              <w:ind w:left="40"/>
              <w:spacing w:after="0"/>
              <w:rPr>
                <w:sz w:val="20"/>
                <w:szCs w:val="20"/>
                <w:color w:val="auto"/>
              </w:rPr>
            </w:pPr>
            <w:r>
              <w:rPr>
                <w:rFonts w:ascii="Arial" w:cs="Arial" w:eastAsia="Arial" w:hAnsi="Arial"/>
                <w:sz w:val="14"/>
                <w:szCs w:val="14"/>
                <w:color w:val="auto"/>
              </w:rPr>
              <w:t>shareholder feedback.</w:t>
            </w: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4340" w:type="dxa"/>
            <w:vAlign w:val="bottom"/>
          </w:tcPr>
          <w:p>
            <w:pPr>
              <w:ind w:left="40"/>
              <w:spacing w:after="0" w:line="126" w:lineRule="exact"/>
              <w:rPr>
                <w:sz w:val="20"/>
                <w:szCs w:val="20"/>
                <w:color w:val="auto"/>
              </w:rPr>
            </w:pPr>
            <w:r>
              <w:rPr>
                <w:rFonts w:ascii="Arial" w:cs="Arial" w:eastAsia="Arial" w:hAnsi="Arial"/>
                <w:sz w:val="14"/>
                <w:szCs w:val="14"/>
                <w:color w:val="auto"/>
              </w:rPr>
              <w:t>and evaluates the Chair and CEO’s performance. The People and</w:t>
            </w:r>
          </w:p>
        </w:tc>
        <w:tc>
          <w:tcPr>
            <w:tcW w:w="140" w:type="dxa"/>
            <w:vAlign w:val="bottom"/>
            <w:vMerge w:val="restart"/>
          </w:tcPr>
          <w:p>
            <w:pPr>
              <w:ind w:left="60"/>
              <w:spacing w:after="0"/>
              <w:rPr>
                <w:sz w:val="20"/>
                <w:szCs w:val="20"/>
                <w:color w:val="auto"/>
              </w:rPr>
            </w:pPr>
            <w:r>
              <w:rPr>
                <w:rFonts w:ascii="Arial" w:cs="Arial" w:eastAsia="Arial" w:hAnsi="Arial"/>
                <w:sz w:val="17"/>
                <w:szCs w:val="17"/>
                <w:color w:val="582C83"/>
              </w:rPr>
              <w:t>•</w:t>
            </w:r>
          </w:p>
        </w:tc>
        <w:tc>
          <w:tcPr>
            <w:tcW w:w="4400" w:type="dxa"/>
            <w:vAlign w:val="bottom"/>
            <w:vMerge w:val="restart"/>
          </w:tcPr>
          <w:p>
            <w:pPr>
              <w:ind w:left="40"/>
              <w:spacing w:after="0"/>
              <w:rPr>
                <w:sz w:val="20"/>
                <w:szCs w:val="20"/>
                <w:color w:val="auto"/>
              </w:rPr>
            </w:pPr>
            <w:r>
              <w:rPr>
                <w:rFonts w:ascii="Arial" w:cs="Arial" w:eastAsia="Arial" w:hAnsi="Arial"/>
                <w:sz w:val="14"/>
                <w:szCs w:val="14"/>
                <w:color w:val="auto"/>
              </w:rPr>
              <w:t>Enhances management accountability.</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4340" w:type="dxa"/>
            <w:vAlign w:val="bottom"/>
          </w:tcPr>
          <w:p>
            <w:pPr>
              <w:ind w:left="40"/>
              <w:spacing w:after="0"/>
              <w:rPr>
                <w:sz w:val="20"/>
                <w:szCs w:val="20"/>
                <w:color w:val="auto"/>
              </w:rPr>
            </w:pPr>
            <w:r>
              <w:rPr>
                <w:rFonts w:ascii="Arial" w:cs="Arial" w:eastAsia="Arial" w:hAnsi="Arial"/>
                <w:sz w:val="14"/>
                <w:szCs w:val="14"/>
                <w:color w:val="auto"/>
              </w:rPr>
              <w:t>Compensation Committee seeks input from the other directors</w:t>
            </w:r>
          </w:p>
        </w:tc>
        <w:tc>
          <w:tcPr>
            <w:tcW w:w="140" w:type="dxa"/>
            <w:vAlign w:val="bottom"/>
            <w:vMerge w:val="continue"/>
          </w:tcPr>
          <w:p>
            <w:pPr>
              <w:spacing w:after="0"/>
              <w:rPr>
                <w:sz w:val="14"/>
                <w:szCs w:val="14"/>
                <w:color w:val="auto"/>
              </w:rPr>
            </w:pPr>
          </w:p>
        </w:tc>
        <w:tc>
          <w:tcPr>
            <w:tcW w:w="4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4340" w:type="dxa"/>
            <w:vAlign w:val="bottom"/>
          </w:tcPr>
          <w:p>
            <w:pPr>
              <w:ind w:left="40"/>
              <w:spacing w:after="0"/>
              <w:rPr>
                <w:sz w:val="20"/>
                <w:szCs w:val="20"/>
                <w:color w:val="auto"/>
              </w:rPr>
            </w:pPr>
            <w:r>
              <w:rPr>
                <w:rFonts w:ascii="Arial" w:cs="Arial" w:eastAsia="Arial" w:hAnsi="Arial"/>
                <w:sz w:val="14"/>
                <w:szCs w:val="14"/>
                <w:color w:val="auto"/>
              </w:rPr>
              <w:t>before deciding on a performance rating and</w:t>
            </w:r>
          </w:p>
        </w:tc>
        <w:tc>
          <w:tcPr>
            <w:tcW w:w="140" w:type="dxa"/>
            <w:vAlign w:val="bottom"/>
          </w:tcPr>
          <w:p>
            <w:pPr>
              <w:ind w:left="60"/>
              <w:spacing w:after="0" w:line="185" w:lineRule="exact"/>
              <w:rPr>
                <w:sz w:val="20"/>
                <w:szCs w:val="20"/>
                <w:color w:val="auto"/>
              </w:rPr>
            </w:pPr>
            <w:r>
              <w:rPr>
                <w:rFonts w:ascii="Arial" w:cs="Arial" w:eastAsia="Arial" w:hAnsi="Arial"/>
                <w:sz w:val="17"/>
                <w:szCs w:val="17"/>
                <w:color w:val="582C83"/>
              </w:rPr>
              <w:t>•</w:t>
            </w:r>
          </w:p>
        </w:tc>
        <w:tc>
          <w:tcPr>
            <w:tcW w:w="4400" w:type="dxa"/>
            <w:vAlign w:val="bottom"/>
          </w:tcPr>
          <w:p>
            <w:pPr>
              <w:ind w:left="40"/>
              <w:spacing w:after="0" w:line="161" w:lineRule="exact"/>
              <w:rPr>
                <w:sz w:val="20"/>
                <w:szCs w:val="20"/>
                <w:color w:val="auto"/>
              </w:rPr>
            </w:pPr>
            <w:r>
              <w:rPr>
                <w:rFonts w:ascii="Arial" w:cs="Arial" w:eastAsia="Arial" w:hAnsi="Arial"/>
                <w:sz w:val="14"/>
                <w:szCs w:val="14"/>
                <w:color w:val="auto"/>
              </w:rPr>
              <w:t>Promotes long</w:t>
            </w:r>
            <w:r>
              <w:rPr>
                <w:rFonts w:ascii="MS PGothic" w:cs="MS PGothic" w:eastAsia="MS PGothic" w:hAnsi="MS PGothic"/>
                <w:sz w:val="14"/>
                <w:szCs w:val="14"/>
                <w:color w:val="auto"/>
              </w:rPr>
              <w:t>‑</w:t>
            </w:r>
            <w:r>
              <w:rPr>
                <w:rFonts w:ascii="Arial" w:cs="Arial" w:eastAsia="Arial" w:hAnsi="Arial"/>
                <w:sz w:val="14"/>
                <w:szCs w:val="14"/>
                <w:color w:val="auto"/>
              </w:rPr>
              <w:t>term shareholder returns.</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4340" w:type="dxa"/>
            <w:vAlign w:val="bottom"/>
          </w:tcPr>
          <w:p>
            <w:pPr>
              <w:ind w:left="40"/>
              <w:spacing w:after="0"/>
              <w:rPr>
                <w:sz w:val="20"/>
                <w:szCs w:val="20"/>
                <w:color w:val="auto"/>
              </w:rPr>
            </w:pPr>
            <w:r>
              <w:rPr>
                <w:rFonts w:ascii="Arial" w:cs="Arial" w:eastAsia="Arial" w:hAnsi="Arial"/>
                <w:sz w:val="14"/>
                <w:szCs w:val="14"/>
                <w:color w:val="auto"/>
              </w:rPr>
              <w:t>compensation actions.</w:t>
            </w:r>
          </w:p>
        </w:tc>
        <w:tc>
          <w:tcPr>
            <w:tcW w:w="14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-2599690</wp:posOffset>
            </wp:positionV>
            <wp:extent cx="6810375" cy="48025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10375" cy="4802505"/>
                    </a:xfrm>
                    <a:prstGeom prst="rect">
                      <a:avLst/>
                    </a:prstGeom>
                    <a:noFill/>
                  </pic:spPr>
                </pic:pic>
              </a:graphicData>
            </a:graphic>
          </wp:anchor>
        </w:drawing>
      </w:r>
    </w:p>
    <w:p>
      <w:pPr>
        <w:ind w:left="200" w:right="4940" w:hanging="132"/>
        <w:spacing w:after="0" w:line="264" w:lineRule="auto"/>
        <w:tabs>
          <w:tab w:leader="none" w:pos="200" w:val="left"/>
        </w:tabs>
        <w:numPr>
          <w:ilvl w:val="0"/>
          <w:numId w:val="35"/>
        </w:numPr>
        <w:rPr>
          <w:rFonts w:ascii="Arial" w:cs="Arial" w:eastAsia="Arial" w:hAnsi="Arial"/>
          <w:sz w:val="14"/>
          <w:szCs w:val="14"/>
          <w:color w:val="582C83"/>
        </w:rPr>
      </w:pPr>
      <w:r>
        <w:rPr>
          <w:rFonts w:ascii="Arial" w:cs="Arial" w:eastAsia="Arial" w:hAnsi="Arial"/>
          <w:sz w:val="14"/>
          <w:szCs w:val="14"/>
          <w:color w:val="auto"/>
        </w:rPr>
        <w:t>The People and Compensation Committee also oversees our executive compensation program.</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gridSpan w:val="2"/>
          </w:tcPr>
          <w:p>
            <w:pPr>
              <w:ind w:left="60"/>
              <w:spacing w:after="0"/>
              <w:rPr>
                <w:sz w:val="20"/>
                <w:szCs w:val="20"/>
                <w:color w:val="auto"/>
              </w:rPr>
            </w:pPr>
            <w:r>
              <w:rPr>
                <w:rFonts w:ascii="Arial" w:cs="Arial" w:eastAsia="Arial" w:hAnsi="Arial"/>
                <w:sz w:val="14"/>
                <w:szCs w:val="14"/>
                <w:color w:val="auto"/>
              </w:rPr>
              <w:t>Board Oversight of Strategy and Risk Management.</w:t>
            </w:r>
          </w:p>
        </w:tc>
        <w:tc>
          <w:tcPr>
            <w:tcW w:w="140" w:type="dxa"/>
            <w:vAlign w:val="bottom"/>
          </w:tcPr>
          <w:p>
            <w:pPr>
              <w:ind w:left="60"/>
              <w:spacing w:after="0"/>
              <w:rPr>
                <w:sz w:val="20"/>
                <w:szCs w:val="20"/>
                <w:color w:val="auto"/>
              </w:rPr>
            </w:pPr>
            <w:r>
              <w:rPr>
                <w:rFonts w:ascii="Arial" w:cs="Arial" w:eastAsia="Arial" w:hAnsi="Arial"/>
                <w:sz w:val="17"/>
                <w:szCs w:val="17"/>
                <w:color w:val="582C83"/>
              </w:rPr>
              <w:t>•</w:t>
            </w:r>
          </w:p>
        </w:tc>
        <w:tc>
          <w:tcPr>
            <w:tcW w:w="4400" w:type="dxa"/>
            <w:vAlign w:val="bottom"/>
          </w:tcPr>
          <w:p>
            <w:pPr>
              <w:ind w:left="40"/>
              <w:spacing w:after="0"/>
              <w:rPr>
                <w:sz w:val="20"/>
                <w:szCs w:val="20"/>
                <w:color w:val="auto"/>
              </w:rPr>
            </w:pPr>
            <w:r>
              <w:rPr>
                <w:rFonts w:ascii="Arial" w:cs="Arial" w:eastAsia="Arial" w:hAnsi="Arial"/>
                <w:sz w:val="14"/>
                <w:szCs w:val="14"/>
                <w:color w:val="auto"/>
              </w:rPr>
              <w:t>Enhances management accountability as the Company’s goals and</w:t>
            </w:r>
          </w:p>
        </w:tc>
      </w:tr>
      <w:tr>
        <w:trPr>
          <w:trHeight w:val="205"/>
        </w:trPr>
        <w:tc>
          <w:tcPr>
            <w:tcW w:w="160" w:type="dxa"/>
            <w:vAlign w:val="bottom"/>
            <w:tcBorders>
              <w:bottom w:val="single" w:sz="8" w:color="582C83"/>
            </w:tcBorders>
          </w:tcPr>
          <w:p>
            <w:pPr>
              <w:ind w:left="60"/>
              <w:spacing w:after="0"/>
              <w:rPr>
                <w:sz w:val="20"/>
                <w:szCs w:val="20"/>
                <w:color w:val="auto"/>
              </w:rPr>
            </w:pPr>
            <w:r>
              <w:rPr>
                <w:rFonts w:ascii="Arial" w:cs="Arial" w:eastAsia="Arial" w:hAnsi="Arial"/>
                <w:sz w:val="14"/>
                <w:szCs w:val="14"/>
                <w:color w:val="582C83"/>
              </w:rPr>
              <w:t>•</w:t>
            </w:r>
          </w:p>
        </w:tc>
        <w:tc>
          <w:tcPr>
            <w:tcW w:w="4340" w:type="dxa"/>
            <w:vAlign w:val="bottom"/>
            <w:tcBorders>
              <w:bottom w:val="single" w:sz="8" w:color="582C83"/>
            </w:tcBorders>
          </w:tcPr>
          <w:p>
            <w:pPr>
              <w:ind w:left="40"/>
              <w:spacing w:after="0"/>
              <w:rPr>
                <w:sz w:val="20"/>
                <w:szCs w:val="20"/>
                <w:color w:val="auto"/>
              </w:rPr>
            </w:pPr>
            <w:r>
              <w:rPr>
                <w:rFonts w:ascii="Arial" w:cs="Arial" w:eastAsia="Arial" w:hAnsi="Arial"/>
                <w:sz w:val="14"/>
                <w:szCs w:val="14"/>
                <w:color w:val="auto"/>
              </w:rPr>
              <w:t>The Board reviews the Company’s strategic plan periodically and</w:t>
            </w:r>
          </w:p>
        </w:tc>
        <w:tc>
          <w:tcPr>
            <w:tcW w:w="140" w:type="dxa"/>
            <w:vAlign w:val="bottom"/>
            <w:tcBorders>
              <w:bottom w:val="single" w:sz="8" w:color="582C83"/>
            </w:tcBorders>
          </w:tcPr>
          <w:p>
            <w:pPr>
              <w:spacing w:after="0"/>
              <w:rPr>
                <w:sz w:val="17"/>
                <w:szCs w:val="17"/>
                <w:color w:val="auto"/>
              </w:rPr>
            </w:pPr>
          </w:p>
        </w:tc>
        <w:tc>
          <w:tcPr>
            <w:tcW w:w="4400" w:type="dxa"/>
            <w:vAlign w:val="bottom"/>
            <w:tcBorders>
              <w:bottom w:val="single" w:sz="8" w:color="582C83"/>
            </w:tcBorders>
          </w:tcPr>
          <w:p>
            <w:pPr>
              <w:ind w:left="40"/>
              <w:spacing w:after="0"/>
              <w:rPr>
                <w:sz w:val="20"/>
                <w:szCs w:val="20"/>
                <w:color w:val="auto"/>
              </w:rPr>
            </w:pPr>
            <w:r>
              <w:rPr>
                <w:rFonts w:ascii="Arial" w:cs="Arial" w:eastAsia="Arial" w:hAnsi="Arial"/>
                <w:sz w:val="14"/>
                <w:szCs w:val="14"/>
                <w:color w:val="auto"/>
              </w:rPr>
              <w:t>executive compensation design are tied to a number of metrics</w:t>
            </w:r>
          </w:p>
        </w:tc>
      </w:tr>
      <w:tr>
        <w:trPr>
          <w:trHeight w:val="153"/>
        </w:trPr>
        <w:tc>
          <w:tcPr>
            <w:tcW w:w="160" w:type="dxa"/>
            <w:vAlign w:val="bottom"/>
          </w:tcPr>
          <w:p>
            <w:pPr>
              <w:spacing w:after="0"/>
              <w:rPr>
                <w:sz w:val="13"/>
                <w:szCs w:val="13"/>
                <w:color w:val="auto"/>
              </w:rPr>
            </w:pPr>
          </w:p>
        </w:tc>
        <w:tc>
          <w:tcPr>
            <w:tcW w:w="4340" w:type="dxa"/>
            <w:vAlign w:val="bottom"/>
          </w:tcPr>
          <w:p>
            <w:pPr>
              <w:ind w:left="40"/>
              <w:spacing w:after="0" w:line="153" w:lineRule="exact"/>
              <w:rPr>
                <w:sz w:val="20"/>
                <w:szCs w:val="20"/>
                <w:color w:val="auto"/>
              </w:rPr>
            </w:pPr>
            <w:r>
              <w:rPr>
                <w:rFonts w:ascii="Arial" w:cs="Arial" w:eastAsia="Arial" w:hAnsi="Arial"/>
                <w:sz w:val="14"/>
                <w:szCs w:val="14"/>
                <w:color w:val="auto"/>
              </w:rPr>
              <w:t>holds at least one meeting per year primarily dedicated to strategy.</w:t>
            </w:r>
          </w:p>
        </w:tc>
        <w:tc>
          <w:tcPr>
            <w:tcW w:w="140" w:type="dxa"/>
            <w:vAlign w:val="bottom"/>
            <w:tcBorders>
              <w:top w:val="single" w:sz="8" w:color="E0DBEA"/>
            </w:tcBorders>
          </w:tcPr>
          <w:p>
            <w:pPr>
              <w:spacing w:after="0"/>
              <w:rPr>
                <w:sz w:val="13"/>
                <w:szCs w:val="13"/>
                <w:color w:val="auto"/>
              </w:rPr>
            </w:pPr>
          </w:p>
        </w:tc>
        <w:tc>
          <w:tcPr>
            <w:tcW w:w="4400" w:type="dxa"/>
            <w:vAlign w:val="bottom"/>
            <w:tcBorders>
              <w:top w:val="single" w:sz="8" w:color="E0DBEA"/>
            </w:tcBorders>
          </w:tcPr>
          <w:p>
            <w:pPr>
              <w:ind w:left="40"/>
              <w:spacing w:after="0" w:line="153" w:lineRule="exact"/>
              <w:rPr>
                <w:sz w:val="20"/>
                <w:szCs w:val="20"/>
                <w:color w:val="auto"/>
              </w:rPr>
            </w:pPr>
            <w:r>
              <w:rPr>
                <w:rFonts w:ascii="Arial" w:cs="Arial" w:eastAsia="Arial" w:hAnsi="Arial"/>
                <w:sz w:val="14"/>
                <w:szCs w:val="14"/>
                <w:color w:val="auto"/>
              </w:rPr>
              <w:t>critical to achieving the strategic plan and promoting long</w:t>
            </w:r>
            <w:r>
              <w:rPr>
                <w:rFonts w:ascii="MS PGothic" w:cs="MS PGothic" w:eastAsia="MS PGothic" w:hAnsi="MS PGothic"/>
                <w:sz w:val="14"/>
                <w:szCs w:val="14"/>
                <w:color w:val="auto"/>
              </w:rPr>
              <w:t>‑</w:t>
            </w:r>
            <w:r>
              <w:rPr>
                <w:rFonts w:ascii="Arial" w:cs="Arial" w:eastAsia="Arial" w:hAnsi="Arial"/>
                <w:sz w:val="14"/>
                <w:szCs w:val="14"/>
                <w:color w:val="auto"/>
              </w:rPr>
              <w:t>term</w:t>
            </w:r>
          </w:p>
        </w:tc>
      </w:tr>
      <w:tr>
        <w:trPr>
          <w:trHeight w:val="175"/>
        </w:trPr>
        <w:tc>
          <w:tcPr>
            <w:tcW w:w="160" w:type="dxa"/>
            <w:vAlign w:val="bottom"/>
          </w:tcPr>
          <w:p>
            <w:pPr>
              <w:ind w:left="60"/>
              <w:spacing w:after="0"/>
              <w:rPr>
                <w:sz w:val="20"/>
                <w:szCs w:val="20"/>
                <w:color w:val="auto"/>
              </w:rPr>
            </w:pPr>
            <w:r>
              <w:rPr>
                <w:rFonts w:ascii="Arial" w:cs="Arial" w:eastAsia="Arial" w:hAnsi="Arial"/>
                <w:sz w:val="14"/>
                <w:szCs w:val="14"/>
                <w:color w:val="582C83"/>
              </w:rPr>
              <w:t>•</w:t>
            </w:r>
          </w:p>
        </w:tc>
        <w:tc>
          <w:tcPr>
            <w:tcW w:w="4340" w:type="dxa"/>
            <w:vAlign w:val="bottom"/>
          </w:tcPr>
          <w:p>
            <w:pPr>
              <w:ind w:left="40"/>
              <w:spacing w:after="0"/>
              <w:rPr>
                <w:sz w:val="20"/>
                <w:szCs w:val="20"/>
                <w:color w:val="auto"/>
              </w:rPr>
            </w:pPr>
            <w:r>
              <w:rPr>
                <w:rFonts w:ascii="Arial" w:cs="Arial" w:eastAsia="Arial" w:hAnsi="Arial"/>
                <w:sz w:val="14"/>
                <w:szCs w:val="14"/>
                <w:color w:val="auto"/>
              </w:rPr>
              <w:t>The Board also has ultimate responsibility for risk oversight and</w:t>
            </w:r>
          </w:p>
        </w:tc>
        <w:tc>
          <w:tcPr>
            <w:tcW w:w="140" w:type="dxa"/>
            <w:vAlign w:val="bottom"/>
          </w:tcPr>
          <w:p>
            <w:pPr>
              <w:spacing w:after="0"/>
              <w:rPr>
                <w:sz w:val="15"/>
                <w:szCs w:val="15"/>
                <w:color w:val="auto"/>
              </w:rPr>
            </w:pPr>
          </w:p>
        </w:tc>
        <w:tc>
          <w:tcPr>
            <w:tcW w:w="4400" w:type="dxa"/>
            <w:vAlign w:val="bottom"/>
          </w:tcPr>
          <w:p>
            <w:pPr>
              <w:ind w:left="40"/>
              <w:spacing w:after="0"/>
              <w:rPr>
                <w:sz w:val="20"/>
                <w:szCs w:val="20"/>
                <w:color w:val="auto"/>
              </w:rPr>
            </w:pPr>
            <w:r>
              <w:rPr>
                <w:rFonts w:ascii="Arial" w:cs="Arial" w:eastAsia="Arial" w:hAnsi="Arial"/>
                <w:sz w:val="14"/>
                <w:szCs w:val="14"/>
                <w:color w:val="auto"/>
              </w:rPr>
              <w:t>shareholder returns.</w:t>
            </w:r>
          </w:p>
        </w:tc>
      </w:tr>
      <w:tr>
        <w:trPr>
          <w:trHeight w:val="176"/>
        </w:trPr>
        <w:tc>
          <w:tcPr>
            <w:tcW w:w="160" w:type="dxa"/>
            <w:vAlign w:val="bottom"/>
          </w:tcPr>
          <w:p>
            <w:pPr>
              <w:spacing w:after="0"/>
              <w:rPr>
                <w:sz w:val="15"/>
                <w:szCs w:val="15"/>
                <w:color w:val="auto"/>
              </w:rPr>
            </w:pPr>
          </w:p>
        </w:tc>
        <w:tc>
          <w:tcPr>
            <w:tcW w:w="4340" w:type="dxa"/>
            <w:vAlign w:val="bottom"/>
          </w:tcPr>
          <w:p>
            <w:pPr>
              <w:ind w:left="40"/>
              <w:spacing w:after="0"/>
              <w:rPr>
                <w:sz w:val="20"/>
                <w:szCs w:val="20"/>
                <w:color w:val="auto"/>
              </w:rPr>
            </w:pPr>
            <w:r>
              <w:rPr>
                <w:rFonts w:ascii="Arial" w:cs="Arial" w:eastAsia="Arial" w:hAnsi="Arial"/>
                <w:sz w:val="14"/>
                <w:szCs w:val="14"/>
                <w:color w:val="auto"/>
              </w:rPr>
              <w:t>exercises its risk oversight responsibility at both the Board and</w:t>
            </w:r>
          </w:p>
        </w:tc>
        <w:tc>
          <w:tcPr>
            <w:tcW w:w="140" w:type="dxa"/>
            <w:vAlign w:val="bottom"/>
          </w:tcPr>
          <w:p>
            <w:pPr>
              <w:ind w:left="60"/>
              <w:spacing w:after="0" w:line="176" w:lineRule="exact"/>
              <w:rPr>
                <w:sz w:val="20"/>
                <w:szCs w:val="20"/>
                <w:color w:val="auto"/>
              </w:rPr>
            </w:pPr>
            <w:r>
              <w:rPr>
                <w:rFonts w:ascii="Arial" w:cs="Arial" w:eastAsia="Arial" w:hAnsi="Arial"/>
                <w:sz w:val="17"/>
                <w:szCs w:val="17"/>
                <w:color w:val="582C83"/>
              </w:rPr>
              <w:t>•</w:t>
            </w:r>
          </w:p>
        </w:tc>
        <w:tc>
          <w:tcPr>
            <w:tcW w:w="4400" w:type="dxa"/>
            <w:vAlign w:val="bottom"/>
          </w:tcPr>
          <w:p>
            <w:pPr>
              <w:ind w:left="40"/>
              <w:spacing w:after="0"/>
              <w:rPr>
                <w:sz w:val="20"/>
                <w:szCs w:val="20"/>
                <w:color w:val="auto"/>
              </w:rPr>
            </w:pPr>
            <w:r>
              <w:rPr>
                <w:rFonts w:ascii="Arial" w:cs="Arial" w:eastAsia="Arial" w:hAnsi="Arial"/>
                <w:sz w:val="14"/>
                <w:szCs w:val="14"/>
                <w:color w:val="auto"/>
              </w:rPr>
              <w:t>At Board meetings held throughout the year, the Board and</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ind w:left="200"/>
              <w:spacing w:after="0"/>
              <w:rPr>
                <w:sz w:val="20"/>
                <w:szCs w:val="20"/>
                <w:color w:val="auto"/>
              </w:rPr>
            </w:pPr>
            <w:r>
              <w:rPr>
                <w:rFonts w:ascii="Arial" w:cs="Arial" w:eastAsia="Arial" w:hAnsi="Arial"/>
                <w:sz w:val="14"/>
                <w:szCs w:val="14"/>
                <w:color w:val="auto"/>
              </w:rPr>
              <w:t>committee level.</w:t>
            </w:r>
          </w:p>
        </w:tc>
        <w:tc>
          <w:tcPr>
            <w:tcW w:w="5600" w:type="dxa"/>
            <w:vAlign w:val="bottom"/>
            <w:vMerge w:val="restart"/>
          </w:tcPr>
          <w:p>
            <w:pPr>
              <w:ind w:left="1240"/>
              <w:spacing w:after="0"/>
              <w:rPr>
                <w:sz w:val="20"/>
                <w:szCs w:val="20"/>
                <w:color w:val="auto"/>
              </w:rPr>
            </w:pPr>
            <w:r>
              <w:rPr>
                <w:rFonts w:ascii="Arial" w:cs="Arial" w:eastAsia="Arial" w:hAnsi="Arial"/>
                <w:sz w:val="14"/>
                <w:szCs w:val="14"/>
                <w:color w:val="auto"/>
              </w:rPr>
              <w:t>management track progress against the strategic plan’s goals,</w:t>
            </w:r>
          </w:p>
        </w:tc>
        <w:tc>
          <w:tcPr>
            <w:tcW w:w="0" w:type="dxa"/>
            <w:vAlign w:val="bottom"/>
          </w:tcPr>
          <w:p>
            <w:pPr>
              <w:spacing w:after="0"/>
              <w:rPr>
                <w:sz w:val="1"/>
                <w:szCs w:val="1"/>
                <w:color w:val="auto"/>
              </w:rPr>
            </w:pPr>
          </w:p>
        </w:tc>
      </w:tr>
      <w:tr>
        <w:trPr>
          <w:trHeight w:val="66"/>
        </w:trPr>
        <w:tc>
          <w:tcPr>
            <w:tcW w:w="3440" w:type="dxa"/>
            <w:vAlign w:val="bottom"/>
          </w:tcPr>
          <w:p>
            <w:pPr>
              <w:spacing w:after="0"/>
              <w:rPr>
                <w:sz w:val="5"/>
                <w:szCs w:val="5"/>
                <w:color w:val="auto"/>
              </w:rPr>
            </w:pPr>
          </w:p>
        </w:tc>
        <w:tc>
          <w:tcPr>
            <w:tcW w:w="5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5600" w:type="dxa"/>
            <w:vAlign w:val="bottom"/>
          </w:tcPr>
          <w:p>
            <w:pPr>
              <w:ind w:left="1240"/>
              <w:spacing w:after="0"/>
              <w:rPr>
                <w:sz w:val="20"/>
                <w:szCs w:val="20"/>
                <w:color w:val="auto"/>
              </w:rPr>
            </w:pPr>
            <w:r>
              <w:rPr>
                <w:rFonts w:ascii="Arial" w:cs="Arial" w:eastAsia="Arial" w:hAnsi="Arial"/>
                <w:sz w:val="14"/>
                <w:szCs w:val="14"/>
                <w:color w:val="auto"/>
              </w:rPr>
              <w:t>consider impacts due to changing circumstances in the industry</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5600" w:type="dxa"/>
            <w:vAlign w:val="bottom"/>
          </w:tcPr>
          <w:p>
            <w:pPr>
              <w:ind w:left="1240"/>
              <w:spacing w:after="0"/>
              <w:rPr>
                <w:sz w:val="20"/>
                <w:szCs w:val="20"/>
                <w:color w:val="auto"/>
              </w:rPr>
            </w:pPr>
            <w:r>
              <w:rPr>
                <w:rFonts w:ascii="Arial" w:cs="Arial" w:eastAsia="Arial" w:hAnsi="Arial"/>
                <w:sz w:val="14"/>
                <w:szCs w:val="14"/>
                <w:color w:val="auto"/>
              </w:rPr>
              <w:t>and the economic environment, and monitor strategic and</w:t>
            </w:r>
          </w:p>
        </w:tc>
        <w:tc>
          <w:tcPr>
            <w:tcW w:w="0" w:type="dxa"/>
            <w:vAlign w:val="bottom"/>
          </w:tcPr>
          <w:p>
            <w:pPr>
              <w:spacing w:after="0"/>
              <w:rPr>
                <w:sz w:val="1"/>
                <w:szCs w:val="1"/>
                <w:color w:val="auto"/>
              </w:rPr>
            </w:pPr>
          </w:p>
        </w:tc>
      </w:tr>
      <w:tr>
        <w:trPr>
          <w:trHeight w:val="190"/>
        </w:trPr>
        <w:tc>
          <w:tcPr>
            <w:tcW w:w="3440" w:type="dxa"/>
            <w:vAlign w:val="bottom"/>
          </w:tcPr>
          <w:p>
            <w:pPr>
              <w:spacing w:after="0"/>
              <w:rPr>
                <w:sz w:val="16"/>
                <w:szCs w:val="16"/>
                <w:color w:val="auto"/>
              </w:rPr>
            </w:pPr>
          </w:p>
        </w:tc>
        <w:tc>
          <w:tcPr>
            <w:tcW w:w="5600" w:type="dxa"/>
            <w:vAlign w:val="bottom"/>
          </w:tcPr>
          <w:p>
            <w:pPr>
              <w:ind w:left="1240"/>
              <w:spacing w:after="0"/>
              <w:rPr>
                <w:sz w:val="20"/>
                <w:szCs w:val="20"/>
                <w:color w:val="auto"/>
              </w:rPr>
            </w:pPr>
            <w:r>
              <w:rPr>
                <w:rFonts w:ascii="Arial" w:cs="Arial" w:eastAsia="Arial" w:hAnsi="Arial"/>
                <w:sz w:val="14"/>
                <w:szCs w:val="14"/>
                <w:color w:val="auto"/>
              </w:rPr>
              <w:t>operational risks.</w:t>
            </w:r>
          </w:p>
        </w:tc>
        <w:tc>
          <w:tcPr>
            <w:tcW w:w="0" w:type="dxa"/>
            <w:vAlign w:val="bottom"/>
          </w:tcPr>
          <w:p>
            <w:pPr>
              <w:spacing w:after="0"/>
              <w:rPr>
                <w:sz w:val="1"/>
                <w:szCs w:val="1"/>
                <w:color w:val="auto"/>
              </w:rPr>
            </w:pPr>
          </w:p>
        </w:tc>
      </w:tr>
      <w:tr>
        <w:trPr>
          <w:trHeight w:val="683"/>
        </w:trPr>
        <w:tc>
          <w:tcPr>
            <w:tcW w:w="3440" w:type="dxa"/>
            <w:vAlign w:val="bottom"/>
            <w:tcBorders>
              <w:bottom w:val="single" w:sz="8" w:color="582C83"/>
            </w:tcBorders>
          </w:tcPr>
          <w:p>
            <w:pPr>
              <w:spacing w:after="0"/>
              <w:rPr>
                <w:sz w:val="24"/>
                <w:szCs w:val="24"/>
                <w:color w:val="auto"/>
              </w:rPr>
            </w:pPr>
          </w:p>
        </w:tc>
        <w:tc>
          <w:tcPr>
            <w:tcW w:w="5600" w:type="dxa"/>
            <w:vAlign w:val="bottom"/>
            <w:tcBorders>
              <w:bottom w:val="single" w:sz="8" w:color="582C83"/>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440" w:type="dxa"/>
            <w:vAlign w:val="bottom"/>
          </w:tcPr>
          <w:p>
            <w:pPr>
              <w:ind w:left="60"/>
              <w:spacing w:after="0"/>
              <w:rPr>
                <w:sz w:val="20"/>
                <w:szCs w:val="20"/>
                <w:color w:val="auto"/>
              </w:rPr>
            </w:pPr>
            <w:r>
              <w:rPr>
                <w:rFonts w:ascii="Arial" w:cs="Arial" w:eastAsia="Arial" w:hAnsi="Arial"/>
                <w:sz w:val="14"/>
                <w:szCs w:val="14"/>
                <w:b w:val="1"/>
                <w:bCs w:val="1"/>
                <w:color w:val="582C83"/>
              </w:rPr>
              <w:t>34 | 2026 PROXY STATEMENT</w:t>
            </w:r>
          </w:p>
        </w:tc>
        <w:tc>
          <w:tcPr>
            <w:tcW w:w="5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319405</wp:posOffset>
            </wp:positionV>
            <wp:extent cx="6810375" cy="5631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10375" cy="563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20"/>
        <w:spacing w:after="0"/>
        <w:rPr>
          <w:sz w:val="20"/>
          <w:szCs w:val="20"/>
          <w:color w:val="auto"/>
        </w:rPr>
      </w:pPr>
      <w:r>
        <w:rPr>
          <w:rFonts w:ascii="Arial" w:cs="Arial" w:eastAsia="Arial" w:hAnsi="Arial"/>
          <w:sz w:val="21"/>
          <w:szCs w:val="21"/>
          <w:b w:val="1"/>
          <w:bCs w:val="1"/>
          <w:color w:val="auto"/>
        </w:rPr>
        <w:t>CORPORATE GOVERNANCE</w:t>
      </w:r>
    </w:p>
    <w:p>
      <w:pPr>
        <w:spacing w:after="0" w:line="48" w:lineRule="exact"/>
        <w:rPr>
          <w:sz w:val="20"/>
          <w:szCs w:val="20"/>
          <w:color w:val="auto"/>
        </w:rPr>
      </w:pPr>
    </w:p>
    <w:p>
      <w:pPr>
        <w:ind w:left="6760"/>
        <w:spacing w:after="0"/>
        <w:rPr>
          <w:sz w:val="20"/>
          <w:szCs w:val="20"/>
          <w:color w:val="auto"/>
        </w:rPr>
      </w:pPr>
      <w:r>
        <w:rPr>
          <w:rFonts w:ascii="Arial" w:cs="Arial" w:eastAsia="Arial" w:hAnsi="Arial"/>
          <w:sz w:val="14"/>
          <w:szCs w:val="14"/>
          <w:color w:val="auto"/>
        </w:rPr>
        <w:t>Director Onboarding and Education</w:t>
      </w: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25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9"/>
          <w:szCs w:val="29"/>
          <w:b w:val="1"/>
          <w:bCs w:val="1"/>
          <w:color w:val="auto"/>
        </w:rPr>
        <w:t xml:space="preserve"> DIRECTOR ONBOARDING AND EDUCATION</w:t>
      </w:r>
    </w:p>
    <w:p>
      <w:pPr>
        <w:spacing w:after="0" w:line="205"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We provide new directors with a substantive onboarding program. They meet with numerous Company executives to learn about different aspects of Company operations, and they are invited to attend various Board committee meetings. Once new directors are appointed to committees, they meet with Company officers who support those committees.</w:t>
      </w:r>
    </w:p>
    <w:p>
      <w:pPr>
        <w:spacing w:after="0" w:line="58"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During their service, directors have opportunities to meet and talk with our employees during visits to Company facilities and during our Board and committee meetings. During 2025, directors toured the Twin Falls, Idaho Plant. During the visit, the Board met with employees and participated in a market visit.</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We also regularly conduct voluntary educational sessions for directors on a variety of topics relevant to the Company.</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In 2025, these sessions focused on brands and food policy developments.</w:t>
      </w:r>
    </w:p>
    <w:p>
      <w:pPr>
        <w:spacing w:after="0" w:line="129" w:lineRule="exact"/>
        <w:rPr>
          <w:sz w:val="20"/>
          <w:szCs w:val="20"/>
          <w:color w:val="auto"/>
        </w:rPr>
      </w:pPr>
    </w:p>
    <w:p>
      <w:pPr>
        <w:ind w:right="100"/>
        <w:spacing w:after="0" w:line="317" w:lineRule="auto"/>
        <w:rPr>
          <w:sz w:val="20"/>
          <w:szCs w:val="20"/>
          <w:color w:val="auto"/>
        </w:rPr>
      </w:pPr>
      <w:r>
        <w:rPr>
          <w:rFonts w:ascii="Arial" w:cs="Arial" w:eastAsia="Arial" w:hAnsi="Arial"/>
          <w:sz w:val="17"/>
          <w:szCs w:val="17"/>
          <w:color w:val="auto"/>
        </w:rPr>
        <w:t>In addition, the Company supports director participation in continuing education programs and reimburses directors for reasonable costs associated with attendance.</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BOARD LEADERSHIP STRUCTURE</w:t>
      </w:r>
    </w:p>
    <w:p>
      <w:pPr>
        <w:spacing w:after="0" w:line="131" w:lineRule="exact"/>
        <w:rPr>
          <w:sz w:val="20"/>
          <w:szCs w:val="20"/>
          <w:color w:val="auto"/>
        </w:rPr>
      </w:pPr>
    </w:p>
    <w:p>
      <w:pPr>
        <w:ind w:right="80"/>
        <w:spacing w:after="0" w:line="222" w:lineRule="exact"/>
        <w:rPr>
          <w:sz w:val="20"/>
          <w:szCs w:val="20"/>
          <w:color w:val="auto"/>
        </w:rPr>
      </w:pPr>
      <w:r>
        <w:rPr>
          <w:rFonts w:ascii="Arial" w:cs="Arial" w:eastAsia="Arial" w:hAnsi="Arial"/>
          <w:sz w:val="17"/>
          <w:szCs w:val="17"/>
          <w:color w:val="auto"/>
        </w:rPr>
        <w:t>The Board has a fiduciary duty to act as it believes to be in the best interests of the Company and its shareholders, including determining the leadership structure that will best serve those interests. The By</w:t>
      </w:r>
      <w:r>
        <w:rPr>
          <w:rFonts w:ascii="MS PGothic" w:cs="MS PGothic" w:eastAsia="MS PGothic" w:hAnsi="MS PGothic"/>
          <w:sz w:val="17"/>
          <w:szCs w:val="17"/>
          <w:color w:val="auto"/>
        </w:rPr>
        <w:t>‑</w:t>
      </w:r>
      <w:r>
        <w:rPr>
          <w:rFonts w:ascii="Arial" w:cs="Arial" w:eastAsia="Arial" w:hAnsi="Arial"/>
          <w:sz w:val="17"/>
          <w:szCs w:val="17"/>
          <w:color w:val="auto"/>
        </w:rPr>
        <w:t>Laws provide the Board flexibility in determining its leadership structure. Within this framework, the Board determines the most appropriate leadership structure at a given time in light of the Company’s needs and circumstances, as described more fully below.</w:t>
      </w:r>
    </w:p>
    <w:p>
      <w:pPr>
        <w:spacing w:after="0" w:line="99"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Board may determine that the CEO should also serve as Chair, and if it does so, the independent directors appoint a Lead Independent Director with broad and substantive duties and responsibilities that have considerable overlap with those of an independent Board Chair. The Lead Independent Director engages in planning and approving meeting schedules and agendas, including the review of briefing materials, and has the power to call meetings of the independent directors or the Board. As part of the Board’s regular agenda, the Lead Independent Director presides over executive sessions of the independent directors without the participation of the Chair and CEO. The Lead Independent Director also serves as a direct point of contact for shareholders and, since our 2025 Annual Meeting of Shareholders, led engagements with investors holding approximately 22% of our outstanding shares. The Lead Independent Director also frequently confers with the other independent directors on various Board and Company matters. In addition, the independent directors may assign, and from time to time have assigned, to the Lead Independent Director any additional duties over and above these fixed responsibilities as they deem appropriate.</w:t>
      </w:r>
    </w:p>
    <w:p>
      <w:pPr>
        <w:sectPr>
          <w:pgSz w:w="11900" w:h="16838" w:orient="portrait"/>
          <w:cols w:equalWidth="0" w:num="1">
            <w:col w:w="9040"/>
          </w:cols>
          <w:pgMar w:left="1420" w:top="100" w:right="1439" w:bottom="0" w:gutter="0" w:footer="0" w:header="0"/>
        </w:sectPr>
      </w:pPr>
    </w:p>
    <w:bookmarkStart w:id="32" w:name="page33"/>
    <w:bookmarkEnd w:id="32"/>
    <w:p>
      <w:pPr>
        <w:spacing w:after="0" w:line="92" w:lineRule="exact"/>
        <w:rPr>
          <w:sz w:val="20"/>
          <w:szCs w:val="20"/>
          <w:color w:val="auto"/>
        </w:rPr>
      </w:pPr>
    </w:p>
    <w:p>
      <w:pPr>
        <w:ind w:right="40"/>
        <w:spacing w:after="0" w:line="221" w:lineRule="exact"/>
        <w:rPr>
          <w:sz w:val="20"/>
          <w:szCs w:val="20"/>
          <w:color w:val="auto"/>
        </w:rPr>
      </w:pPr>
      <w:r>
        <w:rPr>
          <w:rFonts w:ascii="Arial" w:cs="Arial" w:eastAsia="Arial" w:hAnsi="Arial"/>
          <w:sz w:val="17"/>
          <w:szCs w:val="17"/>
          <w:color w:val="auto"/>
        </w:rPr>
        <w:t>In considering which leadership structure will allow it to carry out its responsibilities most effectively and best represent shareholders’ interests, the Board takes into account various factors. Among them are our specific business needs, our operating and financial performance, industry conditions, economic and regulatory environments, the results of Board and committee annual self</w:t>
      </w:r>
      <w:r>
        <w:rPr>
          <w:rFonts w:ascii="MS PGothic" w:cs="MS PGothic" w:eastAsia="MS PGothic" w:hAnsi="MS PGothic"/>
          <w:sz w:val="17"/>
          <w:szCs w:val="17"/>
          <w:color w:val="auto"/>
        </w:rPr>
        <w:t>‑</w:t>
      </w:r>
      <w:r>
        <w:rPr>
          <w:rFonts w:ascii="Arial" w:cs="Arial" w:eastAsia="Arial" w:hAnsi="Arial"/>
          <w:sz w:val="17"/>
          <w:szCs w:val="17"/>
          <w:color w:val="auto"/>
        </w:rPr>
        <w:t>assessments, the advantages and disadvantages of alternative leadership structures based on circumstances at that time, shareholder input, and our corporate governance practices. The Board recognizes the importance of the Company’s leadership structure to our shareholders and considers input on the topic obtained through robust 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-974725</wp:posOffset>
            </wp:positionV>
            <wp:extent cx="6810375" cy="32251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10375" cy="3225165"/>
                    </a:xfrm>
                    <a:prstGeom prst="rect">
                      <a:avLst/>
                    </a:prstGeom>
                    <a:noFill/>
                  </pic:spPr>
                </pic:pic>
              </a:graphicData>
            </a:graphic>
          </wp:anchor>
        </w:drawing>
      </w:r>
    </w:p>
    <w:p>
      <w:pPr>
        <w:spacing w:after="0" w:line="95" w:lineRule="exact"/>
        <w:rPr>
          <w:sz w:val="20"/>
          <w:szCs w:val="20"/>
          <w:color w:val="auto"/>
        </w:rPr>
      </w:pPr>
    </w:p>
    <w:p>
      <w:pPr>
        <w:ind w:right="420"/>
        <w:spacing w:after="0" w:line="282" w:lineRule="auto"/>
        <w:rPr>
          <w:sz w:val="20"/>
          <w:szCs w:val="20"/>
          <w:color w:val="auto"/>
        </w:rPr>
      </w:pPr>
      <w:r>
        <w:rPr>
          <w:rFonts w:ascii="Arial" w:cs="Arial" w:eastAsia="Arial" w:hAnsi="Arial"/>
          <w:sz w:val="17"/>
          <w:szCs w:val="17"/>
          <w:color w:val="auto"/>
        </w:rPr>
        <w:t>The Board believes that our shareholders benefit most when the Board has the flexibility and discretion to make decisions about the appropriate leadership structure for the Company in light of the Company’s needs and circumstances. At this time, the Board believes the current leadership structure continues to be appropriate for the Company and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72085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10375" cy="7208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CORPORATE GOVERNANCE</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Director Onboarding and Education</w:t>
      </w:r>
    </w:p>
    <w:p>
      <w:pPr>
        <w:spacing w:after="0" w:line="200" w:lineRule="exact"/>
        <w:rPr>
          <w:sz w:val="20"/>
          <w:szCs w:val="20"/>
          <w:color w:val="auto"/>
        </w:rPr>
      </w:pPr>
    </w:p>
    <w:p>
      <w:pPr>
        <w:spacing w:after="0" w:line="281" w:lineRule="exact"/>
        <w:rPr>
          <w:sz w:val="20"/>
          <w:szCs w:val="20"/>
          <w:color w:val="auto"/>
        </w:rPr>
      </w:pPr>
    </w:p>
    <w:p>
      <w:pPr>
        <w:ind w:right="800"/>
        <w:spacing w:after="0" w:line="285" w:lineRule="auto"/>
        <w:rPr>
          <w:sz w:val="20"/>
          <w:szCs w:val="20"/>
          <w:color w:val="auto"/>
        </w:rPr>
      </w:pPr>
      <w:r>
        <w:rPr>
          <w:rFonts w:ascii="Arial" w:cs="Arial" w:eastAsia="Arial" w:hAnsi="Arial"/>
          <w:sz w:val="22"/>
          <w:szCs w:val="22"/>
          <w:b w:val="1"/>
          <w:bCs w:val="1"/>
          <w:color w:val="582C83"/>
        </w:rPr>
        <w:t>THE BOARD’S CURRENT LEADERSHIP STRUCTURE PROVIDES INDEPENDENT LEADERSHIP AND MANAGEMENT OVERSIGHT</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Our Board is led by Mr. Van de Put, the Chair and CEO, together with Mr. Siewert, our Lead Independent Director. Each Board committee is composed entirely of, and is chaired by, independent directors, and each committee has a clearly defined area of oversight regarding key risks and Company functions. This leadership structure enhances the Board’s oversight of material risks because our Chair and CEO is uniquely positioned to identify emerging risks while our Lead Independent Director and Committee Chairs provide independent oversight of the Company’s risk management programs. Other than Mr. Van de Put, the Board is composed entirely of independent directors and each of them has access to the CEO and other company executives.</w:t>
      </w:r>
    </w:p>
    <w:p>
      <w:pPr>
        <w:spacing w:after="0" w:line="70"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Mr. Van de Put and Mr. Siewert work closely together. The Board believes that they, together with our Committee Chairs, provide appropriate Board leadership and oversight of the Company while facilitating effective and efficient functioning of both the Board and management. Under Mr. Van de Put’s leadership and the Board’s oversight, we have delivered strong total shareholder returns, outpacing many of our peers, and we have made sustained progress against our sustainability goals.</w:t>
      </w:r>
    </w:p>
    <w:p>
      <w:pPr>
        <w:sectPr>
          <w:pgSz w:w="11900" w:h="16931" w:orient="portrait"/>
          <w:cols w:equalWidth="0" w:num="1">
            <w:col w:w="9040"/>
          </w:cols>
          <w:pgMar w:left="1420" w:top="131" w:right="1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600"/>
        <w:spacing w:after="0"/>
        <w:rPr>
          <w:sz w:val="20"/>
          <w:szCs w:val="20"/>
          <w:color w:val="auto"/>
        </w:rPr>
      </w:pPr>
      <w:r>
        <w:rPr>
          <w:rFonts w:ascii="Arial" w:cs="Arial" w:eastAsia="Arial" w:hAnsi="Arial"/>
          <w:sz w:val="17"/>
          <w:szCs w:val="17"/>
          <w:b w:val="1"/>
          <w:bCs w:val="1"/>
          <w:color w:val="582C83"/>
        </w:rPr>
        <w:t>MR. VAN DE PUT</w:t>
      </w:r>
    </w:p>
    <w:p>
      <w:pPr>
        <w:spacing w:after="0" w:line="37" w:lineRule="exact"/>
        <w:rPr>
          <w:sz w:val="20"/>
          <w:szCs w:val="20"/>
          <w:color w:val="auto"/>
        </w:rPr>
      </w:pPr>
    </w:p>
    <w:p>
      <w:pPr>
        <w:ind w:left="1600"/>
        <w:spacing w:after="0"/>
        <w:rPr>
          <w:sz w:val="20"/>
          <w:szCs w:val="20"/>
          <w:color w:val="auto"/>
        </w:rPr>
      </w:pPr>
      <w:r>
        <w:rPr>
          <w:rFonts w:ascii="Arial" w:cs="Arial" w:eastAsia="Arial" w:hAnsi="Arial"/>
          <w:sz w:val="17"/>
          <w:szCs w:val="17"/>
          <w:b w:val="1"/>
          <w:bCs w:val="1"/>
          <w:color w:val="auto"/>
        </w:rPr>
        <w:t>Chair since 2018</w:t>
      </w:r>
    </w:p>
    <w:p>
      <w:pPr>
        <w:spacing w:after="0" w:line="86" w:lineRule="exact"/>
        <w:rPr>
          <w:sz w:val="20"/>
          <w:szCs w:val="20"/>
          <w:color w:val="auto"/>
        </w:rPr>
      </w:pPr>
    </w:p>
    <w:p>
      <w:pPr>
        <w:ind w:left="280" w:right="160"/>
        <w:spacing w:after="0" w:line="207" w:lineRule="exact"/>
        <w:rPr>
          <w:sz w:val="20"/>
          <w:szCs w:val="20"/>
          <w:color w:val="auto"/>
        </w:rPr>
      </w:pPr>
      <w:r>
        <w:rPr>
          <w:rFonts w:ascii="Arial" w:cs="Arial" w:eastAsia="Arial" w:hAnsi="Arial"/>
          <w:sz w:val="16"/>
          <w:szCs w:val="16"/>
          <w:color w:val="auto"/>
        </w:rPr>
        <w:t>The Board carefully considers, at least annually, its leadership structure, including whether the role of Chair should be a non</w:t>
      </w:r>
      <w:r>
        <w:rPr>
          <w:rFonts w:ascii="MS PGothic" w:cs="MS PGothic" w:eastAsia="MS PGothic" w:hAnsi="MS PGothic"/>
          <w:sz w:val="16"/>
          <w:szCs w:val="16"/>
          <w:color w:val="auto"/>
        </w:rPr>
        <w:t>‑</w:t>
      </w:r>
      <w:r>
        <w:rPr>
          <w:rFonts w:ascii="Arial" w:cs="Arial" w:eastAsia="Arial" w:hAnsi="Arial"/>
          <w:sz w:val="16"/>
          <w:szCs w:val="16"/>
          <w:color w:val="auto"/>
        </w:rPr>
        <w:t>executive position or combined with that of the CEO. The Board has concluded that combining these roles results in significant benefits for the Company and our shareholders, and best positions Mr. Van de Put to:</w:t>
      </w:r>
    </w:p>
    <w:p>
      <w:pPr>
        <w:spacing w:after="0" w:line="23" w:lineRule="exact"/>
        <w:rPr>
          <w:sz w:val="20"/>
          <w:szCs w:val="20"/>
          <w:color w:val="auto"/>
        </w:rPr>
      </w:pPr>
    </w:p>
    <w:p>
      <w:pPr>
        <w:ind w:left="400" w:right="20" w:hanging="120"/>
        <w:spacing w:after="0" w:line="257" w:lineRule="auto"/>
        <w:tabs>
          <w:tab w:leader="none" w:pos="400" w:val="left"/>
        </w:tabs>
        <w:numPr>
          <w:ilvl w:val="0"/>
          <w:numId w:val="36"/>
        </w:numPr>
        <w:rPr>
          <w:rFonts w:ascii="Arial" w:cs="Arial" w:eastAsia="Arial" w:hAnsi="Arial"/>
          <w:sz w:val="17"/>
          <w:szCs w:val="17"/>
          <w:color w:val="582C83"/>
        </w:rPr>
      </w:pPr>
      <w:r>
        <w:rPr>
          <w:rFonts w:ascii="Arial" w:cs="Arial" w:eastAsia="Arial" w:hAnsi="Arial"/>
          <w:sz w:val="17"/>
          <w:szCs w:val="17"/>
          <w:color w:val="auto"/>
        </w:rPr>
        <w:t>promote shareholders’ interests and contribute to the Board’s effectiveness and efficiency due to his deep knowledge of the Company, the food industry, and the competitive environment in which</w:t>
      </w:r>
    </w:p>
    <w:p>
      <w:pPr>
        <w:spacing w:after="0" w:line="2" w:lineRule="exact"/>
        <w:rPr>
          <w:rFonts w:ascii="Arial" w:cs="Arial" w:eastAsia="Arial" w:hAnsi="Arial"/>
          <w:sz w:val="17"/>
          <w:szCs w:val="17"/>
          <w:color w:val="582C83"/>
        </w:rPr>
      </w:pPr>
    </w:p>
    <w:p>
      <w:pPr>
        <w:ind w:left="400"/>
        <w:spacing w:after="0"/>
        <w:rPr>
          <w:rFonts w:ascii="Arial" w:cs="Arial" w:eastAsia="Arial" w:hAnsi="Arial"/>
          <w:sz w:val="17"/>
          <w:szCs w:val="17"/>
          <w:color w:val="582C83"/>
        </w:rPr>
      </w:pPr>
      <w:r>
        <w:rPr>
          <w:rFonts w:ascii="Arial" w:cs="Arial" w:eastAsia="Arial" w:hAnsi="Arial"/>
          <w:sz w:val="17"/>
          <w:szCs w:val="17"/>
          <w:color w:val="auto"/>
        </w:rPr>
        <w:t>we operate;</w:t>
      </w:r>
    </w:p>
    <w:p>
      <w:pPr>
        <w:spacing w:after="0" w:line="31" w:lineRule="exact"/>
        <w:rPr>
          <w:rFonts w:ascii="Arial" w:cs="Arial" w:eastAsia="Arial" w:hAnsi="Arial"/>
          <w:sz w:val="17"/>
          <w:szCs w:val="17"/>
          <w:color w:val="582C83"/>
        </w:rPr>
      </w:pPr>
    </w:p>
    <w:p>
      <w:pPr>
        <w:ind w:left="400" w:right="680" w:hanging="120"/>
        <w:spacing w:after="0" w:line="273" w:lineRule="auto"/>
        <w:tabs>
          <w:tab w:leader="none" w:pos="400" w:val="left"/>
        </w:tabs>
        <w:numPr>
          <w:ilvl w:val="0"/>
          <w:numId w:val="36"/>
        </w:numPr>
        <w:rPr>
          <w:rFonts w:ascii="Arial" w:cs="Arial" w:eastAsia="Arial" w:hAnsi="Arial"/>
          <w:sz w:val="17"/>
          <w:szCs w:val="17"/>
          <w:color w:val="582C83"/>
        </w:rPr>
      </w:pPr>
      <w:r>
        <w:rPr>
          <w:rFonts w:ascii="Arial" w:cs="Arial" w:eastAsia="Arial" w:hAnsi="Arial"/>
          <w:sz w:val="17"/>
          <w:szCs w:val="17"/>
          <w:color w:val="auto"/>
        </w:rPr>
        <w:t>promote the alignment of our strategic and business plans;</w:t>
      </w:r>
    </w:p>
    <w:p>
      <w:pPr>
        <w:ind w:left="400" w:hanging="120"/>
        <w:spacing w:after="0" w:line="260" w:lineRule="auto"/>
        <w:tabs>
          <w:tab w:leader="none" w:pos="400" w:val="left"/>
        </w:tabs>
        <w:numPr>
          <w:ilvl w:val="0"/>
          <w:numId w:val="36"/>
        </w:numPr>
        <w:rPr>
          <w:rFonts w:ascii="Arial" w:cs="Arial" w:eastAsia="Arial" w:hAnsi="Arial"/>
          <w:sz w:val="17"/>
          <w:szCs w:val="17"/>
          <w:color w:val="582C83"/>
        </w:rPr>
      </w:pPr>
      <w:r>
        <w:rPr>
          <w:rFonts w:ascii="Arial" w:cs="Arial" w:eastAsia="Arial" w:hAnsi="Arial"/>
          <w:sz w:val="17"/>
          <w:szCs w:val="17"/>
          <w:color w:val="auto"/>
        </w:rPr>
        <w:t>help ensure items of greatest importance for our global operations and risk management activities are brought to the attention of, and reviewed by, the Board on a timely basis;</w:t>
      </w:r>
    </w:p>
    <w:p>
      <w:pPr>
        <w:spacing w:after="0" w:line="3" w:lineRule="exact"/>
        <w:rPr>
          <w:rFonts w:ascii="Arial" w:cs="Arial" w:eastAsia="Arial" w:hAnsi="Arial"/>
          <w:sz w:val="17"/>
          <w:szCs w:val="17"/>
          <w:color w:val="582C83"/>
        </w:rPr>
      </w:pPr>
    </w:p>
    <w:p>
      <w:pPr>
        <w:jc w:val="both"/>
        <w:ind w:left="400" w:right="220" w:hanging="120"/>
        <w:spacing w:after="0" w:line="274" w:lineRule="auto"/>
        <w:tabs>
          <w:tab w:leader="none" w:pos="400" w:val="left"/>
        </w:tabs>
        <w:numPr>
          <w:ilvl w:val="0"/>
          <w:numId w:val="36"/>
        </w:numPr>
        <w:rPr>
          <w:rFonts w:ascii="Arial" w:cs="Arial" w:eastAsia="Arial" w:hAnsi="Arial"/>
          <w:sz w:val="17"/>
          <w:szCs w:val="17"/>
          <w:color w:val="582C83"/>
        </w:rPr>
      </w:pPr>
      <w:r>
        <w:rPr>
          <w:rFonts w:ascii="Arial" w:cs="Arial" w:eastAsia="Arial" w:hAnsi="Arial"/>
          <w:sz w:val="17"/>
          <w:szCs w:val="17"/>
          <w:color w:val="auto"/>
        </w:rPr>
        <w:t>highlight important issues with the Board as they happen, as market dynamics change or as risks evolve, supporting appropriate oversight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65"/>
        <w:spacing w:after="0"/>
        <w:rPr>
          <w:sz w:val="20"/>
          <w:szCs w:val="20"/>
          <w:color w:val="auto"/>
        </w:rPr>
      </w:pPr>
      <w:r>
        <w:rPr>
          <w:rFonts w:ascii="Arial" w:cs="Arial" w:eastAsia="Arial" w:hAnsi="Arial"/>
          <w:sz w:val="17"/>
          <w:szCs w:val="17"/>
          <w:b w:val="1"/>
          <w:bCs w:val="1"/>
          <w:color w:val="582C83"/>
        </w:rPr>
        <w:t>MR. SIEWERT</w:t>
      </w:r>
    </w:p>
    <w:p>
      <w:pPr>
        <w:spacing w:after="0" w:line="37" w:lineRule="exact"/>
        <w:rPr>
          <w:sz w:val="20"/>
          <w:szCs w:val="20"/>
          <w:color w:val="auto"/>
        </w:rPr>
      </w:pPr>
    </w:p>
    <w:p>
      <w:pPr>
        <w:ind w:left="1426"/>
        <w:spacing w:after="0"/>
        <w:rPr>
          <w:sz w:val="20"/>
          <w:szCs w:val="20"/>
          <w:color w:val="auto"/>
        </w:rPr>
      </w:pPr>
      <w:r>
        <w:rPr>
          <w:rFonts w:ascii="Arial" w:cs="Arial" w:eastAsia="Arial" w:hAnsi="Arial"/>
          <w:sz w:val="17"/>
          <w:szCs w:val="17"/>
          <w:b w:val="1"/>
          <w:bCs w:val="1"/>
          <w:color w:val="auto"/>
        </w:rPr>
        <w:t>Lead Independent</w:t>
      </w:r>
    </w:p>
    <w:p>
      <w:pPr>
        <w:spacing w:after="0" w:line="23" w:lineRule="exact"/>
        <w:rPr>
          <w:sz w:val="20"/>
          <w:szCs w:val="20"/>
          <w:color w:val="auto"/>
        </w:rPr>
      </w:pPr>
    </w:p>
    <w:p>
      <w:pPr>
        <w:ind w:left="1366"/>
        <w:spacing w:after="0"/>
        <w:rPr>
          <w:sz w:val="20"/>
          <w:szCs w:val="20"/>
          <w:color w:val="auto"/>
        </w:rPr>
      </w:pPr>
      <w:r>
        <w:rPr>
          <w:rFonts w:ascii="Arial" w:cs="Arial" w:eastAsia="Arial" w:hAnsi="Arial"/>
          <w:sz w:val="17"/>
          <w:szCs w:val="17"/>
          <w:b w:val="1"/>
          <w:bCs w:val="1"/>
          <w:color w:val="auto"/>
        </w:rPr>
        <w:t>Director since 2022</w:t>
      </w:r>
    </w:p>
    <w:p>
      <w:pPr>
        <w:spacing w:after="0" w:line="56" w:lineRule="exact"/>
        <w:rPr>
          <w:sz w:val="20"/>
          <w:szCs w:val="20"/>
          <w:color w:val="auto"/>
        </w:rPr>
      </w:pPr>
    </w:p>
    <w:p>
      <w:pPr>
        <w:ind w:left="6" w:right="160"/>
        <w:spacing w:after="0" w:line="208" w:lineRule="exact"/>
        <w:rPr>
          <w:sz w:val="20"/>
          <w:szCs w:val="20"/>
          <w:color w:val="auto"/>
        </w:rPr>
      </w:pPr>
      <w:r>
        <w:rPr>
          <w:rFonts w:ascii="Arial" w:cs="Arial" w:eastAsia="Arial" w:hAnsi="Arial"/>
          <w:sz w:val="17"/>
          <w:szCs w:val="17"/>
          <w:color w:val="auto"/>
        </w:rPr>
        <w:t>The independent directors selected Mr. Siewert to lead our Board as Lead Independent Director because he has extensive leadership experience, including risk management and oversight, shaped through his experience as Chairman, Asia, of Restaurant Brands International and his years as a Senior Advisor and Managing Director and Partner for The Carlyle Group, Inc., his prior leadership roles at The Coca</w:t>
      </w:r>
      <w:r>
        <w:rPr>
          <w:rFonts w:ascii="MS PGothic" w:cs="MS PGothic" w:eastAsia="MS PGothic" w:hAnsi="MS PGothic"/>
          <w:sz w:val="17"/>
          <w:szCs w:val="17"/>
          <w:color w:val="auto"/>
        </w:rPr>
        <w:t>‑</w:t>
      </w:r>
      <w:r>
        <w:rPr>
          <w:rFonts w:ascii="Arial" w:cs="Arial" w:eastAsia="Arial" w:hAnsi="Arial"/>
          <w:sz w:val="17"/>
          <w:szCs w:val="17"/>
          <w:color w:val="auto"/>
        </w:rPr>
        <w:t>Cola Company and Eastman Kodak Company and his experience as lead director at Avery Dennison Corporation. Given his broad global and operational experience in the food, beverage, and consumer products industries, the Board believes Mr. Siewert is well</w:t>
      </w:r>
      <w:r>
        <w:rPr>
          <w:rFonts w:ascii="MS PGothic" w:cs="MS PGothic" w:eastAsia="MS PGothic" w:hAnsi="MS PGothic"/>
          <w:sz w:val="17"/>
          <w:szCs w:val="17"/>
          <w:color w:val="auto"/>
        </w:rPr>
        <w:t>‑</w:t>
      </w:r>
      <w:r>
        <w:rPr>
          <w:rFonts w:ascii="Arial" w:cs="Arial" w:eastAsia="Arial" w:hAnsi="Arial"/>
          <w:sz w:val="17"/>
          <w:szCs w:val="17"/>
          <w:color w:val="auto"/>
        </w:rPr>
        <w:t>positioned to:</w:t>
      </w:r>
    </w:p>
    <w:p>
      <w:pPr>
        <w:spacing w:after="0" w:line="76" w:lineRule="exact"/>
        <w:rPr>
          <w:sz w:val="20"/>
          <w:szCs w:val="20"/>
          <w:color w:val="auto"/>
        </w:rPr>
      </w:pPr>
    </w:p>
    <w:p>
      <w:pPr>
        <w:ind w:left="126" w:right="660" w:hanging="126"/>
        <w:spacing w:after="0" w:line="265" w:lineRule="auto"/>
        <w:tabs>
          <w:tab w:leader="none" w:pos="126" w:val="left"/>
        </w:tabs>
        <w:numPr>
          <w:ilvl w:val="0"/>
          <w:numId w:val="37"/>
        </w:numPr>
        <w:rPr>
          <w:rFonts w:ascii="Arial" w:cs="Arial" w:eastAsia="Arial" w:hAnsi="Arial"/>
          <w:sz w:val="17"/>
          <w:szCs w:val="17"/>
          <w:color w:val="582C83"/>
        </w:rPr>
      </w:pPr>
      <w:r>
        <w:rPr>
          <w:rFonts w:ascii="Arial" w:cs="Arial" w:eastAsia="Arial" w:hAnsi="Arial"/>
          <w:sz w:val="17"/>
          <w:szCs w:val="17"/>
          <w:color w:val="auto"/>
        </w:rPr>
        <w:t>provide independent Board leadership and oversight, including with respect to business matters and risk management activities;</w:t>
      </w:r>
    </w:p>
    <w:p>
      <w:pPr>
        <w:ind w:left="126" w:right="100" w:hanging="126"/>
        <w:spacing w:after="0" w:line="266" w:lineRule="auto"/>
        <w:tabs>
          <w:tab w:leader="none" w:pos="126" w:val="left"/>
        </w:tabs>
        <w:numPr>
          <w:ilvl w:val="0"/>
          <w:numId w:val="37"/>
        </w:numPr>
        <w:rPr>
          <w:rFonts w:ascii="Arial" w:cs="Arial" w:eastAsia="Arial" w:hAnsi="Arial"/>
          <w:sz w:val="17"/>
          <w:szCs w:val="17"/>
          <w:color w:val="582C83"/>
        </w:rPr>
      </w:pPr>
      <w:r>
        <w:rPr>
          <w:rFonts w:ascii="Arial" w:cs="Arial" w:eastAsia="Arial" w:hAnsi="Arial"/>
          <w:sz w:val="17"/>
          <w:szCs w:val="17"/>
          <w:color w:val="auto"/>
        </w:rPr>
        <w:t>facilitate effective information flow to directors and across committees, and promote active discussion and collaboration among the independent directors;</w:t>
      </w:r>
    </w:p>
    <w:p>
      <w:pPr>
        <w:sectPr>
          <w:pgSz w:w="11900" w:h="16931" w:orient="portrait"/>
          <w:cols w:equalWidth="0" w:num="2">
            <w:col w:w="4300" w:space="614"/>
            <w:col w:w="4126"/>
          </w:cols>
          <w:pgMar w:left="1420" w:top="131" w:right="1439" w:bottom="0" w:gutter="0" w:footer="0" w:header="0"/>
          <w:type w:val="continuous"/>
        </w:sectPr>
      </w:pPr>
    </w:p>
    <w:bookmarkStart w:id="33" w:name="page34"/>
    <w:bookmarkEnd w:id="33"/>
    <w:p>
      <w:pPr>
        <w:ind w:left="400"/>
        <w:spacing w:after="0"/>
        <w:rPr>
          <w:sz w:val="20"/>
          <w:szCs w:val="20"/>
          <w:color w:val="auto"/>
        </w:rPr>
      </w:pPr>
      <w:r>
        <w:rPr>
          <w:rFonts w:ascii="Arial" w:cs="Arial" w:eastAsia="Arial" w:hAnsi="Arial"/>
          <w:sz w:val="17"/>
          <w:szCs w:val="17"/>
          <w:color w:val="auto"/>
        </w:rPr>
        <w:t>and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-100330</wp:posOffset>
            </wp:positionV>
            <wp:extent cx="6810375" cy="16478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10375" cy="1647825"/>
                    </a:xfrm>
                    <a:prstGeom prst="rect">
                      <a:avLst/>
                    </a:prstGeom>
                    <a:noFill/>
                  </pic:spPr>
                </pic:pic>
              </a:graphicData>
            </a:graphic>
          </wp:anchor>
        </w:drawing>
      </w:r>
    </w:p>
    <w:p>
      <w:pPr>
        <w:spacing w:after="0" w:line="28" w:lineRule="exact"/>
        <w:rPr>
          <w:sz w:val="20"/>
          <w:szCs w:val="20"/>
          <w:color w:val="auto"/>
        </w:rPr>
      </w:pPr>
    </w:p>
    <w:p>
      <w:pPr>
        <w:jc w:val="both"/>
        <w:ind w:left="400" w:right="400" w:hanging="120"/>
        <w:spacing w:after="0" w:line="210" w:lineRule="exact"/>
        <w:tabs>
          <w:tab w:leader="none" w:pos="400" w:val="left"/>
        </w:tabs>
        <w:numPr>
          <w:ilvl w:val="0"/>
          <w:numId w:val="38"/>
        </w:numPr>
        <w:rPr>
          <w:rFonts w:ascii="Arial" w:cs="Arial" w:eastAsia="Arial" w:hAnsi="Arial"/>
          <w:sz w:val="17"/>
          <w:szCs w:val="17"/>
          <w:color w:val="582C83"/>
        </w:rPr>
      </w:pPr>
      <w:r>
        <w:rPr>
          <w:rFonts w:ascii="Arial" w:cs="Arial" w:eastAsia="Arial" w:hAnsi="Arial"/>
          <w:sz w:val="17"/>
          <w:szCs w:val="17"/>
          <w:color w:val="auto"/>
        </w:rPr>
        <w:t>lead the Board’s discussion of the Company’s critical business matters, including risk</w:t>
      </w:r>
      <w:r>
        <w:rPr>
          <w:rFonts w:ascii="MS PGothic" w:cs="MS PGothic" w:eastAsia="MS PGothic" w:hAnsi="MS PGothic"/>
          <w:sz w:val="17"/>
          <w:szCs w:val="17"/>
          <w:color w:val="auto"/>
        </w:rPr>
        <w:t>‑</w:t>
      </w:r>
      <w:r>
        <w:rPr>
          <w:rFonts w:ascii="Arial" w:cs="Arial" w:eastAsia="Arial" w:hAnsi="Arial"/>
          <w:sz w:val="17"/>
          <w:szCs w:val="17"/>
          <w:color w:val="auto"/>
        </w:rPr>
        <w:t>related matters and management’s response; and</w:t>
      </w:r>
    </w:p>
    <w:p>
      <w:pPr>
        <w:spacing w:after="0" w:line="20" w:lineRule="exact"/>
        <w:rPr>
          <w:rFonts w:ascii="Arial" w:cs="Arial" w:eastAsia="Arial" w:hAnsi="Arial"/>
          <w:sz w:val="17"/>
          <w:szCs w:val="17"/>
          <w:color w:val="582C83"/>
        </w:rPr>
      </w:pPr>
    </w:p>
    <w:p>
      <w:pPr>
        <w:ind w:left="400" w:hanging="120"/>
        <w:spacing w:after="0" w:line="266" w:lineRule="auto"/>
        <w:tabs>
          <w:tab w:leader="none" w:pos="400" w:val="left"/>
        </w:tabs>
        <w:numPr>
          <w:ilvl w:val="0"/>
          <w:numId w:val="38"/>
        </w:numPr>
        <w:rPr>
          <w:rFonts w:ascii="Arial" w:cs="Arial" w:eastAsia="Arial" w:hAnsi="Arial"/>
          <w:sz w:val="17"/>
          <w:szCs w:val="17"/>
          <w:color w:val="582C83"/>
        </w:rPr>
      </w:pPr>
      <w:r>
        <w:rPr>
          <w:rFonts w:ascii="Arial" w:cs="Arial" w:eastAsia="Arial" w:hAnsi="Arial"/>
          <w:sz w:val="17"/>
          <w:szCs w:val="17"/>
          <w:color w:val="auto"/>
        </w:rPr>
        <w:t>enable the Board to stay abreast of the dynamic and rapidly evolving consumer and retail landscape in which the Company operates.</w:t>
      </w:r>
    </w:p>
    <w:p>
      <w:pPr>
        <w:spacing w:after="0" w:line="20" w:lineRule="exact"/>
        <w:rPr>
          <w:sz w:val="20"/>
          <w:szCs w:val="20"/>
          <w:color w:val="auto"/>
        </w:rPr>
      </w:pPr>
      <w:r>
        <w:rPr>
          <w:sz w:val="20"/>
          <w:szCs w:val="20"/>
          <w:color w:val="auto"/>
        </w:rPr>
        <w:br w:type="column"/>
      </w:r>
    </w:p>
    <w:p>
      <w:pPr>
        <w:ind w:left="126" w:right="419" w:hanging="126"/>
        <w:spacing w:after="0" w:line="265" w:lineRule="auto"/>
        <w:tabs>
          <w:tab w:leader="none" w:pos="126" w:val="left"/>
        </w:tabs>
        <w:numPr>
          <w:ilvl w:val="0"/>
          <w:numId w:val="39"/>
        </w:numPr>
        <w:rPr>
          <w:rFonts w:ascii="Arial" w:cs="Arial" w:eastAsia="Arial" w:hAnsi="Arial"/>
          <w:sz w:val="17"/>
          <w:szCs w:val="17"/>
          <w:color w:val="582C83"/>
        </w:rPr>
      </w:pPr>
      <w:r>
        <w:rPr>
          <w:rFonts w:ascii="Arial" w:cs="Arial" w:eastAsia="Arial" w:hAnsi="Arial"/>
          <w:sz w:val="17"/>
          <w:szCs w:val="17"/>
          <w:color w:val="auto"/>
        </w:rPr>
        <w:t>serve as an effective liaison between the Board and management, as well as between the independent directors and the Chair and CEO;</w:t>
      </w:r>
    </w:p>
    <w:p>
      <w:pPr>
        <w:jc w:val="both"/>
        <w:ind w:left="126" w:right="519" w:hanging="126"/>
        <w:spacing w:after="0" w:line="270" w:lineRule="auto"/>
        <w:tabs>
          <w:tab w:leader="none" w:pos="126" w:val="left"/>
        </w:tabs>
        <w:numPr>
          <w:ilvl w:val="0"/>
          <w:numId w:val="39"/>
        </w:numPr>
        <w:rPr>
          <w:rFonts w:ascii="Arial" w:cs="Arial" w:eastAsia="Arial" w:hAnsi="Arial"/>
          <w:sz w:val="17"/>
          <w:szCs w:val="17"/>
          <w:color w:val="582C83"/>
        </w:rPr>
      </w:pPr>
      <w:r>
        <w:rPr>
          <w:rFonts w:ascii="Arial" w:cs="Arial" w:eastAsia="Arial" w:hAnsi="Arial"/>
          <w:sz w:val="17"/>
          <w:szCs w:val="17"/>
          <w:color w:val="auto"/>
        </w:rPr>
        <w:t>provide candid, constructive, and independent feedback to management, including regarding Board concerns and information needs; and</w:t>
      </w:r>
    </w:p>
    <w:p>
      <w:pPr>
        <w:spacing w:after="0" w:line="1" w:lineRule="exact"/>
        <w:rPr>
          <w:rFonts w:ascii="Arial" w:cs="Arial" w:eastAsia="Arial" w:hAnsi="Arial"/>
          <w:sz w:val="17"/>
          <w:szCs w:val="17"/>
          <w:color w:val="582C83"/>
        </w:rPr>
      </w:pPr>
    </w:p>
    <w:p>
      <w:pPr>
        <w:ind w:left="126" w:hanging="126"/>
        <w:spacing w:after="0"/>
        <w:tabs>
          <w:tab w:leader="none" w:pos="126" w:val="left"/>
        </w:tabs>
        <w:numPr>
          <w:ilvl w:val="0"/>
          <w:numId w:val="39"/>
        </w:numPr>
        <w:rPr>
          <w:rFonts w:ascii="Arial" w:cs="Arial" w:eastAsia="Arial" w:hAnsi="Arial"/>
          <w:sz w:val="17"/>
          <w:szCs w:val="17"/>
          <w:color w:val="582C83"/>
        </w:rPr>
      </w:pPr>
      <w:r>
        <w:rPr>
          <w:rFonts w:ascii="Arial" w:cs="Arial" w:eastAsia="Arial" w:hAnsi="Arial"/>
          <w:sz w:val="17"/>
          <w:szCs w:val="17"/>
          <w:color w:val="auto"/>
        </w:rPr>
        <w:t>actively engage in shareholder outreach.</w:t>
      </w:r>
    </w:p>
    <w:p>
      <w:pPr>
        <w:spacing w:after="0" w:line="235" w:lineRule="exact"/>
        <w:rPr>
          <w:sz w:val="20"/>
          <w:szCs w:val="20"/>
          <w:color w:val="auto"/>
        </w:rPr>
      </w:pPr>
    </w:p>
    <w:p>
      <w:pPr>
        <w:sectPr>
          <w:pgSz w:w="11900" w:h="16838" w:orient="portrait"/>
          <w:cols w:equalWidth="0" w:num="2">
            <w:col w:w="4300" w:space="614"/>
            <w:col w:w="4125"/>
          </w:cols>
          <w:pgMar w:left="1420" w:top="104" w:right="1440" w:bottom="0" w:gutter="0" w:footer="0" w:header="0"/>
        </w:sect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36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7858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10375" cy="878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39"/>
        <w:spacing w:after="0"/>
        <w:rPr>
          <w:sz w:val="20"/>
          <w:szCs w:val="20"/>
          <w:color w:val="auto"/>
        </w:rPr>
      </w:pPr>
      <w:r>
        <w:rPr>
          <w:rFonts w:ascii="Arial" w:cs="Arial" w:eastAsia="Arial" w:hAnsi="Arial"/>
          <w:sz w:val="22"/>
          <w:szCs w:val="22"/>
          <w:b w:val="1"/>
          <w:bCs w:val="1"/>
          <w:color w:val="auto"/>
        </w:rPr>
        <w:t>CORPORATE GOVERNANCE</w:t>
      </w:r>
    </w:p>
    <w:p>
      <w:pPr>
        <w:spacing w:after="0" w:line="37" w:lineRule="exact"/>
        <w:rPr>
          <w:sz w:val="20"/>
          <w:szCs w:val="20"/>
          <w:color w:val="auto"/>
        </w:rPr>
      </w:pPr>
    </w:p>
    <w:p>
      <w:pPr>
        <w:jc w:val="right"/>
        <w:ind w:right="39"/>
        <w:spacing w:after="0"/>
        <w:rPr>
          <w:sz w:val="20"/>
          <w:szCs w:val="20"/>
          <w:color w:val="auto"/>
        </w:rPr>
      </w:pPr>
      <w:r>
        <w:rPr>
          <w:rFonts w:ascii="Arial" w:cs="Arial" w:eastAsia="Arial" w:hAnsi="Arial"/>
          <w:sz w:val="14"/>
          <w:szCs w:val="14"/>
          <w:color w:val="auto"/>
        </w:rPr>
        <w:t>Director Onboarding and Education</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LEAD INDEPENDENT DIRECTOR ROLE AND RESPONSIBILITIES</w:t>
      </w:r>
    </w:p>
    <w:p>
      <w:pPr>
        <w:spacing w:after="0" w:line="118" w:lineRule="exact"/>
        <w:rPr>
          <w:sz w:val="20"/>
          <w:szCs w:val="20"/>
          <w:color w:val="auto"/>
        </w:rPr>
      </w:pPr>
    </w:p>
    <w:p>
      <w:pPr>
        <w:ind w:right="79"/>
        <w:spacing w:after="0" w:line="224" w:lineRule="exact"/>
        <w:rPr>
          <w:sz w:val="20"/>
          <w:szCs w:val="20"/>
          <w:color w:val="auto"/>
        </w:rPr>
      </w:pPr>
      <w:r>
        <w:rPr>
          <w:rFonts w:ascii="Arial" w:cs="Arial" w:eastAsia="Arial" w:hAnsi="Arial"/>
          <w:sz w:val="17"/>
          <w:szCs w:val="17"/>
          <w:color w:val="auto"/>
        </w:rPr>
        <w:t>The Board created the Lead Independent Director position to, among other things, provide strong leadership of the Board’s affairs on behalf of shareholders, increase the Board’s effectiveness, promote open communication among the independent directors, and serve as the principal liaison between the Chair and the other independent directors. The independent directors annually select the Lead Independent Director for a one</w:t>
      </w:r>
      <w:r>
        <w:rPr>
          <w:rFonts w:ascii="MS PGothic" w:cs="MS PGothic" w:eastAsia="MS PGothic" w:hAnsi="MS PGothic"/>
          <w:sz w:val="17"/>
          <w:szCs w:val="17"/>
          <w:color w:val="auto"/>
        </w:rPr>
        <w:t>‑</w:t>
      </w:r>
      <w:r>
        <w:rPr>
          <w:rFonts w:ascii="Arial" w:cs="Arial" w:eastAsia="Arial" w:hAnsi="Arial"/>
          <w:sz w:val="17"/>
          <w:szCs w:val="17"/>
          <w:color w:val="auto"/>
        </w:rPr>
        <w:t>year term. The current Board structure has been discussed with shareholders and their feedback has been taken into consideration with respect to the Lead Independent Director role.</w:t>
      </w:r>
    </w:p>
    <w:p>
      <w:pPr>
        <w:spacing w:after="0" w:line="101" w:lineRule="exact"/>
        <w:rPr>
          <w:sz w:val="20"/>
          <w:szCs w:val="20"/>
          <w:color w:val="auto"/>
        </w:rPr>
      </w:pPr>
    </w:p>
    <w:p>
      <w:pPr>
        <w:ind w:right="159"/>
        <w:spacing w:after="0" w:line="291" w:lineRule="auto"/>
        <w:rPr>
          <w:sz w:val="20"/>
          <w:szCs w:val="20"/>
          <w:color w:val="auto"/>
        </w:rPr>
      </w:pPr>
      <w:r>
        <w:rPr>
          <w:rFonts w:ascii="Arial" w:cs="Arial" w:eastAsia="Arial" w:hAnsi="Arial"/>
          <w:sz w:val="17"/>
          <w:szCs w:val="17"/>
          <w:color w:val="auto"/>
        </w:rPr>
        <w:t>The Lead Independent Director has significant authority and responsibilities that protect Company and shareholder interests by promoting strong management oversight and accountability. Under the Guidelines, the Lead Independent Director, in consultation with the other independent directors, has the following substantive duties and responsibilities:</w:t>
      </w:r>
    </w:p>
    <w:p>
      <w:pPr>
        <w:spacing w:after="0" w:line="58" w:lineRule="exact"/>
        <w:rPr>
          <w:sz w:val="20"/>
          <w:szCs w:val="20"/>
          <w:color w:val="auto"/>
        </w:rPr>
      </w:pPr>
    </w:p>
    <w:p>
      <w:pPr>
        <w:ind w:left="140" w:hanging="133"/>
        <w:spacing w:after="0"/>
        <w:tabs>
          <w:tab w:leader="none" w:pos="140" w:val="left"/>
        </w:tabs>
        <w:numPr>
          <w:ilvl w:val="0"/>
          <w:numId w:val="40"/>
        </w:numPr>
        <w:rPr>
          <w:rFonts w:ascii="Arial" w:cs="Arial" w:eastAsia="Arial" w:hAnsi="Arial"/>
          <w:sz w:val="17"/>
          <w:szCs w:val="17"/>
          <w:color w:val="582C83"/>
        </w:rPr>
      </w:pPr>
      <w:r>
        <w:rPr>
          <w:rFonts w:ascii="Arial" w:cs="Arial" w:eastAsia="Arial" w:hAnsi="Arial"/>
          <w:sz w:val="17"/>
          <w:szCs w:val="17"/>
          <w:color w:val="auto"/>
        </w:rPr>
        <w:t>serve as liaison between the independent directors and the Chair and CEO;</w:t>
      </w:r>
    </w:p>
    <w:p>
      <w:pPr>
        <w:spacing w:after="0" w:line="74" w:lineRule="exact"/>
        <w:rPr>
          <w:rFonts w:ascii="Arial" w:cs="Arial" w:eastAsia="Arial" w:hAnsi="Arial"/>
          <w:sz w:val="17"/>
          <w:szCs w:val="17"/>
          <w:color w:val="582C83"/>
        </w:rPr>
      </w:pPr>
    </w:p>
    <w:p>
      <w:pPr>
        <w:ind w:left="140" w:right="299" w:hanging="133"/>
        <w:spacing w:after="0" w:line="290" w:lineRule="auto"/>
        <w:tabs>
          <w:tab w:leader="none" w:pos="140" w:val="left"/>
        </w:tabs>
        <w:numPr>
          <w:ilvl w:val="0"/>
          <w:numId w:val="40"/>
        </w:numPr>
        <w:rPr>
          <w:rFonts w:ascii="Arial" w:cs="Arial" w:eastAsia="Arial" w:hAnsi="Arial"/>
          <w:sz w:val="17"/>
          <w:szCs w:val="17"/>
          <w:color w:val="582C83"/>
        </w:rPr>
      </w:pPr>
      <w:r>
        <w:rPr>
          <w:rFonts w:ascii="Arial" w:cs="Arial" w:eastAsia="Arial" w:hAnsi="Arial"/>
          <w:sz w:val="17"/>
          <w:szCs w:val="17"/>
          <w:color w:val="auto"/>
        </w:rPr>
        <w:t>seek input from the independent directors and advise the Chair and CEO as to an appropriate annual schedule of, and major agenda topics and content of related briefing materials for, regular Board meetings;</w:t>
      </w:r>
    </w:p>
    <w:p>
      <w:pPr>
        <w:ind w:left="140" w:right="39" w:hanging="133"/>
        <w:spacing w:after="0" w:line="298" w:lineRule="auto"/>
        <w:tabs>
          <w:tab w:leader="none" w:pos="140" w:val="left"/>
        </w:tabs>
        <w:numPr>
          <w:ilvl w:val="0"/>
          <w:numId w:val="40"/>
        </w:numPr>
        <w:rPr>
          <w:rFonts w:ascii="Arial" w:cs="Arial" w:eastAsia="Arial" w:hAnsi="Arial"/>
          <w:sz w:val="17"/>
          <w:szCs w:val="17"/>
          <w:color w:val="582C83"/>
        </w:rPr>
      </w:pPr>
      <w:r>
        <w:rPr>
          <w:rFonts w:ascii="Arial" w:cs="Arial" w:eastAsia="Arial" w:hAnsi="Arial"/>
          <w:sz w:val="17"/>
          <w:szCs w:val="17"/>
          <w:color w:val="auto"/>
        </w:rPr>
        <w:t>review and approve meeting agendas as well as the content of Board briefing materials and may add agenda items in his or her discretion;</w:t>
      </w:r>
    </w:p>
    <w:p>
      <w:pPr>
        <w:ind w:left="140" w:hanging="133"/>
        <w:spacing w:after="0"/>
        <w:tabs>
          <w:tab w:leader="none" w:pos="140" w:val="left"/>
        </w:tabs>
        <w:numPr>
          <w:ilvl w:val="0"/>
          <w:numId w:val="40"/>
        </w:numPr>
        <w:rPr>
          <w:rFonts w:ascii="Arial" w:cs="Arial" w:eastAsia="Arial" w:hAnsi="Arial"/>
          <w:sz w:val="17"/>
          <w:szCs w:val="17"/>
          <w:color w:val="582C83"/>
        </w:rPr>
      </w:pPr>
      <w:r>
        <w:rPr>
          <w:rFonts w:ascii="Arial" w:cs="Arial" w:eastAsia="Arial" w:hAnsi="Arial"/>
          <w:sz w:val="17"/>
          <w:szCs w:val="17"/>
          <w:color w:val="auto"/>
        </w:rPr>
        <w:t>review and approve the allocation of time for the Board and committee meetings;</w:t>
      </w:r>
    </w:p>
    <w:p>
      <w:pPr>
        <w:spacing w:after="0" w:line="61" w:lineRule="exact"/>
        <w:rPr>
          <w:rFonts w:ascii="Arial" w:cs="Arial" w:eastAsia="Arial" w:hAnsi="Arial"/>
          <w:sz w:val="17"/>
          <w:szCs w:val="17"/>
          <w:color w:val="582C83"/>
        </w:rPr>
      </w:pPr>
    </w:p>
    <w:p>
      <w:pPr>
        <w:ind w:left="140" w:right="1339" w:hanging="133"/>
        <w:spacing w:after="0" w:line="290" w:lineRule="auto"/>
        <w:tabs>
          <w:tab w:leader="none" w:pos="140" w:val="left"/>
        </w:tabs>
        <w:numPr>
          <w:ilvl w:val="0"/>
          <w:numId w:val="40"/>
        </w:numPr>
        <w:rPr>
          <w:rFonts w:ascii="Arial" w:cs="Arial" w:eastAsia="Arial" w:hAnsi="Arial"/>
          <w:sz w:val="17"/>
          <w:szCs w:val="17"/>
          <w:color w:val="582C83"/>
        </w:rPr>
      </w:pPr>
      <w:r>
        <w:rPr>
          <w:rFonts w:ascii="Arial" w:cs="Arial" w:eastAsia="Arial" w:hAnsi="Arial"/>
          <w:sz w:val="17"/>
          <w:szCs w:val="17"/>
          <w:color w:val="auto"/>
        </w:rPr>
        <w:t>preside at Board meetings at which the Chair is not present and preside at executive sessions of the independent directors;</w:t>
      </w:r>
    </w:p>
    <w:p>
      <w:pPr>
        <w:ind w:left="140" w:hanging="133"/>
        <w:spacing w:after="0"/>
        <w:tabs>
          <w:tab w:leader="none" w:pos="140" w:val="left"/>
        </w:tabs>
        <w:numPr>
          <w:ilvl w:val="0"/>
          <w:numId w:val="40"/>
        </w:numPr>
        <w:rPr>
          <w:rFonts w:ascii="Arial" w:cs="Arial" w:eastAsia="Arial" w:hAnsi="Arial"/>
          <w:sz w:val="17"/>
          <w:szCs w:val="17"/>
          <w:color w:val="582C83"/>
        </w:rPr>
      </w:pPr>
      <w:r>
        <w:rPr>
          <w:rFonts w:ascii="Arial" w:cs="Arial" w:eastAsia="Arial" w:hAnsi="Arial"/>
          <w:sz w:val="17"/>
          <w:szCs w:val="17"/>
          <w:color w:val="auto"/>
        </w:rPr>
        <w:t>call meetings of the independent directors or of the Board;</w:t>
      </w:r>
    </w:p>
    <w:p>
      <w:pPr>
        <w:spacing w:after="0" w:line="74" w:lineRule="exact"/>
        <w:rPr>
          <w:rFonts w:ascii="Arial" w:cs="Arial" w:eastAsia="Arial" w:hAnsi="Arial"/>
          <w:sz w:val="17"/>
          <w:szCs w:val="17"/>
          <w:color w:val="582C83"/>
        </w:rPr>
      </w:pPr>
    </w:p>
    <w:p>
      <w:pPr>
        <w:ind w:left="140" w:hanging="133"/>
        <w:spacing w:after="0"/>
        <w:tabs>
          <w:tab w:leader="none" w:pos="140" w:val="left"/>
        </w:tabs>
        <w:numPr>
          <w:ilvl w:val="0"/>
          <w:numId w:val="40"/>
        </w:numPr>
        <w:rPr>
          <w:rFonts w:ascii="Arial" w:cs="Arial" w:eastAsia="Arial" w:hAnsi="Arial"/>
          <w:sz w:val="17"/>
          <w:szCs w:val="17"/>
          <w:color w:val="582C83"/>
        </w:rPr>
      </w:pPr>
      <w:r>
        <w:rPr>
          <w:rFonts w:ascii="Arial" w:cs="Arial" w:eastAsia="Arial" w:hAnsi="Arial"/>
          <w:sz w:val="17"/>
          <w:szCs w:val="17"/>
          <w:color w:val="auto"/>
        </w:rPr>
        <w:t>facilitate effective communication and interaction between the Board and management;</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40"/>
        </w:numPr>
        <w:rPr>
          <w:rFonts w:ascii="Arial" w:cs="Arial" w:eastAsia="Arial" w:hAnsi="Arial"/>
          <w:sz w:val="17"/>
          <w:szCs w:val="17"/>
          <w:color w:val="582C83"/>
        </w:rPr>
      </w:pPr>
      <w:r>
        <w:rPr>
          <w:rFonts w:ascii="Arial" w:cs="Arial" w:eastAsia="Arial" w:hAnsi="Arial"/>
          <w:sz w:val="17"/>
          <w:szCs w:val="17"/>
          <w:color w:val="auto"/>
        </w:rPr>
        <w:t>serves as an alternate member of such Board committees as designated by the Board;</w:t>
      </w:r>
    </w:p>
    <w:p>
      <w:pPr>
        <w:spacing w:after="0" w:line="29" w:lineRule="exact"/>
        <w:rPr>
          <w:rFonts w:ascii="Arial" w:cs="Arial" w:eastAsia="Arial" w:hAnsi="Arial"/>
          <w:sz w:val="17"/>
          <w:szCs w:val="17"/>
          <w:color w:val="582C83"/>
        </w:rPr>
      </w:pPr>
    </w:p>
    <w:p>
      <w:pPr>
        <w:ind w:left="140" w:right="719" w:hanging="133"/>
        <w:spacing w:after="0" w:line="237" w:lineRule="exact"/>
        <w:tabs>
          <w:tab w:leader="none" w:pos="140" w:val="left"/>
        </w:tabs>
        <w:numPr>
          <w:ilvl w:val="0"/>
          <w:numId w:val="40"/>
        </w:numPr>
        <w:rPr>
          <w:rFonts w:ascii="Arial" w:cs="Arial" w:eastAsia="Arial" w:hAnsi="Arial"/>
          <w:sz w:val="17"/>
          <w:szCs w:val="17"/>
          <w:color w:val="582C83"/>
        </w:rPr>
      </w:pPr>
      <w:r>
        <w:rPr>
          <w:rFonts w:ascii="Arial" w:cs="Arial" w:eastAsia="Arial" w:hAnsi="Arial"/>
          <w:sz w:val="17"/>
          <w:szCs w:val="17"/>
          <w:color w:val="auto"/>
        </w:rPr>
        <w:t>conduct the annual Board, committee, and individual director self</w:t>
      </w:r>
      <w:r>
        <w:rPr>
          <w:rFonts w:ascii="MS PGothic" w:cs="MS PGothic" w:eastAsia="MS PGothic" w:hAnsi="MS PGothic"/>
          <w:sz w:val="17"/>
          <w:szCs w:val="17"/>
          <w:color w:val="auto"/>
        </w:rPr>
        <w:t>‑</w:t>
      </w:r>
      <w:r>
        <w:rPr>
          <w:rFonts w:ascii="Arial" w:cs="Arial" w:eastAsia="Arial" w:hAnsi="Arial"/>
          <w:sz w:val="17"/>
          <w:szCs w:val="17"/>
          <w:color w:val="auto"/>
        </w:rPr>
        <w:t>evaluation process in coordination with the Governance Committee;</w:t>
      </w:r>
    </w:p>
    <w:p>
      <w:pPr>
        <w:spacing w:after="0" w:line="31" w:lineRule="exact"/>
        <w:rPr>
          <w:rFonts w:ascii="Arial" w:cs="Arial" w:eastAsia="Arial" w:hAnsi="Arial"/>
          <w:sz w:val="17"/>
          <w:szCs w:val="17"/>
          <w:color w:val="582C83"/>
        </w:rPr>
      </w:pPr>
    </w:p>
    <w:p>
      <w:pPr>
        <w:ind w:left="140" w:right="179" w:hanging="133"/>
        <w:spacing w:after="0" w:line="298" w:lineRule="auto"/>
        <w:tabs>
          <w:tab w:leader="none" w:pos="140" w:val="left"/>
        </w:tabs>
        <w:numPr>
          <w:ilvl w:val="0"/>
          <w:numId w:val="40"/>
        </w:numPr>
        <w:rPr>
          <w:rFonts w:ascii="Arial" w:cs="Arial" w:eastAsia="Arial" w:hAnsi="Arial"/>
          <w:sz w:val="17"/>
          <w:szCs w:val="17"/>
          <w:color w:val="582C83"/>
        </w:rPr>
      </w:pPr>
      <w:r>
        <w:rPr>
          <w:rFonts w:ascii="Arial" w:cs="Arial" w:eastAsia="Arial" w:hAnsi="Arial"/>
          <w:sz w:val="17"/>
          <w:szCs w:val="17"/>
          <w:color w:val="auto"/>
        </w:rPr>
        <w:t>work with the Governance Committee to develop recommendations for committee structure, membership, rotations, and committee chairs; and</w:t>
      </w:r>
    </w:p>
    <w:p>
      <w:pPr>
        <w:ind w:left="140" w:right="1099" w:hanging="133"/>
        <w:spacing w:after="0" w:line="317" w:lineRule="auto"/>
        <w:tabs>
          <w:tab w:leader="none" w:pos="140" w:val="left"/>
        </w:tabs>
        <w:numPr>
          <w:ilvl w:val="0"/>
          <w:numId w:val="40"/>
        </w:numPr>
        <w:rPr>
          <w:rFonts w:ascii="Arial" w:cs="Arial" w:eastAsia="Arial" w:hAnsi="Arial"/>
          <w:sz w:val="17"/>
          <w:szCs w:val="17"/>
          <w:color w:val="582C83"/>
        </w:rPr>
      </w:pPr>
      <w:r>
        <w:rPr>
          <w:rFonts w:ascii="Arial" w:cs="Arial" w:eastAsia="Arial" w:hAnsi="Arial"/>
          <w:sz w:val="17"/>
          <w:szCs w:val="17"/>
          <w:color w:val="auto"/>
        </w:rPr>
        <w:t>perform such other duties as the Board may delegate, and has from time to time delegated, to the Lead Independent Director.</w:t>
      </w:r>
    </w:p>
    <w:p>
      <w:pPr>
        <w:spacing w:after="0" w:line="37" w:lineRule="exact"/>
        <w:rPr>
          <w:sz w:val="20"/>
          <w:szCs w:val="20"/>
          <w:color w:val="auto"/>
        </w:rPr>
      </w:pPr>
    </w:p>
    <w:p>
      <w:pPr>
        <w:ind w:right="99"/>
        <w:spacing w:after="0" w:line="282" w:lineRule="auto"/>
        <w:rPr>
          <w:sz w:val="20"/>
          <w:szCs w:val="20"/>
          <w:color w:val="auto"/>
        </w:rPr>
      </w:pPr>
      <w:r>
        <w:rPr>
          <w:rFonts w:ascii="Arial" w:cs="Arial" w:eastAsia="Arial" w:hAnsi="Arial"/>
          <w:sz w:val="17"/>
          <w:szCs w:val="17"/>
          <w:color w:val="auto"/>
        </w:rPr>
        <w:t>In addition, our Guidelines provide that management generally should communicate about the Company with shareholders and other constituencies. From time to time, the Lead Independent Director meets with or communicates with various constituencies of the Company, generally after consultation with management. The Lead Independent Director also is available for consultation and direct communication with the Company’s shareholders.</w:t>
      </w:r>
    </w:p>
    <w:p>
      <w:pPr>
        <w:spacing w:after="0" w:line="338"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25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9"/>
          <w:szCs w:val="29"/>
          <w:b w:val="1"/>
          <w:bCs w:val="1"/>
          <w:color w:val="auto"/>
        </w:rPr>
        <w:t xml:space="preserve"> DIRECTOR INDEPENDENCE</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ALL DIRECTORS ARE INDEPENDENT EXCEPT FOR OUR CHAIR AND CEO</w:t>
      </w:r>
    </w:p>
    <w:p>
      <w:pPr>
        <w:spacing w:after="0" w:line="118" w:lineRule="exact"/>
        <w:rPr>
          <w:sz w:val="20"/>
          <w:szCs w:val="20"/>
          <w:color w:val="auto"/>
        </w:rPr>
      </w:pPr>
    </w:p>
    <w:p>
      <w:pPr>
        <w:ind w:right="319"/>
        <w:spacing w:after="0" w:line="282" w:lineRule="auto"/>
        <w:rPr>
          <w:sz w:val="20"/>
          <w:szCs w:val="20"/>
          <w:color w:val="auto"/>
        </w:rPr>
      </w:pPr>
      <w:r>
        <w:rPr>
          <w:rFonts w:ascii="Arial" w:cs="Arial" w:eastAsia="Arial" w:hAnsi="Arial"/>
          <w:sz w:val="17"/>
          <w:szCs w:val="17"/>
          <w:color w:val="auto"/>
        </w:rPr>
        <w:t>The Guidelines require that at least 80% of our directors meet the Nasdaq listing standards’ independence requirements. A director is considered independent if the Board affirmatively determines, after reviewing all relevant information, that the director has no relationship with Mondelēz International or any of its subsidiaries that would interfere with the exercise of independent judgment in carrying out the responsibilities of a director.</w:t>
      </w:r>
    </w:p>
    <w:p>
      <w:pPr>
        <w:spacing w:after="0" w:line="80" w:lineRule="exact"/>
        <w:rPr>
          <w:sz w:val="20"/>
          <w:szCs w:val="20"/>
          <w:color w:val="auto"/>
        </w:rPr>
      </w:pPr>
    </w:p>
    <w:p>
      <w:pPr>
        <w:ind w:right="19"/>
        <w:spacing w:after="0" w:line="282" w:lineRule="auto"/>
        <w:rPr>
          <w:sz w:val="20"/>
          <w:szCs w:val="20"/>
          <w:color w:val="auto"/>
        </w:rPr>
      </w:pPr>
      <w:r>
        <w:rPr>
          <w:rFonts w:ascii="Arial" w:cs="Arial" w:eastAsia="Arial" w:hAnsi="Arial"/>
          <w:sz w:val="17"/>
          <w:szCs w:val="17"/>
          <w:color w:val="auto"/>
        </w:rPr>
        <w:t>Based on that criterion, the Board determined that Ertharin Cousin, Cees 't Hart, Nancy McKinstry, Brian J. McNamara, Jorge S. Mesquita, Jane Hamilton Nielsen, Paula A. Price, Patrick T. Siewert, and Michael A. Todman are all independent. Mr. Van de Put is not independent because he is a Mondelēz International employee. In addition, the Board previously determined that Charles E. Bunch and Anindita Mukherjee were independent during the time that they served as directors during fiscal 2025.</w:t>
      </w:r>
    </w:p>
    <w:p>
      <w:pPr>
        <w:spacing w:after="0" w:line="200" w:lineRule="exact"/>
        <w:rPr>
          <w:sz w:val="20"/>
          <w:szCs w:val="20"/>
          <w:color w:val="auto"/>
        </w:rPr>
      </w:pPr>
    </w:p>
    <w:p>
      <w:pPr>
        <w:spacing w:after="0" w:line="325"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37</w:t>
      </w:r>
    </w:p>
    <w:p>
      <w:pPr>
        <w:sectPr>
          <w:pgSz w:w="11900" w:h="16838" w:orient="portrait"/>
          <w:cols w:equalWidth="0" w:num="1">
            <w:col w:w="9039"/>
          </w:cols>
          <w:pgMar w:left="1420" w:top="104" w:right="1440" w:bottom="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020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10375" cy="9020175"/>
                    </a:xfrm>
                    <a:prstGeom prst="rect">
                      <a:avLst/>
                    </a:prstGeom>
                    <a:noFill/>
                  </pic:spPr>
                </pic:pic>
              </a:graphicData>
            </a:graphic>
          </wp:anchor>
        </w:drawing>
        <w:t>CORPORATE GOVERNANCE</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Board Oversight of Strategy</w:t>
      </w: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BOARD OVERSIGHT OF STRATEGY</w:t>
      </w:r>
    </w:p>
    <w:p>
      <w:pPr>
        <w:spacing w:after="0" w:line="20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Oversight of our business strategy is one of our Board’s key responsibilities. The Board believes that overseeing and monitoring strategy is a continuous process. The Board has at least one meeting each year primarily dedicated to strategy where it meets with management to discuss, understand, and challenge our strategic plan’s short- and long-term objectives. At Board meetings held throughout the year, the Board and management track progress against the strategic plan’s goals, consider impacts due to changing circumstances in the industry and the economic environment, and monitor strategic and operational risks. Throughout the strategic review that led to the development of our growth strategy, the Board and management team worked in close coordination to craft a consumer-centric strategy that leverages our Company’s unique strengths in the snacking market to accelerate growth. Our long-term growth strategy focuses on four strategic pillars: Growth, Execution, Culture, and Sustainability.</w:t>
      </w:r>
    </w:p>
    <w:p>
      <w:pPr>
        <w:spacing w:after="0" w:line="90"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color w:val="auto"/>
        </w:rPr>
        <w:t>Our Board, with recommendations from the Finance Committee, oversees the alignment of our capital allocation priorities with our long-term strategy. The Board oversees our capital allocation process and annually reviews our capital deployment budget, with the goal of balancing investment in growth and returning cash to shareholders. We continue to demonstrate this balance through our investments in capital expenditures, mergers and acquisitions, and research and development paired with dividend growth and share repurchases.</w:t>
      </w:r>
    </w:p>
    <w:p>
      <w:pPr>
        <w:spacing w:after="0" w:line="67"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Our Board also oversees our cybersecurity, artificial intelligence, sustainability-related risks, strategy, progress and alignment with purpose, stakeholder interests, and strategic risks and opportunities, and reviews progress and challenges on evolving our growth culture and our human capital management goals. For more information, see “Our Distinctive Approach to Environmental and Social Issues,” which begins on page 56.</w:t>
      </w:r>
    </w:p>
    <w:p>
      <w:pPr>
        <w:spacing w:after="0" w:line="305"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256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9"/>
          <w:szCs w:val="29"/>
          <w:b w:val="1"/>
          <w:bCs w:val="1"/>
          <w:color w:val="auto"/>
        </w:rPr>
        <w:t xml:space="preserve"> BOARD OVERSIGHT OF RISK MANAGEMENT</w:t>
      </w:r>
    </w:p>
    <w:p>
      <w:pPr>
        <w:spacing w:after="0" w:line="191"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color w:val="auto"/>
        </w:rPr>
        <w:t>Our business faces various risks, including strategic, financial, operational, sustainability, reputational, legal, and compliance risks. Identifying, managing, and mitigating our exposure to these risks, along with effectively overseeing such matters, are activities critical to our operational decision-making and annual planning processes.</w:t>
      </w:r>
    </w:p>
    <w:p>
      <w:pPr>
        <w:spacing w:after="0" w:line="65"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color w:val="auto"/>
        </w:rPr>
        <w:t>The Board has ultimate responsibility for risk oversight. Each of our director nominees has experience managing or overseeing enterprise risk management (“ERM”) processes, either through operating or other professional experience, or through public company board experience, and leverages that experience.</w:t>
      </w:r>
    </w:p>
    <w:p>
      <w:pPr>
        <w:spacing w:after="0" w:line="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Management is responsible for the day-to-day assessment, management, and mitigation of risk subject to the Board’s guidance and oversight. The Board exercises its risk oversight responsibility throughout the year at both the Board level and through its standing committees, which are comprised solely of independent directors. The Board has delegated primary responsibility for overseeing enterprise risk assessment and the ERM process to the Audit Committee. Pursuant to its charter, the Audit Committee regularly, and at least annually, reviews and discusses our ERM process and the assessment and mitigation of those risks.</w:t>
      </w:r>
    </w:p>
    <w:p>
      <w:pPr>
        <w:spacing w:after="0" w:line="81"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At the Board’s request, the Governance Committee periodically assesses enterprise risk and other topics scheduled for review and discussion by the Board and committees and recommends focus areas and role clarity between the Board and committees to support effective risk oversight.</w:t>
      </w:r>
    </w:p>
    <w:p>
      <w:pPr>
        <w:spacing w:after="0" w:line="58"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highlight w:val="white"/>
        </w:rPr>
        <w:t xml:space="preserve">The Board and/or the relevant committees also consider management of specific enterprise risk topics in connection with the ERM process. </w:t>
      </w:r>
      <w:r>
        <w:rPr>
          <w:rFonts w:ascii="Arial" w:cs="Arial" w:eastAsia="Arial" w:hAnsi="Arial"/>
          <w:sz w:val="17"/>
          <w:szCs w:val="17"/>
          <w:color w:val="auto"/>
        </w:rPr>
        <w:t>For example, the Board, in coordination with the Audit Committee, oversees the management of</w:t>
      </w:r>
      <w:r>
        <w:rPr>
          <w:rFonts w:ascii="Arial" w:cs="Arial" w:eastAsia="Arial" w:hAnsi="Arial"/>
          <w:sz w:val="17"/>
          <w:szCs w:val="17"/>
          <w:color w:val="auto"/>
          <w:highlight w:val="white"/>
        </w:rPr>
        <w:t xml:space="preserve"> </w:t>
      </w:r>
      <w:r>
        <w:rPr>
          <w:rFonts w:ascii="Arial" w:cs="Arial" w:eastAsia="Arial" w:hAnsi="Arial"/>
          <w:sz w:val="17"/>
          <w:szCs w:val="17"/>
          <w:color w:val="auto"/>
        </w:rPr>
        <w:t>enterprise risks arising from cybersecurity threats. Our Board has delegated the primary responsibility to oversee cybersecurity matters to the Audit Committee. Both the Board and the Audit Committee periodically review the measures we have implemented to identify and mitigate data protection and cybersecurity risks. As part of such reviews, our Board and Audit Committee receive periodic reports and presentations from members of the team responsible for overseeing cybersecurity risk management, including our Chief Information Security Officer (“CISO”), which may address a wide range of topics including recent developments, evolving standards, vulnerability assessments, third-party and independent reviews, technological trends, and information security considerations arising</w:t>
      </w:r>
    </w:p>
    <w:p>
      <w:pPr>
        <w:spacing w:after="0" w:line="33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38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1413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10375" cy="141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20"/>
        <w:spacing w:after="0"/>
        <w:rPr>
          <w:sz w:val="20"/>
          <w:szCs w:val="20"/>
          <w:color w:val="auto"/>
        </w:rPr>
      </w:pPr>
      <w:r>
        <w:rPr>
          <w:rFonts w:ascii="Arial" w:cs="Arial" w:eastAsia="Arial" w:hAnsi="Arial"/>
          <w:sz w:val="21"/>
          <w:szCs w:val="21"/>
          <w:b w:val="1"/>
          <w:bCs w:val="1"/>
          <w:color w:val="auto"/>
        </w:rPr>
        <w:t>CORPORATE GOVERNANCE</w:t>
      </w:r>
    </w:p>
    <w:p>
      <w:pPr>
        <w:spacing w:after="0" w:line="48" w:lineRule="exact"/>
        <w:rPr>
          <w:sz w:val="20"/>
          <w:szCs w:val="20"/>
          <w:color w:val="auto"/>
        </w:rPr>
      </w:pPr>
    </w:p>
    <w:p>
      <w:pPr>
        <w:ind w:left="6600"/>
        <w:spacing w:after="0"/>
        <w:rPr>
          <w:sz w:val="20"/>
          <w:szCs w:val="20"/>
          <w:color w:val="auto"/>
        </w:rPr>
      </w:pPr>
      <w:r>
        <w:rPr>
          <w:rFonts w:ascii="Arial" w:cs="Arial" w:eastAsia="Arial" w:hAnsi="Arial"/>
          <w:sz w:val="14"/>
          <w:szCs w:val="14"/>
          <w:color w:val="auto"/>
        </w:rPr>
        <w:t>Board Oversight of Risk Management</w:t>
      </w:r>
    </w:p>
    <w:p>
      <w:pPr>
        <w:sectPr>
          <w:pgSz w:w="11900" w:h="16838" w:orient="portrait"/>
          <w:cols w:equalWidth="0" w:num="1">
            <w:col w:w="9040"/>
          </w:cols>
          <w:pgMar w:left="1420" w:top="1056" w:right="1439" w:bottom="0" w:gutter="0" w:footer="0" w:header="0"/>
        </w:sectPr>
      </w:pPr>
    </w:p>
    <w:p>
      <w:pPr>
        <w:spacing w:after="0" w:line="200" w:lineRule="exact"/>
        <w:rPr>
          <w:sz w:val="20"/>
          <w:szCs w:val="20"/>
          <w:color w:val="auto"/>
        </w:rPr>
      </w:pPr>
    </w:p>
    <w:p>
      <w:pPr>
        <w:spacing w:after="0" w:line="274" w:lineRule="exact"/>
        <w:rPr>
          <w:sz w:val="20"/>
          <w:szCs w:val="20"/>
          <w:color w:val="auto"/>
        </w:rPr>
      </w:pPr>
    </w:p>
    <w:p>
      <w:pPr>
        <w:ind w:right="260"/>
        <w:spacing w:after="0" w:line="301" w:lineRule="auto"/>
        <w:rPr>
          <w:sz w:val="20"/>
          <w:szCs w:val="20"/>
          <w:color w:val="auto"/>
        </w:rPr>
      </w:pPr>
      <w:r>
        <w:rPr>
          <w:rFonts w:ascii="Arial" w:cs="Arial" w:eastAsia="Arial" w:hAnsi="Arial"/>
          <w:sz w:val="17"/>
          <w:szCs w:val="17"/>
          <w:color w:val="auto"/>
        </w:rPr>
        <w:t>with respect to our peers and third parties. Members of our Management Leadership Team also report to the Board more frequently than annually on data protection and current internal and external developments in cybersecurity, as</w:t>
      </w:r>
    </w:p>
    <w:p>
      <w:pPr>
        <w:sectPr>
          <w:pgSz w:w="11900" w:h="16838" w:orient="portrait"/>
          <w:cols w:equalWidth="0" w:num="1">
            <w:col w:w="9040"/>
          </w:cols>
          <w:pgMar w:left="1420" w:top="1056" w:right="1439" w:bottom="0" w:gutter="0" w:footer="0" w:header="0"/>
          <w:type w:val="continuous"/>
        </w:sectPr>
      </w:pPr>
    </w:p>
    <w:bookmarkStart w:id="35" w:name="page36"/>
    <w:bookmarkEnd w:id="35"/>
    <w:p>
      <w:pPr>
        <w:ind w:right="80"/>
        <w:spacing w:after="0" w:line="181" w:lineRule="auto"/>
        <w:rPr>
          <w:sz w:val="20"/>
          <w:szCs w:val="20"/>
          <w:color w:val="auto"/>
        </w:rPr>
      </w:pPr>
      <w:r>
        <w:rPr>
          <w:rFonts w:ascii="Arial" w:cs="Arial" w:eastAsia="Arial" w:hAnsi="Arial"/>
          <w:sz w:val="12"/>
          <w:szCs w:val="12"/>
          <w:color w:val="auto"/>
        </w:rPr>
        <w:t>part of the Board’s en</w:t>
      </w:r>
      <w:r>
        <w:rPr>
          <w:rFonts w:ascii="Arial" w:cs="Arial" w:eastAsia="Arial" w:hAnsi="Arial"/>
          <w:sz w:val="20"/>
          <w:szCs w:val="20"/>
          <w:color w:val="auto"/>
          <w:vertAlign w:val="superscript"/>
        </w:rPr>
        <w:t>t</w:t>
      </w:r>
      <w:r>
        <w:rPr>
          <w:rFonts w:ascii="Arial" w:cs="Arial" w:eastAsia="Arial" w:hAnsi="Arial"/>
          <w:sz w:val="12"/>
          <w:szCs w:val="12"/>
          <w:color w:val="auto"/>
        </w:rPr>
        <w:t>erprise ri</w:t>
      </w:r>
      <w:r>
        <w:rPr>
          <w:rFonts w:ascii="Arial" w:cs="Arial" w:eastAsia="Arial" w:hAnsi="Arial"/>
          <w:sz w:val="20"/>
          <w:szCs w:val="20"/>
          <w:color w:val="auto"/>
          <w:vertAlign w:val="superscript"/>
        </w:rPr>
        <w:t>s</w:t>
      </w:r>
      <w:r>
        <w:rPr>
          <w:rFonts w:ascii="Arial" w:cs="Arial" w:eastAsia="Arial" w:hAnsi="Arial"/>
          <w:sz w:val="12"/>
          <w:szCs w:val="12"/>
          <w:color w:val="auto"/>
        </w:rPr>
        <w:t>k management review, and the Board receives reports of Audit Committee discussions regarding its oversigh of cyber ecurity risk. We have protocols by which certain cybersecurity incidents that meet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-153035</wp:posOffset>
            </wp:positionV>
            <wp:extent cx="6810375" cy="74428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10375" cy="7442835"/>
                    </a:xfrm>
                    <a:prstGeom prst="rect">
                      <a:avLst/>
                    </a:prstGeom>
                    <a:noFill/>
                  </pic:spPr>
                </pic:pic>
              </a:graphicData>
            </a:graphic>
          </wp:anchor>
        </w:drawing>
      </w:r>
    </w:p>
    <w:p>
      <w:pPr>
        <w:spacing w:after="0" w:line="301" w:lineRule="auto"/>
        <w:rPr>
          <w:sz w:val="20"/>
          <w:szCs w:val="20"/>
          <w:color w:val="auto"/>
        </w:rPr>
      </w:pPr>
      <w:r>
        <w:rPr>
          <w:rFonts w:ascii="Arial" w:cs="Arial" w:eastAsia="Arial" w:hAnsi="Arial"/>
          <w:sz w:val="17"/>
          <w:szCs w:val="17"/>
          <w:color w:val="auto"/>
        </w:rPr>
        <w:t>established reporting thresholds are escalated internally and, where appropriate, reported to the Audit Committee or the Board in a timely manner.</w:t>
      </w:r>
    </w:p>
    <w:p>
      <w:pPr>
        <w:spacing w:after="0" w:line="63"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color w:val="auto"/>
        </w:rPr>
        <w:t>Our committees oversee risks within their respective areas of accountability and report back to the Board. During 2025, the Board and committees reviewed and assessed risks related to our business and operations as shown below:</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23"/>
          <w:szCs w:val="23"/>
          <w:b w:val="1"/>
          <w:bCs w:val="1"/>
          <w:color w:val="FFFFFF"/>
        </w:rPr>
        <w:t>THE BOARD</w:t>
      </w:r>
    </w:p>
    <w:p>
      <w:pPr>
        <w:sectPr>
          <w:pgSz w:w="11900" w:h="16838" w:orient="portrait"/>
          <w:cols w:equalWidth="0" w:num="1">
            <w:col w:w="9040"/>
          </w:cols>
          <w:pgMar w:left="1420" w:top="104" w:right="1439" w:bottom="0" w:gutter="0" w:footer="0" w:header="0"/>
        </w:sectPr>
      </w:pPr>
    </w:p>
    <w:p>
      <w:pPr>
        <w:spacing w:after="0" w:line="291" w:lineRule="exact"/>
        <w:rPr>
          <w:sz w:val="20"/>
          <w:szCs w:val="20"/>
          <w:color w:val="auto"/>
        </w:rPr>
      </w:pPr>
    </w:p>
    <w:p>
      <w:pPr>
        <w:ind w:left="640" w:hanging="127"/>
        <w:spacing w:after="0"/>
        <w:tabs>
          <w:tab w:leader="none" w:pos="640" w:val="left"/>
        </w:tabs>
        <w:numPr>
          <w:ilvl w:val="0"/>
          <w:numId w:val="41"/>
        </w:numPr>
        <w:rPr>
          <w:rFonts w:ascii="Arial" w:cs="Arial" w:eastAsia="Arial" w:hAnsi="Arial"/>
          <w:sz w:val="13"/>
          <w:szCs w:val="13"/>
          <w:color w:val="582C83"/>
        </w:rPr>
      </w:pPr>
      <w:r>
        <w:rPr>
          <w:rFonts w:ascii="Arial" w:cs="Arial" w:eastAsia="Arial" w:hAnsi="Arial"/>
          <w:sz w:val="13"/>
          <w:szCs w:val="13"/>
          <w:color w:val="auto"/>
        </w:rPr>
        <w:t>Strategy</w:t>
      </w:r>
    </w:p>
    <w:p>
      <w:pPr>
        <w:spacing w:after="0" w:line="53" w:lineRule="exact"/>
        <w:rPr>
          <w:rFonts w:ascii="Arial" w:cs="Arial" w:eastAsia="Arial" w:hAnsi="Arial"/>
          <w:sz w:val="13"/>
          <w:szCs w:val="13"/>
          <w:color w:val="582C83"/>
        </w:rPr>
      </w:pPr>
    </w:p>
    <w:p>
      <w:pPr>
        <w:ind w:left="640" w:hanging="127"/>
        <w:spacing w:after="0"/>
        <w:tabs>
          <w:tab w:leader="none" w:pos="640" w:val="left"/>
        </w:tabs>
        <w:numPr>
          <w:ilvl w:val="0"/>
          <w:numId w:val="41"/>
        </w:numPr>
        <w:rPr>
          <w:rFonts w:ascii="Arial" w:cs="Arial" w:eastAsia="Arial" w:hAnsi="Arial"/>
          <w:sz w:val="13"/>
          <w:szCs w:val="13"/>
          <w:color w:val="582C83"/>
        </w:rPr>
      </w:pPr>
      <w:r>
        <w:rPr>
          <w:rFonts w:ascii="Arial" w:cs="Arial" w:eastAsia="Arial" w:hAnsi="Arial"/>
          <w:sz w:val="13"/>
          <w:szCs w:val="13"/>
          <w:color w:val="auto"/>
        </w:rPr>
        <w:t>Operations</w:t>
      </w:r>
    </w:p>
    <w:p>
      <w:pPr>
        <w:spacing w:after="0" w:line="53" w:lineRule="exact"/>
        <w:rPr>
          <w:rFonts w:ascii="Arial" w:cs="Arial" w:eastAsia="Arial" w:hAnsi="Arial"/>
          <w:sz w:val="13"/>
          <w:szCs w:val="13"/>
          <w:color w:val="582C83"/>
        </w:rPr>
      </w:pPr>
    </w:p>
    <w:p>
      <w:pPr>
        <w:ind w:left="640" w:hanging="127"/>
        <w:spacing w:after="0"/>
        <w:tabs>
          <w:tab w:leader="none" w:pos="640" w:val="left"/>
        </w:tabs>
        <w:numPr>
          <w:ilvl w:val="0"/>
          <w:numId w:val="41"/>
        </w:numPr>
        <w:rPr>
          <w:rFonts w:ascii="Arial" w:cs="Arial" w:eastAsia="Arial" w:hAnsi="Arial"/>
          <w:sz w:val="13"/>
          <w:szCs w:val="13"/>
          <w:color w:val="582C83"/>
        </w:rPr>
      </w:pPr>
      <w:r>
        <w:rPr>
          <w:rFonts w:ascii="Arial" w:cs="Arial" w:eastAsia="Arial" w:hAnsi="Arial"/>
          <w:sz w:val="13"/>
          <w:szCs w:val="13"/>
          <w:color w:val="auto"/>
        </w:rPr>
        <w:t>Revenue growth management and pricing strategy</w:t>
      </w:r>
    </w:p>
    <w:p>
      <w:pPr>
        <w:spacing w:after="0" w:line="53" w:lineRule="exact"/>
        <w:rPr>
          <w:rFonts w:ascii="Arial" w:cs="Arial" w:eastAsia="Arial" w:hAnsi="Arial"/>
          <w:sz w:val="13"/>
          <w:szCs w:val="13"/>
          <w:color w:val="582C83"/>
        </w:rPr>
      </w:pPr>
    </w:p>
    <w:p>
      <w:pPr>
        <w:ind w:left="640" w:hanging="127"/>
        <w:spacing w:after="0"/>
        <w:tabs>
          <w:tab w:leader="none" w:pos="640" w:val="left"/>
        </w:tabs>
        <w:numPr>
          <w:ilvl w:val="0"/>
          <w:numId w:val="41"/>
        </w:numPr>
        <w:rPr>
          <w:rFonts w:ascii="Arial" w:cs="Arial" w:eastAsia="Arial" w:hAnsi="Arial"/>
          <w:sz w:val="13"/>
          <w:szCs w:val="13"/>
          <w:color w:val="582C83"/>
        </w:rPr>
      </w:pPr>
      <w:r>
        <w:rPr>
          <w:rFonts w:ascii="Arial" w:cs="Arial" w:eastAsia="Arial" w:hAnsi="Arial"/>
          <w:sz w:val="13"/>
          <w:szCs w:val="13"/>
          <w:color w:val="auto"/>
        </w:rPr>
        <w:t>Commodity cost pressures and volatility, including cocoa</w:t>
      </w:r>
    </w:p>
    <w:p>
      <w:pPr>
        <w:spacing w:after="0" w:line="53" w:lineRule="exact"/>
        <w:rPr>
          <w:rFonts w:ascii="Arial" w:cs="Arial" w:eastAsia="Arial" w:hAnsi="Arial"/>
          <w:sz w:val="13"/>
          <w:szCs w:val="13"/>
          <w:color w:val="582C83"/>
        </w:rPr>
      </w:pPr>
    </w:p>
    <w:p>
      <w:pPr>
        <w:ind w:left="640" w:hanging="127"/>
        <w:spacing w:after="0"/>
        <w:tabs>
          <w:tab w:leader="none" w:pos="640" w:val="left"/>
        </w:tabs>
        <w:numPr>
          <w:ilvl w:val="0"/>
          <w:numId w:val="41"/>
        </w:numPr>
        <w:rPr>
          <w:rFonts w:ascii="Arial" w:cs="Arial" w:eastAsia="Arial" w:hAnsi="Arial"/>
          <w:sz w:val="12"/>
          <w:szCs w:val="12"/>
          <w:color w:val="582C83"/>
        </w:rPr>
      </w:pPr>
      <w:r>
        <w:rPr>
          <w:rFonts w:ascii="Arial" w:cs="Arial" w:eastAsia="Arial" w:hAnsi="Arial"/>
          <w:sz w:val="12"/>
          <w:szCs w:val="12"/>
          <w:color w:val="auto"/>
        </w:rPr>
        <w:t>Transformation change management and supply chain excellence</w:t>
      </w:r>
    </w:p>
    <w:p>
      <w:pPr>
        <w:spacing w:after="0" w:line="51" w:lineRule="exact"/>
        <w:rPr>
          <w:rFonts w:ascii="Arial" w:cs="Arial" w:eastAsia="Arial" w:hAnsi="Arial"/>
          <w:sz w:val="12"/>
          <w:szCs w:val="12"/>
          <w:color w:val="582C83"/>
        </w:rPr>
      </w:pPr>
    </w:p>
    <w:p>
      <w:pPr>
        <w:ind w:left="640" w:hanging="127"/>
        <w:spacing w:after="0"/>
        <w:tabs>
          <w:tab w:leader="none" w:pos="640" w:val="left"/>
        </w:tabs>
        <w:numPr>
          <w:ilvl w:val="0"/>
          <w:numId w:val="41"/>
        </w:numPr>
        <w:rPr>
          <w:rFonts w:ascii="Arial" w:cs="Arial" w:eastAsia="Arial" w:hAnsi="Arial"/>
          <w:sz w:val="13"/>
          <w:szCs w:val="13"/>
          <w:color w:val="582C83"/>
        </w:rPr>
      </w:pPr>
      <w:r>
        <w:rPr>
          <w:rFonts w:ascii="Arial" w:cs="Arial" w:eastAsia="Arial" w:hAnsi="Arial"/>
          <w:sz w:val="13"/>
          <w:szCs w:val="13"/>
          <w:color w:val="auto"/>
        </w:rPr>
        <w:t>Environmental and social sustainability</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left="127" w:hanging="127"/>
        <w:spacing w:after="0"/>
        <w:tabs>
          <w:tab w:leader="none" w:pos="127" w:val="left"/>
        </w:tabs>
        <w:numPr>
          <w:ilvl w:val="0"/>
          <w:numId w:val="42"/>
        </w:numPr>
        <w:rPr>
          <w:rFonts w:ascii="Arial" w:cs="Arial" w:eastAsia="Arial" w:hAnsi="Arial"/>
          <w:sz w:val="13"/>
          <w:szCs w:val="13"/>
          <w:color w:val="582C83"/>
        </w:rPr>
      </w:pPr>
      <w:r>
        <w:rPr>
          <w:rFonts w:ascii="Arial" w:cs="Arial" w:eastAsia="Arial" w:hAnsi="Arial"/>
          <w:sz w:val="13"/>
          <w:szCs w:val="13"/>
          <w:color w:val="auto"/>
        </w:rPr>
        <w:t>Food safety</w:t>
      </w:r>
    </w:p>
    <w:p>
      <w:pPr>
        <w:spacing w:after="0" w:line="53" w:lineRule="exact"/>
        <w:rPr>
          <w:rFonts w:ascii="Arial" w:cs="Arial" w:eastAsia="Arial" w:hAnsi="Arial"/>
          <w:sz w:val="13"/>
          <w:szCs w:val="13"/>
          <w:color w:val="582C83"/>
        </w:rPr>
      </w:pPr>
    </w:p>
    <w:p>
      <w:pPr>
        <w:ind w:left="127" w:hanging="127"/>
        <w:spacing w:after="0"/>
        <w:tabs>
          <w:tab w:leader="none" w:pos="127" w:val="left"/>
        </w:tabs>
        <w:numPr>
          <w:ilvl w:val="0"/>
          <w:numId w:val="42"/>
        </w:numPr>
        <w:rPr>
          <w:rFonts w:ascii="Arial" w:cs="Arial" w:eastAsia="Arial" w:hAnsi="Arial"/>
          <w:sz w:val="13"/>
          <w:szCs w:val="13"/>
          <w:color w:val="582C83"/>
        </w:rPr>
      </w:pPr>
      <w:r>
        <w:rPr>
          <w:rFonts w:ascii="Arial" w:cs="Arial" w:eastAsia="Arial" w:hAnsi="Arial"/>
          <w:sz w:val="13"/>
          <w:szCs w:val="13"/>
          <w:color w:val="auto"/>
        </w:rPr>
        <w:t>Well-being</w:t>
      </w:r>
    </w:p>
    <w:p>
      <w:pPr>
        <w:spacing w:after="0" w:line="53" w:lineRule="exact"/>
        <w:rPr>
          <w:rFonts w:ascii="Arial" w:cs="Arial" w:eastAsia="Arial" w:hAnsi="Arial"/>
          <w:sz w:val="13"/>
          <w:szCs w:val="13"/>
          <w:color w:val="582C83"/>
        </w:rPr>
      </w:pPr>
    </w:p>
    <w:p>
      <w:pPr>
        <w:ind w:left="127" w:right="680" w:hanging="127"/>
        <w:spacing w:after="0" w:line="316" w:lineRule="auto"/>
        <w:tabs>
          <w:tab w:leader="none" w:pos="127" w:val="left"/>
        </w:tabs>
        <w:numPr>
          <w:ilvl w:val="0"/>
          <w:numId w:val="42"/>
        </w:numPr>
        <w:rPr>
          <w:rFonts w:ascii="Arial" w:cs="Arial" w:eastAsia="Arial" w:hAnsi="Arial"/>
          <w:sz w:val="12"/>
          <w:szCs w:val="12"/>
          <w:color w:val="582C83"/>
        </w:rPr>
      </w:pPr>
      <w:r>
        <w:rPr>
          <w:rFonts w:ascii="Arial" w:cs="Arial" w:eastAsia="Arial" w:hAnsi="Arial"/>
          <w:sz w:val="12"/>
          <w:szCs w:val="12"/>
          <w:color w:val="auto"/>
        </w:rPr>
        <w:t>Human Capital Management, including talent management, succession planning and culture, and employee engagement</w:t>
      </w:r>
    </w:p>
    <w:p>
      <w:pPr>
        <w:spacing w:after="0" w:line="1" w:lineRule="exact"/>
        <w:rPr>
          <w:rFonts w:ascii="Arial" w:cs="Arial" w:eastAsia="Arial" w:hAnsi="Arial"/>
          <w:sz w:val="12"/>
          <w:szCs w:val="12"/>
          <w:color w:val="582C83"/>
        </w:rPr>
      </w:pPr>
    </w:p>
    <w:p>
      <w:pPr>
        <w:ind w:left="127" w:hanging="127"/>
        <w:spacing w:after="0"/>
        <w:tabs>
          <w:tab w:leader="none" w:pos="127" w:val="left"/>
        </w:tabs>
        <w:numPr>
          <w:ilvl w:val="0"/>
          <w:numId w:val="42"/>
        </w:numPr>
        <w:rPr>
          <w:rFonts w:ascii="Arial" w:cs="Arial" w:eastAsia="Arial" w:hAnsi="Arial"/>
          <w:sz w:val="13"/>
          <w:szCs w:val="13"/>
          <w:color w:val="582C83"/>
        </w:rPr>
      </w:pPr>
      <w:r>
        <w:rPr>
          <w:rFonts w:ascii="Arial" w:cs="Arial" w:eastAsia="Arial" w:hAnsi="Arial"/>
          <w:sz w:val="13"/>
          <w:szCs w:val="13"/>
          <w:color w:val="auto"/>
        </w:rPr>
        <w:t>Geopolitical tensions</w:t>
      </w:r>
    </w:p>
    <w:p>
      <w:pPr>
        <w:spacing w:after="0" w:line="53" w:lineRule="exact"/>
        <w:rPr>
          <w:rFonts w:ascii="Arial" w:cs="Arial" w:eastAsia="Arial" w:hAnsi="Arial"/>
          <w:sz w:val="13"/>
          <w:szCs w:val="13"/>
          <w:color w:val="582C83"/>
        </w:rPr>
      </w:pPr>
    </w:p>
    <w:p>
      <w:pPr>
        <w:ind w:left="127" w:hanging="127"/>
        <w:spacing w:after="0"/>
        <w:tabs>
          <w:tab w:leader="none" w:pos="127" w:val="left"/>
        </w:tabs>
        <w:numPr>
          <w:ilvl w:val="0"/>
          <w:numId w:val="42"/>
        </w:numPr>
        <w:rPr>
          <w:rFonts w:ascii="Arial" w:cs="Arial" w:eastAsia="Arial" w:hAnsi="Arial"/>
          <w:sz w:val="13"/>
          <w:szCs w:val="13"/>
          <w:color w:val="582C83"/>
        </w:rPr>
      </w:pPr>
      <w:r>
        <w:rPr>
          <w:rFonts w:ascii="Arial" w:cs="Arial" w:eastAsia="Arial" w:hAnsi="Arial"/>
          <w:sz w:val="13"/>
          <w:szCs w:val="13"/>
          <w:color w:val="auto"/>
        </w:rPr>
        <w:t>Enterprise digital transformation</w:t>
      </w:r>
    </w:p>
    <w:p>
      <w:pPr>
        <w:spacing w:after="0" w:line="39" w:lineRule="exact"/>
        <w:rPr>
          <w:rFonts w:ascii="Arial" w:cs="Arial" w:eastAsia="Arial" w:hAnsi="Arial"/>
          <w:sz w:val="13"/>
          <w:szCs w:val="13"/>
          <w:color w:val="582C83"/>
        </w:rPr>
      </w:pPr>
    </w:p>
    <w:p>
      <w:pPr>
        <w:ind w:left="127" w:hanging="127"/>
        <w:spacing w:after="0"/>
        <w:tabs>
          <w:tab w:leader="none" w:pos="127" w:val="left"/>
        </w:tabs>
        <w:numPr>
          <w:ilvl w:val="0"/>
          <w:numId w:val="42"/>
        </w:numPr>
        <w:rPr>
          <w:rFonts w:ascii="Arial" w:cs="Arial" w:eastAsia="Arial" w:hAnsi="Arial"/>
          <w:sz w:val="13"/>
          <w:szCs w:val="13"/>
          <w:color w:val="582C83"/>
        </w:rPr>
      </w:pPr>
      <w:r>
        <w:rPr>
          <w:rFonts w:ascii="Arial" w:cs="Arial" w:eastAsia="Arial" w:hAnsi="Arial"/>
          <w:sz w:val="13"/>
          <w:szCs w:val="13"/>
          <w:color w:val="auto"/>
        </w:rPr>
        <w:t>Tariffs</w:t>
      </w:r>
    </w:p>
    <w:p>
      <w:pPr>
        <w:spacing w:after="0" w:line="200" w:lineRule="exact"/>
        <w:rPr>
          <w:sz w:val="20"/>
          <w:szCs w:val="20"/>
          <w:color w:val="auto"/>
        </w:rPr>
      </w:pPr>
    </w:p>
    <w:p>
      <w:pPr>
        <w:sectPr>
          <w:pgSz w:w="11900" w:h="16838" w:orient="portrait"/>
          <w:cols w:equalWidth="0" w:num="2">
            <w:col w:w="4320" w:space="513"/>
            <w:col w:w="4207"/>
          </w:cols>
          <w:pgMar w:left="1420" w:top="104" w:right="1439" w:bottom="0" w:gutter="0" w:footer="0" w:header="0"/>
          <w:type w:val="continuous"/>
        </w:sect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23"/>
          <w:szCs w:val="23"/>
          <w:b w:val="1"/>
          <w:bCs w:val="1"/>
          <w:color w:val="FFFFFF"/>
        </w:rPr>
        <w:t>COMMITTEES</w:t>
      </w:r>
    </w:p>
    <w:p>
      <w:pPr>
        <w:sectPr>
          <w:pgSz w:w="11900" w:h="16838" w:orient="portrait"/>
          <w:cols w:equalWidth="0" w:num="1">
            <w:col w:w="9040"/>
          </w:cols>
          <w:pgMar w:left="1420" w:top="104" w:right="1439" w:bottom="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582C83"/>
        </w:rPr>
        <w:t>AUDIT</w:t>
      </w:r>
    </w:p>
    <w:p>
      <w:pPr>
        <w:spacing w:after="0" w:line="87" w:lineRule="exact"/>
        <w:rPr>
          <w:sz w:val="20"/>
          <w:szCs w:val="20"/>
          <w:color w:val="auto"/>
        </w:rPr>
      </w:pPr>
    </w:p>
    <w:p>
      <w:pPr>
        <w:ind w:left="420" w:hanging="127"/>
        <w:spacing w:after="0"/>
        <w:tabs>
          <w:tab w:leader="none" w:pos="420" w:val="left"/>
        </w:tabs>
        <w:numPr>
          <w:ilvl w:val="0"/>
          <w:numId w:val="43"/>
        </w:numPr>
        <w:rPr>
          <w:rFonts w:ascii="Arial" w:cs="Arial" w:eastAsia="Arial" w:hAnsi="Arial"/>
          <w:sz w:val="13"/>
          <w:szCs w:val="13"/>
          <w:color w:val="582C83"/>
        </w:rPr>
      </w:pPr>
      <w:r>
        <w:rPr>
          <w:rFonts w:ascii="Arial" w:cs="Arial" w:eastAsia="Arial" w:hAnsi="Arial"/>
          <w:sz w:val="13"/>
          <w:szCs w:val="13"/>
          <w:color w:val="auto"/>
        </w:rPr>
        <w:t>Financial statements</w:t>
      </w:r>
    </w:p>
    <w:p>
      <w:pPr>
        <w:spacing w:after="0" w:line="39" w:lineRule="exact"/>
        <w:rPr>
          <w:rFonts w:ascii="Arial" w:cs="Arial" w:eastAsia="Arial" w:hAnsi="Arial"/>
          <w:sz w:val="13"/>
          <w:szCs w:val="13"/>
          <w:color w:val="582C83"/>
        </w:rPr>
      </w:pPr>
    </w:p>
    <w:p>
      <w:pPr>
        <w:ind w:left="420" w:hanging="127"/>
        <w:spacing w:after="0" w:line="293" w:lineRule="auto"/>
        <w:tabs>
          <w:tab w:leader="none" w:pos="420" w:val="left"/>
        </w:tabs>
        <w:numPr>
          <w:ilvl w:val="0"/>
          <w:numId w:val="43"/>
        </w:numPr>
        <w:rPr>
          <w:rFonts w:ascii="Arial" w:cs="Arial" w:eastAsia="Arial" w:hAnsi="Arial"/>
          <w:sz w:val="12"/>
          <w:szCs w:val="12"/>
          <w:color w:val="582C83"/>
        </w:rPr>
      </w:pPr>
      <w:r>
        <w:rPr>
          <w:rFonts w:ascii="Arial" w:cs="Arial" w:eastAsia="Arial" w:hAnsi="Arial"/>
          <w:sz w:val="12"/>
          <w:szCs w:val="12"/>
          <w:color w:val="auto"/>
        </w:rPr>
        <w:t>Financial reporting and internal control processes</w:t>
      </w:r>
    </w:p>
    <w:p>
      <w:pPr>
        <w:ind w:left="420" w:hanging="127"/>
        <w:spacing w:after="0"/>
        <w:tabs>
          <w:tab w:leader="none" w:pos="420" w:val="left"/>
        </w:tabs>
        <w:numPr>
          <w:ilvl w:val="0"/>
          <w:numId w:val="43"/>
        </w:numPr>
        <w:rPr>
          <w:rFonts w:ascii="Arial" w:cs="Arial" w:eastAsia="Arial" w:hAnsi="Arial"/>
          <w:sz w:val="13"/>
          <w:szCs w:val="13"/>
          <w:color w:val="582C83"/>
        </w:rPr>
      </w:pPr>
      <w:r>
        <w:rPr>
          <w:rFonts w:ascii="Arial" w:cs="Arial" w:eastAsia="Arial" w:hAnsi="Arial"/>
          <w:sz w:val="13"/>
          <w:szCs w:val="13"/>
          <w:color w:val="auto"/>
        </w:rPr>
        <w:t>Accounting matters</w:t>
      </w:r>
    </w:p>
    <w:p>
      <w:pPr>
        <w:spacing w:after="0" w:line="39" w:lineRule="exact"/>
        <w:rPr>
          <w:rFonts w:ascii="Arial" w:cs="Arial" w:eastAsia="Arial" w:hAnsi="Arial"/>
          <w:sz w:val="13"/>
          <w:szCs w:val="13"/>
          <w:color w:val="582C83"/>
        </w:rPr>
      </w:pPr>
    </w:p>
    <w:p>
      <w:pPr>
        <w:ind w:left="420" w:right="140" w:hanging="127"/>
        <w:spacing w:after="0" w:line="293" w:lineRule="auto"/>
        <w:tabs>
          <w:tab w:leader="none" w:pos="420" w:val="left"/>
        </w:tabs>
        <w:numPr>
          <w:ilvl w:val="0"/>
          <w:numId w:val="43"/>
        </w:numPr>
        <w:rPr>
          <w:rFonts w:ascii="Arial" w:cs="Arial" w:eastAsia="Arial" w:hAnsi="Arial"/>
          <w:sz w:val="12"/>
          <w:szCs w:val="12"/>
          <w:color w:val="582C83"/>
        </w:rPr>
      </w:pPr>
      <w:r>
        <w:rPr>
          <w:rFonts w:ascii="Arial" w:cs="Arial" w:eastAsia="Arial" w:hAnsi="Arial"/>
          <w:sz w:val="12"/>
          <w:szCs w:val="12"/>
          <w:color w:val="auto"/>
        </w:rPr>
        <w:t>Legal, compliance, and regulatory matters</w:t>
      </w:r>
    </w:p>
    <w:p>
      <w:pPr>
        <w:ind w:left="420" w:right="320" w:hanging="127"/>
        <w:spacing w:after="0" w:line="305" w:lineRule="auto"/>
        <w:tabs>
          <w:tab w:leader="none" w:pos="420" w:val="left"/>
        </w:tabs>
        <w:numPr>
          <w:ilvl w:val="0"/>
          <w:numId w:val="43"/>
        </w:numPr>
        <w:rPr>
          <w:rFonts w:ascii="Arial" w:cs="Arial" w:eastAsia="Arial" w:hAnsi="Arial"/>
          <w:sz w:val="12"/>
          <w:szCs w:val="12"/>
          <w:color w:val="582C83"/>
        </w:rPr>
      </w:pPr>
      <w:r>
        <w:rPr>
          <w:rFonts w:ascii="Arial" w:cs="Arial" w:eastAsia="Arial" w:hAnsi="Arial"/>
          <w:sz w:val="12"/>
          <w:szCs w:val="12"/>
          <w:color w:val="auto"/>
        </w:rPr>
        <w:t>Business continuity/ disaster recovery</w:t>
      </w:r>
    </w:p>
    <w:p>
      <w:pPr>
        <w:ind w:left="420" w:hanging="127"/>
        <w:spacing w:after="0"/>
        <w:tabs>
          <w:tab w:leader="none" w:pos="420" w:val="left"/>
        </w:tabs>
        <w:numPr>
          <w:ilvl w:val="0"/>
          <w:numId w:val="43"/>
        </w:numPr>
        <w:rPr>
          <w:rFonts w:ascii="Arial" w:cs="Arial" w:eastAsia="Arial" w:hAnsi="Arial"/>
          <w:sz w:val="13"/>
          <w:szCs w:val="13"/>
          <w:color w:val="582C83"/>
        </w:rPr>
      </w:pPr>
      <w:r>
        <w:rPr>
          <w:rFonts w:ascii="Arial" w:cs="Arial" w:eastAsia="Arial" w:hAnsi="Arial"/>
          <w:sz w:val="13"/>
          <w:szCs w:val="13"/>
          <w:color w:val="auto"/>
        </w:rPr>
        <w:t>Supply chain resilience</w:t>
      </w:r>
    </w:p>
    <w:p>
      <w:pPr>
        <w:spacing w:after="0" w:line="26" w:lineRule="exact"/>
        <w:rPr>
          <w:rFonts w:ascii="Arial" w:cs="Arial" w:eastAsia="Arial" w:hAnsi="Arial"/>
          <w:sz w:val="13"/>
          <w:szCs w:val="13"/>
          <w:color w:val="582C83"/>
        </w:rPr>
      </w:pPr>
    </w:p>
    <w:p>
      <w:pPr>
        <w:ind w:left="420" w:right="180" w:hanging="127"/>
        <w:spacing w:after="0" w:line="274" w:lineRule="auto"/>
        <w:tabs>
          <w:tab w:leader="none" w:pos="420" w:val="left"/>
        </w:tabs>
        <w:numPr>
          <w:ilvl w:val="0"/>
          <w:numId w:val="43"/>
        </w:numPr>
        <w:rPr>
          <w:rFonts w:ascii="Arial" w:cs="Arial" w:eastAsia="Arial" w:hAnsi="Arial"/>
          <w:sz w:val="13"/>
          <w:szCs w:val="13"/>
          <w:color w:val="582C83"/>
        </w:rPr>
      </w:pPr>
      <w:r>
        <w:rPr>
          <w:rFonts w:ascii="Arial" w:cs="Arial" w:eastAsia="Arial" w:hAnsi="Arial"/>
          <w:sz w:val="13"/>
          <w:szCs w:val="13"/>
          <w:color w:val="auto"/>
        </w:rPr>
        <w:t>Artificial Intelligence, cybersecurity and data protection</w:t>
      </w:r>
    </w:p>
    <w:p>
      <w:pPr>
        <w:jc w:val="both"/>
        <w:ind w:left="420" w:right="700" w:hanging="127"/>
        <w:spacing w:after="0" w:line="305" w:lineRule="auto"/>
        <w:tabs>
          <w:tab w:leader="none" w:pos="420" w:val="left"/>
        </w:tabs>
        <w:numPr>
          <w:ilvl w:val="0"/>
          <w:numId w:val="43"/>
        </w:numPr>
        <w:rPr>
          <w:rFonts w:ascii="Arial" w:cs="Arial" w:eastAsia="Arial" w:hAnsi="Arial"/>
          <w:sz w:val="12"/>
          <w:szCs w:val="12"/>
          <w:color w:val="582C83"/>
        </w:rPr>
      </w:pPr>
      <w:r>
        <w:rPr>
          <w:rFonts w:ascii="Arial" w:cs="Arial" w:eastAsia="Arial" w:hAnsi="Arial"/>
          <w:sz w:val="12"/>
          <w:szCs w:val="12"/>
          <w:color w:val="auto"/>
        </w:rPr>
        <w:t>Financial risk management</w:t>
      </w:r>
    </w:p>
    <w:p>
      <w:pPr>
        <w:ind w:left="420" w:right="200" w:hanging="127"/>
        <w:spacing w:after="0" w:line="293" w:lineRule="auto"/>
        <w:tabs>
          <w:tab w:leader="none" w:pos="420" w:val="left"/>
        </w:tabs>
        <w:numPr>
          <w:ilvl w:val="0"/>
          <w:numId w:val="43"/>
        </w:numPr>
        <w:rPr>
          <w:rFonts w:ascii="Arial" w:cs="Arial" w:eastAsia="Arial" w:hAnsi="Arial"/>
          <w:sz w:val="12"/>
          <w:szCs w:val="12"/>
          <w:color w:val="582C83"/>
        </w:rPr>
      </w:pPr>
      <w:r>
        <w:rPr>
          <w:rFonts w:ascii="Arial" w:cs="Arial" w:eastAsia="Arial" w:hAnsi="Arial"/>
          <w:sz w:val="12"/>
          <w:szCs w:val="12"/>
          <w:color w:val="auto"/>
        </w:rPr>
        <w:t>Health, safety, and environmental matters</w:t>
      </w:r>
    </w:p>
    <w:p>
      <w:pPr>
        <w:ind w:left="420" w:right="100" w:hanging="127"/>
        <w:spacing w:after="0" w:line="286" w:lineRule="auto"/>
        <w:tabs>
          <w:tab w:leader="none" w:pos="420" w:val="left"/>
        </w:tabs>
        <w:numPr>
          <w:ilvl w:val="0"/>
          <w:numId w:val="43"/>
        </w:numPr>
        <w:rPr>
          <w:rFonts w:ascii="Arial" w:cs="Arial" w:eastAsia="Arial" w:hAnsi="Arial"/>
          <w:sz w:val="13"/>
          <w:szCs w:val="13"/>
          <w:color w:val="582C83"/>
        </w:rPr>
      </w:pPr>
      <w:r>
        <w:rPr>
          <w:rFonts w:ascii="Arial" w:cs="Arial" w:eastAsia="Arial" w:hAnsi="Arial"/>
          <w:sz w:val="13"/>
          <w:szCs w:val="13"/>
          <w:color w:val="auto"/>
        </w:rPr>
        <w:t>Sustainability disclosure processes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582C83"/>
        </w:rPr>
        <w:t>GOVERNANCE,</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582C83"/>
        </w:rPr>
        <w:t>MEMBERSHIP, AND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582C83"/>
        </w:rPr>
        <w:t>SUSTAINABILITY</w:t>
      </w:r>
    </w:p>
    <w:p>
      <w:pPr>
        <w:spacing w:after="0" w:line="107" w:lineRule="exact"/>
        <w:rPr>
          <w:sz w:val="20"/>
          <w:szCs w:val="20"/>
          <w:color w:val="auto"/>
        </w:rPr>
      </w:pPr>
    </w:p>
    <w:p>
      <w:pPr>
        <w:ind w:left="140" w:hanging="139"/>
        <w:spacing w:after="0"/>
        <w:tabs>
          <w:tab w:leader="none" w:pos="140" w:val="left"/>
        </w:tabs>
        <w:numPr>
          <w:ilvl w:val="0"/>
          <w:numId w:val="44"/>
        </w:numPr>
        <w:rPr>
          <w:rFonts w:ascii="Arial" w:cs="Arial" w:eastAsia="Arial" w:hAnsi="Arial"/>
          <w:sz w:val="13"/>
          <w:szCs w:val="13"/>
          <w:color w:val="582C83"/>
        </w:rPr>
      </w:pPr>
      <w:r>
        <w:rPr>
          <w:rFonts w:ascii="Arial" w:cs="Arial" w:eastAsia="Arial" w:hAnsi="Arial"/>
          <w:sz w:val="13"/>
          <w:szCs w:val="13"/>
          <w:color w:val="auto"/>
        </w:rPr>
        <w:t>Governance practices</w:t>
      </w:r>
    </w:p>
    <w:p>
      <w:pPr>
        <w:spacing w:after="0" w:line="53" w:lineRule="exact"/>
        <w:rPr>
          <w:rFonts w:ascii="Arial" w:cs="Arial" w:eastAsia="Arial" w:hAnsi="Arial"/>
          <w:sz w:val="13"/>
          <w:szCs w:val="13"/>
          <w:color w:val="582C83"/>
        </w:rPr>
      </w:pPr>
    </w:p>
    <w:p>
      <w:pPr>
        <w:ind w:left="140" w:right="40" w:hanging="139"/>
        <w:spacing w:after="0" w:line="316" w:lineRule="auto"/>
        <w:tabs>
          <w:tab w:leader="none" w:pos="140" w:val="left"/>
        </w:tabs>
        <w:numPr>
          <w:ilvl w:val="0"/>
          <w:numId w:val="44"/>
        </w:numPr>
        <w:rPr>
          <w:rFonts w:ascii="Arial" w:cs="Arial" w:eastAsia="Arial" w:hAnsi="Arial"/>
          <w:sz w:val="12"/>
          <w:szCs w:val="12"/>
          <w:color w:val="582C83"/>
        </w:rPr>
      </w:pPr>
      <w:r>
        <w:rPr>
          <w:rFonts w:ascii="Arial" w:cs="Arial" w:eastAsia="Arial" w:hAnsi="Arial"/>
          <w:sz w:val="12"/>
          <w:szCs w:val="12"/>
          <w:color w:val="auto"/>
        </w:rPr>
        <w:t>Board organization, membership, and structure</w:t>
      </w:r>
    </w:p>
    <w:p>
      <w:pPr>
        <w:spacing w:after="0" w:line="1" w:lineRule="exact"/>
        <w:rPr>
          <w:rFonts w:ascii="Arial" w:cs="Arial" w:eastAsia="Arial" w:hAnsi="Arial"/>
          <w:sz w:val="12"/>
          <w:szCs w:val="12"/>
          <w:color w:val="582C83"/>
        </w:rPr>
      </w:pPr>
    </w:p>
    <w:p>
      <w:pPr>
        <w:ind w:left="140" w:right="680" w:hanging="139"/>
        <w:spacing w:after="0" w:line="316" w:lineRule="auto"/>
        <w:tabs>
          <w:tab w:leader="none" w:pos="140" w:val="left"/>
        </w:tabs>
        <w:numPr>
          <w:ilvl w:val="0"/>
          <w:numId w:val="44"/>
        </w:numPr>
        <w:rPr>
          <w:rFonts w:ascii="Arial" w:cs="Arial" w:eastAsia="Arial" w:hAnsi="Arial"/>
          <w:sz w:val="12"/>
          <w:szCs w:val="12"/>
          <w:color w:val="582C83"/>
        </w:rPr>
      </w:pPr>
      <w:r>
        <w:rPr>
          <w:rFonts w:ascii="Arial" w:cs="Arial" w:eastAsia="Arial" w:hAnsi="Arial"/>
          <w:sz w:val="12"/>
          <w:szCs w:val="12"/>
          <w:color w:val="auto"/>
        </w:rPr>
        <w:t>Related person transactions</w:t>
      </w:r>
    </w:p>
    <w:p>
      <w:pPr>
        <w:spacing w:after="0" w:line="1" w:lineRule="exact"/>
        <w:rPr>
          <w:rFonts w:ascii="Arial" w:cs="Arial" w:eastAsia="Arial" w:hAnsi="Arial"/>
          <w:sz w:val="12"/>
          <w:szCs w:val="12"/>
          <w:color w:val="582C83"/>
        </w:rPr>
      </w:pPr>
    </w:p>
    <w:p>
      <w:pPr>
        <w:ind w:left="140" w:hanging="139"/>
        <w:spacing w:after="0"/>
        <w:tabs>
          <w:tab w:leader="none" w:pos="140" w:val="left"/>
        </w:tabs>
        <w:numPr>
          <w:ilvl w:val="0"/>
          <w:numId w:val="44"/>
        </w:numPr>
        <w:rPr>
          <w:rFonts w:ascii="Arial" w:cs="Arial" w:eastAsia="Arial" w:hAnsi="Arial"/>
          <w:sz w:val="13"/>
          <w:szCs w:val="13"/>
          <w:color w:val="582C83"/>
        </w:rPr>
      </w:pPr>
      <w:r>
        <w:rPr>
          <w:rFonts w:ascii="Arial" w:cs="Arial" w:eastAsia="Arial" w:hAnsi="Arial"/>
          <w:sz w:val="13"/>
          <w:szCs w:val="13"/>
          <w:color w:val="auto"/>
        </w:rPr>
        <w:t>Well-being</w:t>
      </w:r>
    </w:p>
    <w:p>
      <w:pPr>
        <w:spacing w:after="0" w:line="53" w:lineRule="exact"/>
        <w:rPr>
          <w:rFonts w:ascii="Arial" w:cs="Arial" w:eastAsia="Arial" w:hAnsi="Arial"/>
          <w:sz w:val="13"/>
          <w:szCs w:val="13"/>
          <w:color w:val="582C83"/>
        </w:rPr>
      </w:pPr>
    </w:p>
    <w:p>
      <w:pPr>
        <w:ind w:left="140" w:right="120" w:hanging="139"/>
        <w:spacing w:after="0" w:line="286" w:lineRule="auto"/>
        <w:tabs>
          <w:tab w:leader="none" w:pos="140" w:val="left"/>
        </w:tabs>
        <w:numPr>
          <w:ilvl w:val="0"/>
          <w:numId w:val="44"/>
        </w:numPr>
        <w:rPr>
          <w:rFonts w:ascii="Arial" w:cs="Arial" w:eastAsia="Arial" w:hAnsi="Arial"/>
          <w:sz w:val="13"/>
          <w:szCs w:val="13"/>
          <w:color w:val="582C83"/>
        </w:rPr>
      </w:pPr>
      <w:r>
        <w:rPr>
          <w:rFonts w:ascii="Arial" w:cs="Arial" w:eastAsia="Arial" w:hAnsi="Arial"/>
          <w:sz w:val="13"/>
          <w:szCs w:val="13"/>
          <w:color w:val="auto"/>
        </w:rPr>
        <w:t>Environmental and social sustainability</w:t>
      </w:r>
    </w:p>
    <w:p>
      <w:pPr>
        <w:spacing w:after="0" w:line="8" w:lineRule="exact"/>
        <w:rPr>
          <w:rFonts w:ascii="Arial" w:cs="Arial" w:eastAsia="Arial" w:hAnsi="Arial"/>
          <w:sz w:val="13"/>
          <w:szCs w:val="13"/>
          <w:color w:val="582C83"/>
        </w:rPr>
      </w:pPr>
    </w:p>
    <w:p>
      <w:pPr>
        <w:ind w:left="140" w:hanging="139"/>
        <w:spacing w:after="0" w:line="286" w:lineRule="auto"/>
        <w:tabs>
          <w:tab w:leader="none" w:pos="140" w:val="left"/>
        </w:tabs>
        <w:numPr>
          <w:ilvl w:val="0"/>
          <w:numId w:val="44"/>
        </w:numPr>
        <w:rPr>
          <w:rFonts w:ascii="Arial" w:cs="Arial" w:eastAsia="Arial" w:hAnsi="Arial"/>
          <w:sz w:val="13"/>
          <w:szCs w:val="13"/>
          <w:color w:val="582C83"/>
        </w:rPr>
      </w:pPr>
      <w:r>
        <w:rPr>
          <w:rFonts w:ascii="Arial" w:cs="Arial" w:eastAsia="Arial" w:hAnsi="Arial"/>
          <w:sz w:val="13"/>
          <w:szCs w:val="13"/>
          <w:color w:val="auto"/>
        </w:rPr>
        <w:t>Public policy, including food policy and regulation</w:t>
      </w:r>
    </w:p>
    <w:p>
      <w:pPr>
        <w:spacing w:after="0" w:line="8" w:lineRule="exact"/>
        <w:rPr>
          <w:rFonts w:ascii="Arial" w:cs="Arial" w:eastAsia="Arial" w:hAnsi="Arial"/>
          <w:sz w:val="13"/>
          <w:szCs w:val="13"/>
          <w:color w:val="582C83"/>
        </w:rPr>
      </w:pPr>
    </w:p>
    <w:p>
      <w:pPr>
        <w:ind w:left="140" w:right="160" w:hanging="139"/>
        <w:spacing w:after="0" w:line="273" w:lineRule="auto"/>
        <w:tabs>
          <w:tab w:leader="none" w:pos="140" w:val="left"/>
        </w:tabs>
        <w:numPr>
          <w:ilvl w:val="0"/>
          <w:numId w:val="44"/>
        </w:numPr>
        <w:rPr>
          <w:rFonts w:ascii="Arial" w:cs="Arial" w:eastAsia="Arial" w:hAnsi="Arial"/>
          <w:sz w:val="13"/>
          <w:szCs w:val="13"/>
          <w:color w:val="582C83"/>
        </w:rPr>
      </w:pPr>
      <w:r>
        <w:rPr>
          <w:rFonts w:ascii="Arial" w:cs="Arial" w:eastAsia="Arial" w:hAnsi="Arial"/>
          <w:sz w:val="13"/>
          <w:szCs w:val="13"/>
          <w:color w:val="auto"/>
        </w:rPr>
        <w:t>Mondelēz International’s public image and reputation</w:t>
      </w:r>
    </w:p>
    <w:p>
      <w:pPr>
        <w:spacing w:after="0" w:line="16" w:lineRule="exact"/>
        <w:rPr>
          <w:rFonts w:ascii="Arial" w:cs="Arial" w:eastAsia="Arial" w:hAnsi="Arial"/>
          <w:sz w:val="13"/>
          <w:szCs w:val="13"/>
          <w:color w:val="582C83"/>
        </w:rPr>
      </w:pPr>
    </w:p>
    <w:p>
      <w:pPr>
        <w:jc w:val="both"/>
        <w:ind w:left="140" w:right="580" w:hanging="139"/>
        <w:spacing w:after="0" w:line="330" w:lineRule="auto"/>
        <w:tabs>
          <w:tab w:leader="none" w:pos="140" w:val="left"/>
        </w:tabs>
        <w:numPr>
          <w:ilvl w:val="0"/>
          <w:numId w:val="44"/>
        </w:numPr>
        <w:rPr>
          <w:rFonts w:ascii="Arial" w:cs="Arial" w:eastAsia="Arial" w:hAnsi="Arial"/>
          <w:sz w:val="12"/>
          <w:szCs w:val="12"/>
          <w:color w:val="582C83"/>
        </w:rPr>
      </w:pPr>
      <w:r>
        <w:rPr>
          <w:rFonts w:ascii="Arial" w:cs="Arial" w:eastAsia="Arial" w:hAnsi="Arial"/>
          <w:sz w:val="12"/>
          <w:szCs w:val="12"/>
          <w:color w:val="auto"/>
        </w:rPr>
        <w:t>Political activities and contributions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center"/>
        <w:ind w:left="-23"/>
        <w:spacing w:after="0"/>
        <w:rPr>
          <w:sz w:val="20"/>
          <w:szCs w:val="20"/>
          <w:color w:val="auto"/>
        </w:rPr>
      </w:pPr>
      <w:r>
        <w:rPr>
          <w:rFonts w:ascii="Arial" w:cs="Arial" w:eastAsia="Arial" w:hAnsi="Arial"/>
          <w:sz w:val="14"/>
          <w:szCs w:val="14"/>
          <w:b w:val="1"/>
          <w:bCs w:val="1"/>
          <w:color w:val="582C83"/>
        </w:rPr>
        <w:t>PEOPLE AND</w:t>
      </w:r>
    </w:p>
    <w:p>
      <w:pPr>
        <w:spacing w:after="0" w:line="35" w:lineRule="exact"/>
        <w:rPr>
          <w:sz w:val="20"/>
          <w:szCs w:val="20"/>
          <w:color w:val="auto"/>
        </w:rPr>
      </w:pPr>
    </w:p>
    <w:p>
      <w:pPr>
        <w:jc w:val="center"/>
        <w:ind w:left="-3"/>
        <w:spacing w:after="0"/>
        <w:rPr>
          <w:sz w:val="20"/>
          <w:szCs w:val="20"/>
          <w:color w:val="auto"/>
        </w:rPr>
      </w:pPr>
      <w:r>
        <w:rPr>
          <w:rFonts w:ascii="Arial" w:cs="Arial" w:eastAsia="Arial" w:hAnsi="Arial"/>
          <w:sz w:val="14"/>
          <w:szCs w:val="14"/>
          <w:b w:val="1"/>
          <w:bCs w:val="1"/>
          <w:color w:val="582C83"/>
        </w:rPr>
        <w:t>COMPENSATION</w:t>
      </w:r>
    </w:p>
    <w:p>
      <w:pPr>
        <w:spacing w:after="0" w:line="120" w:lineRule="exact"/>
        <w:rPr>
          <w:sz w:val="20"/>
          <w:szCs w:val="20"/>
          <w:color w:val="auto"/>
        </w:rPr>
      </w:pPr>
    </w:p>
    <w:p>
      <w:pPr>
        <w:ind w:left="124" w:right="160" w:hanging="124"/>
        <w:spacing w:after="0" w:line="316" w:lineRule="auto"/>
        <w:tabs>
          <w:tab w:leader="none" w:pos="124" w:val="left"/>
        </w:tabs>
        <w:numPr>
          <w:ilvl w:val="0"/>
          <w:numId w:val="45"/>
        </w:numPr>
        <w:rPr>
          <w:rFonts w:ascii="Arial" w:cs="Arial" w:eastAsia="Arial" w:hAnsi="Arial"/>
          <w:sz w:val="12"/>
          <w:szCs w:val="12"/>
          <w:color w:val="582C83"/>
        </w:rPr>
      </w:pPr>
      <w:r>
        <w:rPr>
          <w:rFonts w:ascii="Arial" w:cs="Arial" w:eastAsia="Arial" w:hAnsi="Arial"/>
          <w:sz w:val="12"/>
          <w:szCs w:val="12"/>
          <w:color w:val="auto"/>
        </w:rPr>
        <w:t>Executive compensation policies and practices</w:t>
      </w:r>
    </w:p>
    <w:p>
      <w:pPr>
        <w:spacing w:after="0" w:line="1" w:lineRule="exact"/>
        <w:rPr>
          <w:rFonts w:ascii="Arial" w:cs="Arial" w:eastAsia="Arial" w:hAnsi="Arial"/>
          <w:sz w:val="12"/>
          <w:szCs w:val="12"/>
          <w:color w:val="582C83"/>
        </w:rPr>
      </w:pPr>
    </w:p>
    <w:p>
      <w:pPr>
        <w:ind w:left="124" w:hanging="124"/>
        <w:spacing w:after="0"/>
        <w:tabs>
          <w:tab w:leader="none" w:pos="124" w:val="left"/>
        </w:tabs>
        <w:numPr>
          <w:ilvl w:val="0"/>
          <w:numId w:val="45"/>
        </w:numPr>
        <w:rPr>
          <w:rFonts w:ascii="Arial" w:cs="Arial" w:eastAsia="Arial" w:hAnsi="Arial"/>
          <w:sz w:val="13"/>
          <w:szCs w:val="13"/>
          <w:color w:val="582C83"/>
        </w:rPr>
      </w:pPr>
      <w:r>
        <w:rPr>
          <w:rFonts w:ascii="Arial" w:cs="Arial" w:eastAsia="Arial" w:hAnsi="Arial"/>
          <w:sz w:val="13"/>
          <w:szCs w:val="13"/>
          <w:color w:val="auto"/>
        </w:rPr>
        <w:t>Succession planning</w:t>
      </w:r>
    </w:p>
    <w:p>
      <w:pPr>
        <w:spacing w:after="0" w:line="39" w:lineRule="exact"/>
        <w:rPr>
          <w:rFonts w:ascii="Arial" w:cs="Arial" w:eastAsia="Arial" w:hAnsi="Arial"/>
          <w:sz w:val="13"/>
          <w:szCs w:val="13"/>
          <w:color w:val="582C83"/>
        </w:rPr>
      </w:pPr>
    </w:p>
    <w:p>
      <w:pPr>
        <w:ind w:left="124" w:hanging="124"/>
        <w:spacing w:after="0" w:line="305" w:lineRule="auto"/>
        <w:tabs>
          <w:tab w:leader="none" w:pos="124" w:val="left"/>
        </w:tabs>
        <w:numPr>
          <w:ilvl w:val="0"/>
          <w:numId w:val="45"/>
        </w:numPr>
        <w:rPr>
          <w:rFonts w:ascii="Arial" w:cs="Arial" w:eastAsia="Arial" w:hAnsi="Arial"/>
          <w:sz w:val="12"/>
          <w:szCs w:val="12"/>
          <w:color w:val="582C83"/>
        </w:rPr>
      </w:pPr>
      <w:r>
        <w:rPr>
          <w:rFonts w:ascii="Arial" w:cs="Arial" w:eastAsia="Arial" w:hAnsi="Arial"/>
          <w:sz w:val="12"/>
          <w:szCs w:val="12"/>
          <w:color w:val="auto"/>
        </w:rPr>
        <w:t>People policies, practices, strategy, talent management and culture, and employee engagement</w:t>
      </w:r>
    </w:p>
    <w:p>
      <w:pPr>
        <w:ind w:left="124" w:hanging="124"/>
        <w:spacing w:after="0"/>
        <w:tabs>
          <w:tab w:leader="none" w:pos="124" w:val="left"/>
        </w:tabs>
        <w:numPr>
          <w:ilvl w:val="0"/>
          <w:numId w:val="45"/>
        </w:numPr>
        <w:rPr>
          <w:rFonts w:ascii="Arial" w:cs="Arial" w:eastAsia="Arial" w:hAnsi="Arial"/>
          <w:sz w:val="13"/>
          <w:szCs w:val="13"/>
          <w:color w:val="582C83"/>
        </w:rPr>
      </w:pPr>
      <w:r>
        <w:rPr>
          <w:rFonts w:ascii="Arial" w:cs="Arial" w:eastAsia="Arial" w:hAnsi="Arial"/>
          <w:sz w:val="13"/>
          <w:szCs w:val="13"/>
          <w:color w:val="auto"/>
        </w:rPr>
        <w:t>Workplace compliance</w:t>
      </w:r>
    </w:p>
    <w:p>
      <w:pPr>
        <w:spacing w:after="0" w:line="121" w:lineRule="exact"/>
        <w:rPr>
          <w:sz w:val="20"/>
          <w:szCs w:val="20"/>
          <w:color w:val="auto"/>
        </w:rPr>
      </w:pPr>
    </w:p>
    <w:p>
      <w:pPr>
        <w:ind w:left="4" w:right="40"/>
        <w:spacing w:after="0" w:line="265" w:lineRule="auto"/>
        <w:rPr>
          <w:sz w:val="20"/>
          <w:szCs w:val="20"/>
          <w:color w:val="auto"/>
        </w:rPr>
      </w:pPr>
      <w:r>
        <w:rPr>
          <w:rFonts w:ascii="Arial" w:cs="Arial" w:eastAsia="Arial" w:hAnsi="Arial"/>
          <w:sz w:val="13"/>
          <w:szCs w:val="13"/>
          <w:color w:val="auto"/>
        </w:rPr>
        <w:t>For a discussion about risk oversight relating to the compensation programs, see “How the PCC Manages Compensation-Related Risk” on page 82.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left="509"/>
        <w:spacing w:after="0"/>
        <w:rPr>
          <w:sz w:val="20"/>
          <w:szCs w:val="20"/>
          <w:color w:val="auto"/>
        </w:rPr>
      </w:pPr>
      <w:r>
        <w:rPr>
          <w:rFonts w:ascii="Arial" w:cs="Arial" w:eastAsia="Arial" w:hAnsi="Arial"/>
          <w:sz w:val="14"/>
          <w:szCs w:val="14"/>
          <w:b w:val="1"/>
          <w:bCs w:val="1"/>
          <w:color w:val="582C83"/>
        </w:rPr>
        <w:t>FINANCE</w:t>
      </w:r>
    </w:p>
    <w:p>
      <w:pPr>
        <w:spacing w:after="0" w:line="127" w:lineRule="exact"/>
        <w:rPr>
          <w:sz w:val="20"/>
          <w:szCs w:val="20"/>
          <w:color w:val="auto"/>
        </w:rPr>
      </w:pPr>
    </w:p>
    <w:p>
      <w:pPr>
        <w:ind w:left="129" w:hanging="129"/>
        <w:spacing w:after="0"/>
        <w:tabs>
          <w:tab w:leader="none" w:pos="129" w:val="left"/>
        </w:tabs>
        <w:numPr>
          <w:ilvl w:val="0"/>
          <w:numId w:val="46"/>
        </w:numPr>
        <w:rPr>
          <w:rFonts w:ascii="Arial" w:cs="Arial" w:eastAsia="Arial" w:hAnsi="Arial"/>
          <w:sz w:val="13"/>
          <w:szCs w:val="13"/>
          <w:color w:val="582C83"/>
        </w:rPr>
      </w:pPr>
      <w:r>
        <w:rPr>
          <w:rFonts w:ascii="Arial" w:cs="Arial" w:eastAsia="Arial" w:hAnsi="Arial"/>
          <w:sz w:val="13"/>
          <w:szCs w:val="13"/>
          <w:color w:val="auto"/>
        </w:rPr>
        <w:t>Capital structure</w:t>
      </w:r>
    </w:p>
    <w:p>
      <w:pPr>
        <w:spacing w:after="0" w:line="53" w:lineRule="exact"/>
        <w:rPr>
          <w:rFonts w:ascii="Arial" w:cs="Arial" w:eastAsia="Arial" w:hAnsi="Arial"/>
          <w:sz w:val="13"/>
          <w:szCs w:val="13"/>
          <w:color w:val="582C83"/>
        </w:rPr>
      </w:pPr>
    </w:p>
    <w:p>
      <w:pPr>
        <w:ind w:left="129" w:hanging="129"/>
        <w:spacing w:after="0"/>
        <w:tabs>
          <w:tab w:leader="none" w:pos="129" w:val="left"/>
        </w:tabs>
        <w:numPr>
          <w:ilvl w:val="0"/>
          <w:numId w:val="46"/>
        </w:numPr>
        <w:rPr>
          <w:rFonts w:ascii="Arial" w:cs="Arial" w:eastAsia="Arial" w:hAnsi="Arial"/>
          <w:sz w:val="13"/>
          <w:szCs w:val="13"/>
          <w:color w:val="582C83"/>
        </w:rPr>
      </w:pPr>
      <w:r>
        <w:rPr>
          <w:rFonts w:ascii="Arial" w:cs="Arial" w:eastAsia="Arial" w:hAnsi="Arial"/>
          <w:sz w:val="13"/>
          <w:szCs w:val="13"/>
          <w:color w:val="auto"/>
        </w:rPr>
        <w:t>Financial strategies</w:t>
      </w:r>
    </w:p>
    <w:p>
      <w:pPr>
        <w:spacing w:after="0" w:line="39" w:lineRule="exact"/>
        <w:rPr>
          <w:rFonts w:ascii="Arial" w:cs="Arial" w:eastAsia="Arial" w:hAnsi="Arial"/>
          <w:sz w:val="13"/>
          <w:szCs w:val="13"/>
          <w:color w:val="582C83"/>
        </w:rPr>
      </w:pPr>
    </w:p>
    <w:p>
      <w:pPr>
        <w:ind w:left="129" w:right="520" w:hanging="129"/>
        <w:spacing w:after="0" w:line="305" w:lineRule="auto"/>
        <w:tabs>
          <w:tab w:leader="none" w:pos="129" w:val="left"/>
        </w:tabs>
        <w:numPr>
          <w:ilvl w:val="0"/>
          <w:numId w:val="46"/>
        </w:numPr>
        <w:rPr>
          <w:rFonts w:ascii="Arial" w:cs="Arial" w:eastAsia="Arial" w:hAnsi="Arial"/>
          <w:sz w:val="12"/>
          <w:szCs w:val="12"/>
          <w:color w:val="582C83"/>
        </w:rPr>
      </w:pPr>
      <w:r>
        <w:rPr>
          <w:rFonts w:ascii="Arial" w:cs="Arial" w:eastAsia="Arial" w:hAnsi="Arial"/>
          <w:sz w:val="12"/>
          <w:szCs w:val="12"/>
          <w:color w:val="auto"/>
        </w:rPr>
        <w:t>Strategic transactions, including mergers, acquisitions, and divestitures</w:t>
      </w:r>
    </w:p>
    <w:p>
      <w:pPr>
        <w:ind w:left="129" w:hanging="129"/>
        <w:spacing w:after="0"/>
        <w:tabs>
          <w:tab w:leader="none" w:pos="129" w:val="left"/>
        </w:tabs>
        <w:numPr>
          <w:ilvl w:val="0"/>
          <w:numId w:val="46"/>
        </w:numPr>
        <w:rPr>
          <w:rFonts w:ascii="Arial" w:cs="Arial" w:eastAsia="Arial" w:hAnsi="Arial"/>
          <w:sz w:val="12"/>
          <w:szCs w:val="12"/>
          <w:color w:val="582C83"/>
        </w:rPr>
      </w:pPr>
      <w:r>
        <w:rPr>
          <w:rFonts w:ascii="Arial" w:cs="Arial" w:eastAsia="Arial" w:hAnsi="Arial"/>
          <w:sz w:val="12"/>
          <w:szCs w:val="12"/>
          <w:color w:val="auto"/>
        </w:rPr>
        <w:t>Interest rate exposure</w:t>
      </w:r>
    </w:p>
    <w:p>
      <w:pPr>
        <w:spacing w:after="0" w:line="51" w:lineRule="exact"/>
        <w:rPr>
          <w:rFonts w:ascii="Arial" w:cs="Arial" w:eastAsia="Arial" w:hAnsi="Arial"/>
          <w:sz w:val="12"/>
          <w:szCs w:val="12"/>
          <w:color w:val="582C83"/>
        </w:rPr>
      </w:pPr>
    </w:p>
    <w:p>
      <w:pPr>
        <w:ind w:left="129" w:right="740" w:hanging="129"/>
        <w:spacing w:after="0" w:line="330" w:lineRule="auto"/>
        <w:tabs>
          <w:tab w:leader="none" w:pos="129" w:val="left"/>
        </w:tabs>
        <w:numPr>
          <w:ilvl w:val="0"/>
          <w:numId w:val="46"/>
        </w:numPr>
        <w:rPr>
          <w:rFonts w:ascii="Arial" w:cs="Arial" w:eastAsia="Arial" w:hAnsi="Arial"/>
          <w:sz w:val="12"/>
          <w:szCs w:val="12"/>
          <w:color w:val="582C83"/>
        </w:rPr>
      </w:pPr>
      <w:r>
        <w:rPr>
          <w:rFonts w:ascii="Arial" w:cs="Arial" w:eastAsia="Arial" w:hAnsi="Arial"/>
          <w:sz w:val="12"/>
          <w:szCs w:val="12"/>
          <w:color w:val="auto"/>
        </w:rPr>
        <w:t>Enterprise funding and liquidity</w:t>
      </w:r>
    </w:p>
    <w:p>
      <w:pPr>
        <w:spacing w:after="0" w:line="1671" w:lineRule="exact"/>
        <w:rPr>
          <w:sz w:val="20"/>
          <w:szCs w:val="20"/>
          <w:color w:val="auto"/>
        </w:rPr>
      </w:pPr>
    </w:p>
    <w:p>
      <w:pPr>
        <w:sectPr>
          <w:pgSz w:w="11900" w:h="16838" w:orient="portrait"/>
          <w:cols w:equalWidth="0" w:num="4">
            <w:col w:w="1860" w:space="700"/>
            <w:col w:w="1660" w:space="636"/>
            <w:col w:w="1664" w:space="631"/>
            <w:col w:w="1889"/>
          </w:cols>
          <w:pgMar w:left="1420" w:top="104" w:right="1439" w:bottom="0" w:gutter="0" w:footer="0" w:header="0"/>
          <w:type w:val="continuous"/>
        </w:sectPr>
      </w:pPr>
    </w:p>
    <w:p>
      <w:pPr>
        <w:spacing w:after="0" w:line="186"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Management has robust internal processes and controls owned by global enterprise risk owners that facilitate the identification, assessment, prioritization, mitigation, monitoring, and validation of material short-, intermediate-, and long-term risks. Our global enterprise risk owners regularly engage outside advisors, where appropriate, to assist in the identification and evaluation of risks.</w:t>
      </w:r>
    </w:p>
    <w:p>
      <w:pPr>
        <w:spacing w:after="0" w:line="8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have a Risk and Compliance Committee, co-facilitated by our SVP, Global Chief Ethics &amp; Compliance Officer (“Chief Ethics &amp; Compliance Officer”) and SVP, Chief Audit &amp; Controls Officer (“Chief Audit &amp; Controls Officer”) and composed of executive leaders from the Finance, Accounting, Legal, Compliance, Internal Audit, and People functions, which provides broad oversight of our key enterprise risk mitigation plans and ERM process. The Risk and Compliance Committee periodically reviews the key enterprise risk updates and meets with global enterprise risk owners responsible for managing the risk, and mitigation actions and the status of the annual enterprise risk assessment.</w:t>
      </w:r>
    </w:p>
    <w:p>
      <w:pPr>
        <w:spacing w:after="0" w:line="337"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29908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10375" cy="299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CORPORATE GOVERNANCE</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Board Oversight of Risk Management</w:t>
      </w:r>
    </w:p>
    <w:p>
      <w:pPr>
        <w:spacing w:after="0" w:line="200" w:lineRule="exact"/>
        <w:rPr>
          <w:sz w:val="20"/>
          <w:szCs w:val="20"/>
          <w:color w:val="auto"/>
        </w:rPr>
      </w:pPr>
    </w:p>
    <w:p>
      <w:pPr>
        <w:spacing w:after="0" w:line="274" w:lineRule="exact"/>
        <w:rPr>
          <w:sz w:val="20"/>
          <w:szCs w:val="20"/>
          <w:color w:val="auto"/>
        </w:rPr>
      </w:pPr>
    </w:p>
    <w:p>
      <w:pPr>
        <w:jc w:val="both"/>
        <w:ind w:right="260"/>
        <w:spacing w:after="0" w:line="282" w:lineRule="auto"/>
        <w:rPr>
          <w:sz w:val="20"/>
          <w:szCs w:val="20"/>
          <w:color w:val="auto"/>
        </w:rPr>
      </w:pPr>
      <w:r>
        <w:rPr>
          <w:rFonts w:ascii="Arial" w:cs="Arial" w:eastAsia="Arial" w:hAnsi="Arial"/>
          <w:sz w:val="17"/>
          <w:szCs w:val="17"/>
          <w:color w:val="auto"/>
        </w:rPr>
        <w:t>Our Chief Ethics &amp; Compliance Officer and Chief Audit &amp; Controls Officer regularly report to the Audit Committee to provide updates on the status of the ERM process, and the Board receives reports of Audit Committee discussions regarding its oversight of the ERM process. The global enterprise risk owners provide periodic updates to the Board and/or the relevant committees on the top key enterprise risks. Global risk owners also engage with BU and regional risk owners to collect insights, achieve learnings across regions, and strengthen risk mitigation plans.</w:t>
      </w:r>
    </w:p>
    <w:p>
      <w:pPr>
        <w:spacing w:after="0" w:line="6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ERM process also facilitates open communication between management and the Board, which helps the Board’s and committees’ understanding of key risks to our business and performance and the functioning of our risk management process, including who participates in the process and the information gathered in the assessment. Management regularly provides reports to the Board or the appropriate committee on key risks and the actions management has taken to monitor, control, and mitigate these risks. Members of management responsible for overseeing specific risks attend Board and committee meetings throughout the year to discuss these reports and provide any updates. The committees also report key risk discussions to the Board following their meetings. Board members may further discuss the risk management process and/or any enterprise risks directly with members of</w:t>
      </w:r>
    </w:p>
    <w:p>
      <w:pPr>
        <w:sectPr>
          <w:pgSz w:w="11900" w:h="16838" w:orient="portrait"/>
          <w:cols w:equalWidth="0" w:num="1">
            <w:col w:w="9040"/>
          </w:cols>
          <w:pgMar w:left="1420" w:top="104" w:right="1439" w:bottom="0" w:gutter="0" w:footer="0" w:header="0"/>
          <w:type w:val="continuous"/>
        </w:sectPr>
      </w:pPr>
    </w:p>
    <w:bookmarkStart w:id="36" w:name="page37"/>
    <w:bookmarkEnd w:id="36"/>
    <w:p>
      <w:pPr>
        <w:ind w:right="640"/>
        <w:spacing w:after="0" w:line="220" w:lineRule="auto"/>
        <w:rPr>
          <w:sz w:val="20"/>
          <w:szCs w:val="20"/>
          <w:color w:val="auto"/>
        </w:rPr>
      </w:pPr>
      <w:r>
        <w:rPr>
          <w:rFonts w:ascii="Arial" w:cs="Arial" w:eastAsia="Arial" w:hAnsi="Arial"/>
          <w:sz w:val="17"/>
          <w:szCs w:val="17"/>
          <w:color w:val="auto"/>
        </w:rPr>
        <w:t>management. The Lead Independent Director also regularly meets with the other independent directors without management present to discuss current and emerging risks, among other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-203835</wp:posOffset>
            </wp:positionV>
            <wp:extent cx="6810375" cy="58654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10375" cy="5865495"/>
                    </a:xfrm>
                    <a:prstGeom prst="rect">
                      <a:avLst/>
                    </a:prstGeom>
                    <a:noFill/>
                  </pic:spPr>
                </pic:pic>
              </a:graphicData>
            </a:graphic>
          </wp:anchor>
        </w:drawing>
      </w:r>
    </w:p>
    <w:p>
      <w:pPr>
        <w:spacing w:after="0" w:line="81"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The Company also believes that our Board leadership structure supports the Board’s risk oversight function. The Chair and CEO, in consultation with the Lead Independent Director and Committee Chairs, help ensure items of greatest importance for the business, including significant emerging risks, are brought to the attention of, and reviewed by, the Board on a timely basis, supporting appropriate oversight and discussion. For more information, see “Board Leadership Structure,” which begins on page 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40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45681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10375" cy="4568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20"/>
        <w:spacing w:after="0"/>
        <w:rPr>
          <w:sz w:val="20"/>
          <w:szCs w:val="20"/>
          <w:color w:val="auto"/>
        </w:rPr>
      </w:pPr>
      <w:r>
        <w:rPr>
          <w:rFonts w:ascii="Arial" w:cs="Arial" w:eastAsia="Arial" w:hAnsi="Arial"/>
          <w:sz w:val="21"/>
          <w:szCs w:val="21"/>
          <w:b w:val="1"/>
          <w:bCs w:val="1"/>
          <w:color w:val="auto"/>
        </w:rPr>
        <w:t>CORPORATE GOVERNANCE</w:t>
      </w:r>
    </w:p>
    <w:p>
      <w:pPr>
        <w:spacing w:after="0" w:line="48"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Board Oversight of Human Capital Management and Corporate Culture</w:t>
      </w:r>
    </w:p>
    <w:p>
      <w:pPr>
        <w:spacing w:after="0" w:line="200" w:lineRule="exact"/>
        <w:rPr>
          <w:sz w:val="20"/>
          <w:szCs w:val="20"/>
          <w:color w:val="auto"/>
        </w:rPr>
      </w:pPr>
    </w:p>
    <w:p>
      <w:pPr>
        <w:spacing w:after="0" w:line="316" w:lineRule="exact"/>
        <w:rPr>
          <w:sz w:val="20"/>
          <w:szCs w:val="20"/>
          <w:color w:val="auto"/>
        </w:rPr>
      </w:pPr>
    </w:p>
    <w:p>
      <w:pPr>
        <w:ind w:left="440" w:right="660" w:hanging="363"/>
        <w:spacing w:after="0"/>
        <w:rPr>
          <w:sz w:val="20"/>
          <w:szCs w:val="20"/>
          <w:color w:val="auto"/>
        </w:rPr>
      </w:pPr>
      <w:r>
        <w:rPr>
          <w:sz w:val="1"/>
          <w:szCs w:val="1"/>
          <w:color w:val="auto"/>
        </w:rPr>
        <w:drawing>
          <wp:inline distT="0" distB="0" distL="0" distR="0">
            <wp:extent cx="162560" cy="16319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BOARD OVERSIGHT OF HUMAN CAPITAL MANAGEMENT AND CORPORATE CULTURE</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HUMAN CAPITAL MANAGEMENT</w:t>
      </w:r>
    </w:p>
    <w:p>
      <w:pPr>
        <w:spacing w:after="0" w:line="11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Board is actively engaged in overseeing human capital management throughout the organization and recognizes that the strength of our workforce is one of the significant contributors to our success as a purpose-led, global company. Our employees contribute to our success and help us drive strong financial performance. Attracting, developing, and retaining global talent with the right skills to drive our business is central to our purpose, mission, and long-term growth strategy. The PCC is responsible for oversight of organizational engagement and effectiveness and regularly reviews human resources policies and practices, talent sourcing strategies, employee development programs, succession plans, and workplace compliance matters.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 Management and Development</w:t>
      </w:r>
    </w:p>
    <w:p>
      <w:pPr>
        <w:spacing w:after="0" w:line="114"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The PCC focuses on plans for developing our talent into future leaders, as we believe that a diverse workforce with a range of experiences and perspectives is a significant driver of sustainable innovation and growth. We have several initiatives designed to provide potential future leaders with the experience and exposure needed to succeed at the highest levels of our Company. Specifically, we promote employee development by reviewing strategic positions regularly and identifying potential internal candidates to fill those roles, evaluating job skill sets to identify competency gaps, and creating developmental plans to facilitate employee professional growth. We invest in our employees through training and development programs, on-the-job experiences, and coaching, as well as tuition reimbursement for a majority of our employees in the United States to promote professional growth. We understand the importance of maintaining competitive compensation and benefits, and providing appropriate training so employees can learn and</w:t>
      </w:r>
    </w:p>
    <w:p>
      <w:pPr>
        <w:sectPr>
          <w:pgSz w:w="11900" w:h="16838" w:orient="portrait"/>
          <w:cols w:equalWidth="0" w:num="1">
            <w:col w:w="9040"/>
          </w:cols>
          <w:pgMar w:left="1420" w:top="104" w:right="1439" w:bottom="0" w:gutter="0" w:footer="0" w:header="0"/>
        </w:sectPr>
      </w:pPr>
    </w:p>
    <w:bookmarkStart w:id="37" w:name="page38"/>
    <w:bookmarkEnd w:id="37"/>
    <w:p>
      <w:pPr>
        <w:ind w:right="299"/>
        <w:spacing w:after="0" w:line="196" w:lineRule="auto"/>
        <w:rPr>
          <w:sz w:val="20"/>
          <w:szCs w:val="20"/>
          <w:color w:val="auto"/>
        </w:rPr>
      </w:pPr>
      <w:r>
        <w:rPr>
          <w:rFonts w:ascii="Arial" w:cs="Arial" w:eastAsia="Arial" w:hAnsi="Arial"/>
          <w:sz w:val="17"/>
          <w:szCs w:val="17"/>
          <w:color w:val="auto"/>
        </w:rPr>
        <w:t>have opportunities to pursue their career interests with the Company. Additionally, the Board is involved and aligned with management, including our Mondelēz Leadership Team, on initiatives that promote an inclusive workplace.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-179070</wp:posOffset>
            </wp:positionV>
            <wp:extent cx="6810375" cy="42881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10375" cy="42881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 and Wellness</w:t>
      </w:r>
    </w:p>
    <w:p>
      <w:pPr>
        <w:spacing w:after="0" w:line="114" w:lineRule="exact"/>
        <w:rPr>
          <w:sz w:val="20"/>
          <w:szCs w:val="20"/>
          <w:color w:val="auto"/>
        </w:rPr>
      </w:pPr>
    </w:p>
    <w:p>
      <w:pPr>
        <w:ind w:right="39"/>
        <w:spacing w:after="0" w:line="273" w:lineRule="auto"/>
        <w:rPr>
          <w:sz w:val="20"/>
          <w:szCs w:val="20"/>
          <w:color w:val="auto"/>
        </w:rPr>
      </w:pPr>
      <w:r>
        <w:rPr>
          <w:rFonts w:ascii="Arial" w:cs="Arial" w:eastAsia="Arial" w:hAnsi="Arial"/>
          <w:sz w:val="17"/>
          <w:szCs w:val="17"/>
          <w:color w:val="auto"/>
        </w:rPr>
        <w:t>The Audit Committee oversees our health and safety performance and reviews with management our health and safety priorities and initiatives. To promote a strong culture of health and safety and prioritize keeping a healthy and safe working environment, we employ comprehensive health, safety, and environment management policies and standards throughout the organization. In addition, we strive to continuously improve our work processes, tools, and metrics to mitigate and prevent workplace injuries and enhance the health and safety of our employees, both in and out of</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the workplace.</w:t>
      </w:r>
    </w:p>
    <w:p>
      <w:pPr>
        <w:spacing w:after="0" w:line="133" w:lineRule="exact"/>
        <w:rPr>
          <w:sz w:val="20"/>
          <w:szCs w:val="20"/>
          <w:color w:val="auto"/>
        </w:rPr>
      </w:pPr>
    </w:p>
    <w:p>
      <w:pPr>
        <w:ind w:right="119"/>
        <w:spacing w:after="0" w:line="282" w:lineRule="auto"/>
        <w:rPr>
          <w:sz w:val="20"/>
          <w:szCs w:val="20"/>
          <w:color w:val="auto"/>
        </w:rPr>
      </w:pPr>
      <w:r>
        <w:rPr>
          <w:rFonts w:ascii="Arial" w:cs="Arial" w:eastAsia="Arial" w:hAnsi="Arial"/>
          <w:sz w:val="17"/>
          <w:szCs w:val="17"/>
          <w:color w:val="auto"/>
        </w:rPr>
        <w:t>We remain committed to providing a modern and flexible approach to how and where we work. Our hybrid work model way of working allows office-based employees to engage with colleagues, customers, and suppliers in-person on a regular basis while also leveraging innovative technology to optimize collaboration across geographically dispersed teams.</w:t>
      </w:r>
    </w:p>
    <w:p>
      <w:pPr>
        <w:spacing w:after="0" w:line="80" w:lineRule="exact"/>
        <w:rPr>
          <w:sz w:val="20"/>
          <w:szCs w:val="20"/>
          <w:color w:val="auto"/>
        </w:rPr>
      </w:pPr>
    </w:p>
    <w:p>
      <w:pPr>
        <w:ind w:right="139"/>
        <w:spacing w:after="0" w:line="282" w:lineRule="auto"/>
        <w:rPr>
          <w:sz w:val="20"/>
          <w:szCs w:val="20"/>
          <w:color w:val="auto"/>
        </w:rPr>
      </w:pPr>
      <w:r>
        <w:rPr>
          <w:rFonts w:ascii="Arial" w:cs="Arial" w:eastAsia="Arial" w:hAnsi="Arial"/>
          <w:sz w:val="17"/>
          <w:szCs w:val="17"/>
          <w:color w:val="auto"/>
        </w:rPr>
        <w:t>“The Right You” is our global cross-functional initiative empowering our team members to thrive both at work and at home. “The Right You” is a globally integrated, holistic approach to employee well-being that provides employees with resources, tools, social support, privacy, an employee assistance program, and strategies to adopt and maintain healthy behaviors and supports awareness of available resources for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61455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10375" cy="6145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CORPORATE GOVERNANCE</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Board Oversight of Human Capital Management and Corporate Culture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MANAGEMENT SUCCESSION PLANNING AND DEVELOPMENT</w:t>
      </w:r>
    </w:p>
    <w:p>
      <w:pPr>
        <w:spacing w:after="0" w:line="118" w:lineRule="exact"/>
        <w:rPr>
          <w:sz w:val="20"/>
          <w:szCs w:val="20"/>
          <w:color w:val="auto"/>
        </w:rPr>
      </w:pPr>
    </w:p>
    <w:p>
      <w:pPr>
        <w:ind w:right="159"/>
        <w:spacing w:after="0" w:line="282" w:lineRule="auto"/>
        <w:rPr>
          <w:sz w:val="20"/>
          <w:szCs w:val="20"/>
          <w:color w:val="auto"/>
        </w:rPr>
      </w:pPr>
      <w:r>
        <w:rPr>
          <w:rFonts w:ascii="Arial" w:cs="Arial" w:eastAsia="Arial" w:hAnsi="Arial"/>
          <w:sz w:val="17"/>
          <w:szCs w:val="17"/>
          <w:color w:val="auto"/>
        </w:rPr>
        <w:t>Succession planning for senior management positions, which facilitates continuity of leadership over the long term, is critical to our success and important at all levels within our organization. Our Board’s involvement in leadership development and succession planning is systematic, strategic, and ongoing. The PCC oversees the development and retention of senior management talent while also developing a long-term succession and development plan for our CEO. The Board has contingency plans for emergencies such as the death or disability of the CEO.</w:t>
      </w:r>
    </w:p>
    <w:p>
      <w:pPr>
        <w:spacing w:after="0" w:line="80" w:lineRule="exact"/>
        <w:rPr>
          <w:sz w:val="20"/>
          <w:szCs w:val="20"/>
          <w:color w:val="auto"/>
        </w:rPr>
      </w:pPr>
    </w:p>
    <w:p>
      <w:pPr>
        <w:ind w:right="59"/>
        <w:spacing w:after="0" w:line="279" w:lineRule="auto"/>
        <w:rPr>
          <w:sz w:val="20"/>
          <w:szCs w:val="20"/>
          <w:color w:val="auto"/>
        </w:rPr>
      </w:pPr>
      <w:r>
        <w:rPr>
          <w:rFonts w:ascii="Arial" w:cs="Arial" w:eastAsia="Arial" w:hAnsi="Arial"/>
          <w:sz w:val="17"/>
          <w:szCs w:val="17"/>
          <w:color w:val="auto"/>
        </w:rPr>
        <w:t>The PCC, together with the CEO and Chief People Officer, regularly reviews senior management talent, including readiness to take on additional leadership roles and developmental opportunities needed to prepare leaders for greater responsibilities. The CEO also provides a regular review to the PCC of the executive leadership team. While the PCC has the primary responsibility to develop succession plans for the CEO position, it annually reports to the Board and decisions are made with input from the Board. Potential leaders interact with Board members through formal presentations, in-market reviews, and informal settings.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CORPORATE CULTURE</w:t>
      </w:r>
    </w:p>
    <w:p>
      <w:pPr>
        <w:spacing w:after="0" w:line="131" w:lineRule="exact"/>
        <w:rPr>
          <w:sz w:val="20"/>
          <w:szCs w:val="20"/>
          <w:color w:val="auto"/>
        </w:rPr>
      </w:pPr>
    </w:p>
    <w:p>
      <w:pPr>
        <w:ind w:right="39"/>
        <w:spacing w:after="0" w:line="276" w:lineRule="auto"/>
        <w:rPr>
          <w:sz w:val="20"/>
          <w:szCs w:val="20"/>
          <w:color w:val="auto"/>
        </w:rPr>
      </w:pPr>
      <w:r>
        <w:rPr>
          <w:rFonts w:ascii="Arial" w:cs="Arial" w:eastAsia="Arial" w:hAnsi="Arial"/>
          <w:sz w:val="17"/>
          <w:szCs w:val="17"/>
          <w:color w:val="auto"/>
        </w:rPr>
        <w:t>Our Board believes that a positive corporate culture is vitally important to our success. Accordingly, the Board oversees the implementation of practices and policies to maintain a positive and engaging work environment for our team members. Our global compliance and integrity program guides our employees to act with integrity and make ethical decisions while conducting business around the world, and our Board members are provided direct access to our employees. Directors have engaged with employees in person through activities such as walking the floors of our offices and participating in small group discussions, plant and in-market visits, and receptions. These visits help directors assess our culture and interact with employees outside the senior management team.</w:t>
      </w:r>
    </w:p>
    <w:p>
      <w:pPr>
        <w:spacing w:after="0" w:line="87" w:lineRule="exact"/>
        <w:rPr>
          <w:sz w:val="20"/>
          <w:szCs w:val="20"/>
          <w:color w:val="auto"/>
        </w:rPr>
      </w:pPr>
    </w:p>
    <w:p>
      <w:pPr>
        <w:ind w:right="239"/>
        <w:spacing w:after="0" w:line="291" w:lineRule="auto"/>
        <w:rPr>
          <w:sz w:val="20"/>
          <w:szCs w:val="20"/>
          <w:color w:val="auto"/>
        </w:rPr>
      </w:pPr>
      <w:r>
        <w:rPr>
          <w:rFonts w:ascii="Arial" w:cs="Arial" w:eastAsia="Arial" w:hAnsi="Arial"/>
          <w:sz w:val="17"/>
          <w:szCs w:val="17"/>
          <w:color w:val="auto"/>
        </w:rPr>
        <w:t>Each year, the Board reviews our global employee engagement survey results. The survey provides rich data for our leaders and a useful way to compare Mondelēz International to other companies. This information helps us create action plans at global, regional, functional, and managerial levels.</w:t>
      </w:r>
    </w:p>
    <w:p>
      <w:pPr>
        <w:spacing w:after="0" w:line="58" w:lineRule="exact"/>
        <w:rPr>
          <w:sz w:val="20"/>
          <w:szCs w:val="20"/>
          <w:color w:val="auto"/>
        </w:rPr>
      </w:pPr>
    </w:p>
    <w:p>
      <w:pPr>
        <w:ind w:right="459"/>
        <w:spacing w:after="0" w:line="291" w:lineRule="auto"/>
        <w:rPr>
          <w:sz w:val="20"/>
          <w:szCs w:val="20"/>
          <w:color w:val="auto"/>
        </w:rPr>
      </w:pPr>
      <w:r>
        <w:rPr>
          <w:rFonts w:ascii="Arial" w:cs="Arial" w:eastAsia="Arial" w:hAnsi="Arial"/>
          <w:sz w:val="17"/>
          <w:szCs w:val="17"/>
          <w:color w:val="auto"/>
        </w:rPr>
        <w:t>For additional details on our talent management and development culture, employee engagement, and workplace safety and wellness, please see the Human Capital section of our 2025 Form 10-K and our Snacking Made Right report.</w:t>
      </w:r>
    </w:p>
    <w:p>
      <w:pPr>
        <w:spacing w:after="0" w:line="303"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MEETING ATTENDANCE</w:t>
      </w:r>
    </w:p>
    <w:p>
      <w:pPr>
        <w:sectPr>
          <w:pgSz w:w="11900" w:h="16838" w:orient="portrait"/>
          <w:cols w:equalWidth="0" w:num="1">
            <w:col w:w="9039"/>
          </w:cols>
          <w:pgMar w:left="1420" w:top="104" w:right="1440" w:bottom="0" w:gutter="0" w:footer="0" w:header="0"/>
        </w:sectPr>
      </w:pPr>
    </w:p>
    <w:p>
      <w:pPr>
        <w:spacing w:after="0" w:line="205" w:lineRule="exact"/>
        <w:rPr>
          <w:sz w:val="20"/>
          <w:szCs w:val="20"/>
          <w:color w:val="auto"/>
        </w:rPr>
      </w:pPr>
    </w:p>
    <w:p>
      <w:pPr>
        <w:ind w:right="479"/>
        <w:spacing w:after="0" w:line="301" w:lineRule="auto"/>
        <w:rPr>
          <w:sz w:val="20"/>
          <w:szCs w:val="20"/>
          <w:color w:val="auto"/>
        </w:rPr>
      </w:pPr>
      <w:r>
        <w:rPr>
          <w:rFonts w:ascii="Arial" w:cs="Arial" w:eastAsia="Arial" w:hAnsi="Arial"/>
          <w:sz w:val="17"/>
          <w:szCs w:val="17"/>
          <w:color w:val="auto"/>
        </w:rPr>
        <w:t>Directors are expected to attend all Board meetings, the Annual Meeting of Shareholders, and all meetings of the committees on which they serve. We understand, however, that occasionally a director may be unable to attend a</w:t>
      </w:r>
    </w:p>
    <w:p>
      <w:pPr>
        <w:sectPr>
          <w:pgSz w:w="11900" w:h="16838" w:orient="portrait"/>
          <w:cols w:equalWidth="0" w:num="1">
            <w:col w:w="9039"/>
          </w:cols>
          <w:pgMar w:left="1420" w:top="104" w:right="1440" w:bottom="0" w:gutter="0" w:footer="0" w:header="0"/>
          <w:type w:val="continuous"/>
        </w:sectPr>
      </w:pPr>
    </w:p>
    <w:bookmarkStart w:id="38" w:name="page39"/>
    <w:bookmarkEnd w:id="38"/>
    <w:p>
      <w:pPr>
        <w:spacing w:after="0"/>
        <w:rPr>
          <w:sz w:val="20"/>
          <w:szCs w:val="20"/>
          <w:color w:val="auto"/>
        </w:rPr>
      </w:pPr>
      <w:r>
        <w:rPr>
          <w:rFonts w:ascii="Arial" w:cs="Arial" w:eastAsia="Arial" w:hAnsi="Arial"/>
          <w:sz w:val="17"/>
          <w:szCs w:val="17"/>
          <w:color w:val="auto"/>
        </w:rPr>
        <w:t>meeting due to conflicts or unforeseen circumstances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-100330</wp:posOffset>
            </wp:positionV>
            <wp:extent cx="6810375" cy="27108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10375" cy="2710815"/>
                    </a:xfrm>
                    <a:prstGeom prst="rect">
                      <a:avLst/>
                    </a:prstGeom>
                    <a:noFill/>
                  </pic:spPr>
                </pic:pic>
              </a:graphicData>
            </a:graphic>
          </wp:anchor>
        </w:drawing>
      </w:r>
    </w:p>
    <w:p>
      <w:pPr>
        <w:spacing w:after="0" w:line="3" w:lineRule="exact"/>
        <w:rPr>
          <w:sz w:val="20"/>
          <w:szCs w:val="20"/>
          <w:color w:val="auto"/>
        </w:rPr>
      </w:pPr>
    </w:p>
    <w:p>
      <w:pPr>
        <w:ind w:left="140" w:hanging="133"/>
        <w:spacing w:after="0"/>
        <w:tabs>
          <w:tab w:leader="none" w:pos="140" w:val="left"/>
        </w:tabs>
        <w:numPr>
          <w:ilvl w:val="0"/>
          <w:numId w:val="47"/>
        </w:numPr>
        <w:rPr>
          <w:rFonts w:ascii="Arial" w:cs="Arial" w:eastAsia="Arial" w:hAnsi="Arial"/>
          <w:sz w:val="17"/>
          <w:szCs w:val="17"/>
          <w:color w:val="582C83"/>
        </w:rPr>
      </w:pPr>
      <w:r>
        <w:rPr>
          <w:rFonts w:ascii="Arial" w:cs="Arial" w:eastAsia="Arial" w:hAnsi="Arial"/>
          <w:sz w:val="17"/>
          <w:szCs w:val="17"/>
          <w:color w:val="auto"/>
        </w:rPr>
        <w:t>The Board held seven meetings during 2025.</w:t>
      </w:r>
    </w:p>
    <w:p>
      <w:pPr>
        <w:spacing w:after="0" w:line="45" w:lineRule="exact"/>
        <w:rPr>
          <w:rFonts w:ascii="Arial" w:cs="Arial" w:eastAsia="Arial" w:hAnsi="Arial"/>
          <w:sz w:val="17"/>
          <w:szCs w:val="17"/>
          <w:color w:val="582C83"/>
        </w:rPr>
      </w:pPr>
    </w:p>
    <w:p>
      <w:pPr>
        <w:ind w:left="140" w:right="40" w:hanging="133"/>
        <w:spacing w:after="0" w:line="291" w:lineRule="auto"/>
        <w:tabs>
          <w:tab w:leader="none" w:pos="140" w:val="left"/>
        </w:tabs>
        <w:numPr>
          <w:ilvl w:val="0"/>
          <w:numId w:val="47"/>
        </w:numPr>
        <w:rPr>
          <w:rFonts w:ascii="Arial" w:cs="Arial" w:eastAsia="Arial" w:hAnsi="Arial"/>
          <w:sz w:val="17"/>
          <w:szCs w:val="17"/>
          <w:color w:val="582C83"/>
        </w:rPr>
      </w:pPr>
      <w:r>
        <w:rPr>
          <w:rFonts w:ascii="Arial" w:cs="Arial" w:eastAsia="Arial" w:hAnsi="Arial"/>
          <w:sz w:val="17"/>
          <w:szCs w:val="17"/>
          <w:color w:val="auto"/>
        </w:rPr>
        <w:t>During 2025, each incumbent director attended at least 96% of the combined Board meetings and meetings of committees of which he or she was a member. Ten of the 11 directors then serving attended the 2025 annual meeting of shareholders, including each incumbent director standing for re-election at the annual meeting.</w:t>
      </w:r>
    </w:p>
    <w:p>
      <w:pPr>
        <w:spacing w:after="0" w:line="303"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INSIDER TRADING POLICY</w:t>
      </w:r>
    </w:p>
    <w:p>
      <w:pPr>
        <w:spacing w:after="0" w:line="205"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highlight w:val="white"/>
        </w:rPr>
        <w:t xml:space="preserve">We have adopted </w:t>
      </w:r>
      <w:r>
        <w:rPr>
          <w:rFonts w:ascii="Arial" w:cs="Arial" w:eastAsia="Arial" w:hAnsi="Arial"/>
          <w:sz w:val="17"/>
          <w:szCs w:val="17"/>
          <w:color w:val="auto"/>
        </w:rPr>
        <w:t>insider trading policies and procedures that govern the purchase, sale, and other dispositions of our</w:t>
      </w:r>
      <w:r>
        <w:rPr>
          <w:rFonts w:ascii="Arial" w:cs="Arial" w:eastAsia="Arial" w:hAnsi="Arial"/>
          <w:sz w:val="17"/>
          <w:szCs w:val="17"/>
          <w:color w:val="auto"/>
          <w:highlight w:val="white"/>
        </w:rPr>
        <w:t xml:space="preserve"> </w:t>
      </w:r>
      <w:r>
        <w:rPr>
          <w:rFonts w:ascii="Arial" w:cs="Arial" w:eastAsia="Arial" w:hAnsi="Arial"/>
          <w:sz w:val="17"/>
          <w:szCs w:val="17"/>
          <w:color w:val="auto"/>
        </w:rPr>
        <w:t>securities by directors, officers, employees, and contractors, as well as by the Company itself. We believe these policies and procedures are reasonably designed to promote compliance with insider trading laws, rules and regulations, and applicable listing standards. A copy of our Insider Trading Policy was filed as Exhibit 19.1 to our 2025 Form 10-K filed with the SEC on February 4, 2026.</w:t>
      </w:r>
    </w:p>
    <w:p>
      <w:pPr>
        <w:spacing w:after="0" w:line="200" w:lineRule="exact"/>
        <w:rPr>
          <w:sz w:val="20"/>
          <w:szCs w:val="20"/>
          <w:color w:val="auto"/>
        </w:rPr>
      </w:pPr>
    </w:p>
    <w:p>
      <w:pPr>
        <w:spacing w:after="0" w:line="38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42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7722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10375" cy="772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20"/>
        <w:spacing w:after="0"/>
        <w:rPr>
          <w:sz w:val="20"/>
          <w:szCs w:val="20"/>
          <w:color w:val="auto"/>
        </w:rPr>
      </w:pPr>
      <w:r>
        <w:rPr>
          <w:rFonts w:ascii="Arial" w:cs="Arial" w:eastAsia="Arial" w:hAnsi="Arial"/>
          <w:sz w:val="21"/>
          <w:szCs w:val="21"/>
          <w:b w:val="1"/>
          <w:bCs w:val="1"/>
          <w:color w:val="auto"/>
        </w:rPr>
        <w:t>CORPORATE GOVERNANCE</w:t>
      </w:r>
    </w:p>
    <w:p>
      <w:pPr>
        <w:spacing w:after="0" w:line="48" w:lineRule="exact"/>
        <w:rPr>
          <w:sz w:val="20"/>
          <w:szCs w:val="20"/>
          <w:color w:val="auto"/>
        </w:rPr>
      </w:pPr>
    </w:p>
    <w:p>
      <w:pPr>
        <w:ind w:left="7860"/>
        <w:spacing w:after="0"/>
        <w:rPr>
          <w:sz w:val="20"/>
          <w:szCs w:val="20"/>
          <w:color w:val="auto"/>
        </w:rPr>
      </w:pPr>
      <w:r>
        <w:rPr>
          <w:rFonts w:ascii="Arial" w:cs="Arial" w:eastAsia="Arial" w:hAnsi="Arial"/>
          <w:sz w:val="14"/>
          <w:szCs w:val="14"/>
          <w:color w:val="auto"/>
        </w:rPr>
        <w:t>Codes of Conduct</w:t>
      </w: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CODES OF CONDUCT</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CODE OF BUSINESS CONDUCT AND ETHICS FOR NON-EMPLOYEE DIRECTORS</w:t>
      </w:r>
    </w:p>
    <w:p>
      <w:pPr>
        <w:spacing w:after="0" w:line="118"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We have adopted a Code of Business Conduct and Ethics for Non-Employee Directors that is designed to foster a culture of honesty and integrity, focus on areas of ethical risk, guide non-employee directors in recognizing and handling ethical issues, and provide mechanisms to report unethical conduct. Annually, all non-employee directors must acknowledge in writing that they have received, reviewed, and understand the Code of Business Conduct and Ethics for Non-Employee Directors.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EMPLOYEE CODE OF CONDUCT</w:t>
      </w:r>
    </w:p>
    <w:p>
      <w:pPr>
        <w:spacing w:after="0" w:line="118"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We have adopted the Mondelēz International Code of Conduct (the “Code of Conduct”) for all our employees, which reflects our values and contains important rules for conducting our business. The Code of Conduct is part of our global compliance and integrity program, which provides training throughout the Company and encourages reporting of potential wrongdoing through anonymous reporting options and a publicized non-retaliation policy.</w:t>
      </w:r>
    </w:p>
    <w:p>
      <w:pPr>
        <w:spacing w:after="0" w:line="6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Chief Ethics &amp; Compliance Officer provides an annual report to the Audit Committee on the overall implementation and effectiveness of Mondelēz International’s Compliance program and provides quarterly updates to the Audit Committee on Code of Conduct compliance, investigation trends, and training activities. The Chief Ethics &amp; Compliance Officer also provides an annual report to the PCC on workplace compliance-related matters. The Chief Ethics &amp; Compliance Officer reports to the EVP, Corporate &amp; Legal Affairs, General Counsel and Corporate Secretary and has the authority to communicate directly with the Audit Committee regarding alleged or actual violations, if any, of the Code of Conduct.</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WHERE TO FIND MORE INFORMATION</w:t>
      </w:r>
    </w:p>
    <w:p>
      <w:pPr>
        <w:spacing w:after="0" w:line="118" w:lineRule="exact"/>
        <w:rPr>
          <w:sz w:val="20"/>
          <w:szCs w:val="20"/>
          <w:color w:val="auto"/>
        </w:rPr>
      </w:pPr>
    </w:p>
    <w:p>
      <w:pPr>
        <w:jc w:val="both"/>
        <w:ind w:right="180"/>
        <w:spacing w:after="0" w:line="291" w:lineRule="auto"/>
        <w:rPr>
          <w:sz w:val="20"/>
          <w:szCs w:val="20"/>
          <w:color w:val="auto"/>
        </w:rPr>
      </w:pPr>
      <w:r>
        <w:rPr>
          <w:rFonts w:ascii="Arial" w:cs="Arial" w:eastAsia="Arial" w:hAnsi="Arial"/>
          <w:sz w:val="17"/>
          <w:szCs w:val="17"/>
          <w:color w:val="auto"/>
        </w:rPr>
        <w:t xml:space="preserve">To learn more about our corporate governance practices, you can access the corporate governance documents listed below at </w:t>
      </w:r>
      <w:r>
        <w:rPr>
          <w:rFonts w:ascii="Arial" w:cs="Arial" w:eastAsia="Arial" w:hAnsi="Arial"/>
          <w:sz w:val="17"/>
          <w:szCs w:val="17"/>
          <w:b w:val="1"/>
          <w:bCs w:val="1"/>
          <w:i w:val="1"/>
          <w:iCs w:val="1"/>
          <w:color w:val="582C83"/>
        </w:rPr>
        <w:t>www.mondelezinternational.com/investors/corporate-governance</w:t>
      </w:r>
      <w:r>
        <w:rPr>
          <w:rFonts w:ascii="Arial" w:cs="Arial" w:eastAsia="Arial" w:hAnsi="Arial"/>
          <w:sz w:val="17"/>
          <w:szCs w:val="17"/>
          <w:color w:val="auto"/>
        </w:rPr>
        <w:t>. We will also provide copies of any of these documents to shareholders upon written request to the Corporate Secretary.</w:t>
      </w:r>
    </w:p>
    <w:p>
      <w:pPr>
        <w:spacing w:after="0" w:line="58" w:lineRule="exact"/>
        <w:rPr>
          <w:sz w:val="20"/>
          <w:szCs w:val="20"/>
          <w:color w:val="auto"/>
        </w:rPr>
      </w:pPr>
    </w:p>
    <w:p>
      <w:pPr>
        <w:ind w:left="140" w:hanging="133"/>
        <w:spacing w:after="0"/>
        <w:tabs>
          <w:tab w:leader="none" w:pos="140" w:val="left"/>
        </w:tabs>
        <w:numPr>
          <w:ilvl w:val="0"/>
          <w:numId w:val="48"/>
        </w:numPr>
        <w:rPr>
          <w:rFonts w:ascii="Arial" w:cs="Arial" w:eastAsia="Arial" w:hAnsi="Arial"/>
          <w:sz w:val="17"/>
          <w:szCs w:val="17"/>
          <w:color w:val="582C83"/>
        </w:rPr>
      </w:pPr>
      <w:r>
        <w:rPr>
          <w:rFonts w:ascii="Arial" w:cs="Arial" w:eastAsia="Arial" w:hAnsi="Arial"/>
          <w:sz w:val="17"/>
          <w:szCs w:val="17"/>
          <w:color w:val="auto"/>
        </w:rPr>
        <w:t>Articles of Incorporation</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48"/>
        </w:numPr>
        <w:rPr>
          <w:rFonts w:ascii="Arial" w:cs="Arial" w:eastAsia="Arial" w:hAnsi="Arial"/>
          <w:sz w:val="17"/>
          <w:szCs w:val="17"/>
          <w:color w:val="582C83"/>
        </w:rPr>
      </w:pPr>
      <w:r>
        <w:rPr>
          <w:rFonts w:ascii="Arial" w:cs="Arial" w:eastAsia="Arial" w:hAnsi="Arial"/>
          <w:sz w:val="17"/>
          <w:szCs w:val="17"/>
          <w:color w:val="auto"/>
        </w:rPr>
        <w:t>By-Laws</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48"/>
        </w:numPr>
        <w:rPr>
          <w:rFonts w:ascii="Arial" w:cs="Arial" w:eastAsia="Arial" w:hAnsi="Arial"/>
          <w:sz w:val="17"/>
          <w:szCs w:val="17"/>
          <w:color w:val="582C83"/>
        </w:rPr>
      </w:pPr>
      <w:r>
        <w:rPr>
          <w:rFonts w:ascii="Arial" w:cs="Arial" w:eastAsia="Arial" w:hAnsi="Arial"/>
          <w:sz w:val="17"/>
          <w:szCs w:val="17"/>
          <w:color w:val="auto"/>
        </w:rPr>
        <w:t>Guidelines</w:t>
      </w:r>
    </w:p>
    <w:p>
      <w:pPr>
        <w:spacing w:after="0" w:line="74" w:lineRule="exact"/>
        <w:rPr>
          <w:rFonts w:ascii="Arial" w:cs="Arial" w:eastAsia="Arial" w:hAnsi="Arial"/>
          <w:sz w:val="17"/>
          <w:szCs w:val="17"/>
          <w:color w:val="582C83"/>
        </w:rPr>
      </w:pPr>
    </w:p>
    <w:p>
      <w:pPr>
        <w:ind w:left="140" w:hanging="133"/>
        <w:spacing w:after="0"/>
        <w:tabs>
          <w:tab w:leader="none" w:pos="140" w:val="left"/>
        </w:tabs>
        <w:numPr>
          <w:ilvl w:val="0"/>
          <w:numId w:val="48"/>
        </w:numPr>
        <w:rPr>
          <w:rFonts w:ascii="Arial" w:cs="Arial" w:eastAsia="Arial" w:hAnsi="Arial"/>
          <w:sz w:val="17"/>
          <w:szCs w:val="17"/>
          <w:color w:val="582C83"/>
        </w:rPr>
      </w:pPr>
      <w:r>
        <w:rPr>
          <w:rFonts w:ascii="Arial" w:cs="Arial" w:eastAsia="Arial" w:hAnsi="Arial"/>
          <w:sz w:val="17"/>
          <w:szCs w:val="17"/>
          <w:color w:val="auto"/>
        </w:rPr>
        <w:t>Board Committee Charters</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48"/>
        </w:numPr>
        <w:rPr>
          <w:rFonts w:ascii="Arial" w:cs="Arial" w:eastAsia="Arial" w:hAnsi="Arial"/>
          <w:sz w:val="17"/>
          <w:szCs w:val="17"/>
          <w:color w:val="582C83"/>
        </w:rPr>
      </w:pPr>
      <w:r>
        <w:rPr>
          <w:rFonts w:ascii="Arial" w:cs="Arial" w:eastAsia="Arial" w:hAnsi="Arial"/>
          <w:sz w:val="17"/>
          <w:szCs w:val="17"/>
          <w:color w:val="auto"/>
        </w:rPr>
        <w:t>Code of Business Conduct and Ethics for Non-Employee Directors</w:t>
      </w:r>
    </w:p>
    <w:p>
      <w:pPr>
        <w:spacing w:after="0" w:line="129" w:lineRule="exact"/>
        <w:rPr>
          <w:sz w:val="20"/>
          <w:szCs w:val="20"/>
          <w:color w:val="auto"/>
        </w:rPr>
      </w:pPr>
    </w:p>
    <w:p>
      <w:pPr>
        <w:ind w:right="280"/>
        <w:spacing w:after="0" w:line="296" w:lineRule="auto"/>
        <w:rPr>
          <w:sz w:val="20"/>
          <w:szCs w:val="20"/>
          <w:color w:val="auto"/>
        </w:rPr>
      </w:pPr>
      <w:r>
        <w:rPr>
          <w:rFonts w:ascii="Arial" w:cs="Arial" w:eastAsia="Arial" w:hAnsi="Arial"/>
          <w:sz w:val="17"/>
          <w:szCs w:val="17"/>
          <w:color w:val="auto"/>
        </w:rPr>
        <w:t xml:space="preserve">You can access the Code of Conduct at </w:t>
      </w:r>
      <w:r>
        <w:rPr>
          <w:rFonts w:ascii="Arial" w:cs="Arial" w:eastAsia="Arial" w:hAnsi="Arial"/>
          <w:sz w:val="17"/>
          <w:szCs w:val="17"/>
          <w:b w:val="1"/>
          <w:bCs w:val="1"/>
          <w:i w:val="1"/>
          <w:iCs w:val="1"/>
          <w:color w:val="582C83"/>
        </w:rPr>
        <w:t>www.mondelezinternational.com/about-us/our-way-of-doing-business/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582C83"/>
        </w:rPr>
        <w:t>code-of-conduct</w:t>
      </w:r>
      <w:r>
        <w:rPr>
          <w:rFonts w:ascii="Arial" w:cs="Arial" w:eastAsia="Arial" w:hAnsi="Arial"/>
          <w:sz w:val="17"/>
          <w:szCs w:val="17"/>
          <w:color w:val="000000"/>
        </w:rPr>
        <w:t>.</w:t>
      </w:r>
    </w:p>
    <w:p>
      <w:pPr>
        <w:spacing w:after="0" w:line="44"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We will disclose in the Corporate Governance section of our website any amendments to the Code of Business Conduct and Ethics for Non-Employee Directors or the Code of Conduct, and any waiver granted to an executive officer or director under these codes, within four business days of such amendment or waiver to the extent required.</w:t>
      </w:r>
    </w:p>
    <w:p>
      <w:pPr>
        <w:sectPr>
          <w:pgSz w:w="11900" w:h="16838" w:orient="portrait"/>
          <w:cols w:equalWidth="0" w:num="1">
            <w:col w:w="9040"/>
          </w:cols>
          <w:pgMar w:left="1420" w:top="104" w:right="1439" w:bottom="993" w:gutter="0" w:footer="0" w:header="0"/>
        </w:sectPr>
      </w:pPr>
    </w:p>
    <w:bookmarkStart w:id="39" w:name="page40"/>
    <w:bookmarkEnd w:id="39"/>
    <w:p>
      <w:pPr>
        <w:ind w:left="6860"/>
        <w:spacing w:after="0"/>
        <w:rPr>
          <w:sz w:val="20"/>
          <w:szCs w:val="20"/>
          <w:color w:val="auto"/>
        </w:rPr>
      </w:pPr>
      <w:r>
        <w:rPr>
          <w:rFonts w:ascii="Arial" w:cs="Arial" w:eastAsia="Arial" w:hAnsi="Arial"/>
          <w:sz w:val="14"/>
          <w:szCs w:val="14"/>
          <w:b w:val="1"/>
          <w:bCs w:val="1"/>
          <w:color w:val="582C83"/>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1334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10375" cy="1133475"/>
                    </a:xfrm>
                    <a:prstGeom prst="rect">
                      <a:avLst/>
                    </a:prstGeom>
                    <a:noFill/>
                  </pic:spPr>
                </pic:pic>
              </a:graphicData>
            </a:graphic>
          </wp:anchor>
        </w:drawing>
        <w:t>2026 PROXY STATEMENT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8677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0" w:num="1">
            <w:col w:w="9040"/>
          </w:cols>
          <w:pgMar w:left="1420" w:top="1345" w:right="1439" w:bottom="6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CORPORATE GOVERNANCE</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Review of Transactions with Related Persons</w:t>
      </w: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REVIEW OF TRANSACTIONS WITH RELATED PERSONS</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RELATED PERSON TRANSACTIONS POLICY AND PROCEDURES</w:t>
      </w:r>
    </w:p>
    <w:p>
      <w:pPr>
        <w:spacing w:after="0" w:line="118"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The Board has adopted a written policy regarding related person transactions. In general, “related persons” are directors, director nominees, executive officers, and shareholders who beneficially own more than 5% of our outstanding Common Stock and any of their immediate family members. A related person transaction is one in which Mondelēz International or one of its subsidiaries is a participant, the amount involved exceeds $120,000, and a related person had, has, or will have a direct or indirect material interest.</w:t>
      </w:r>
    </w:p>
    <w:p>
      <w:pPr>
        <w:spacing w:after="0" w:line="67"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The Governance Committee reviews transactions that might qualify as related person transactions. If the Governance Committee determines that a transaction is a related person transaction, it reviews and then approves, disapproves, or ratifies the transaction. Only those related person transactions that are fair and reasonable to Mondelēz International and in our shareholders’ best interests are ratified or approved. When it is not practicable or desirable to delay review of a transaction until a committee meeting, the Chair of the Governance Committee may act on behalf of the Committee and report to the Governance Committee on any transaction reviewed.</w:t>
      </w:r>
    </w:p>
    <w:p>
      <w:pPr>
        <w:spacing w:after="0" w:line="66" w:lineRule="exact"/>
        <w:rPr>
          <w:sz w:val="20"/>
          <w:szCs w:val="20"/>
          <w:color w:val="auto"/>
        </w:rPr>
      </w:pPr>
    </w:p>
    <w:p>
      <w:pPr>
        <w:ind w:right="300"/>
        <w:spacing w:after="0" w:line="301" w:lineRule="auto"/>
        <w:rPr>
          <w:sz w:val="20"/>
          <w:szCs w:val="20"/>
          <w:color w:val="auto"/>
        </w:rPr>
      </w:pPr>
      <w:r>
        <w:rPr>
          <w:rFonts w:ascii="Arial" w:cs="Arial" w:eastAsia="Arial" w:hAnsi="Arial"/>
          <w:sz w:val="17"/>
          <w:szCs w:val="17"/>
          <w:color w:val="auto"/>
        </w:rPr>
        <w:t>When reviewing and acting on a related person transaction under this policy, the Governance Committee considers, among other things:</w:t>
      </w:r>
    </w:p>
    <w:p>
      <w:pPr>
        <w:spacing w:after="0" w:line="63" w:lineRule="exact"/>
        <w:rPr>
          <w:sz w:val="20"/>
          <w:szCs w:val="20"/>
          <w:color w:val="auto"/>
        </w:rPr>
      </w:pPr>
    </w:p>
    <w:p>
      <w:pPr>
        <w:ind w:left="140" w:hanging="133"/>
        <w:spacing w:after="0"/>
        <w:tabs>
          <w:tab w:leader="none" w:pos="140" w:val="left"/>
        </w:tabs>
        <w:numPr>
          <w:ilvl w:val="0"/>
          <w:numId w:val="49"/>
        </w:numPr>
        <w:rPr>
          <w:rFonts w:ascii="Arial" w:cs="Arial" w:eastAsia="Arial" w:hAnsi="Arial"/>
          <w:sz w:val="17"/>
          <w:szCs w:val="17"/>
          <w:color w:val="582C83"/>
        </w:rPr>
      </w:pPr>
      <w:r>
        <w:rPr>
          <w:rFonts w:ascii="Arial" w:cs="Arial" w:eastAsia="Arial" w:hAnsi="Arial"/>
          <w:sz w:val="17"/>
          <w:szCs w:val="17"/>
          <w:color w:val="auto"/>
        </w:rPr>
        <w:t>the commercial reasonableness of the transaction;</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49"/>
        </w:numPr>
        <w:rPr>
          <w:rFonts w:ascii="Arial" w:cs="Arial" w:eastAsia="Arial" w:hAnsi="Arial"/>
          <w:sz w:val="17"/>
          <w:szCs w:val="17"/>
          <w:color w:val="582C83"/>
        </w:rPr>
      </w:pPr>
      <w:r>
        <w:rPr>
          <w:rFonts w:ascii="Arial" w:cs="Arial" w:eastAsia="Arial" w:hAnsi="Arial"/>
          <w:sz w:val="17"/>
          <w:szCs w:val="17"/>
          <w:color w:val="auto"/>
        </w:rPr>
        <w:t>the materiality of the related person’s direct or indirect interest in the transaction;</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49"/>
        </w:numPr>
        <w:rPr>
          <w:rFonts w:ascii="Arial" w:cs="Arial" w:eastAsia="Arial" w:hAnsi="Arial"/>
          <w:sz w:val="17"/>
          <w:szCs w:val="17"/>
          <w:color w:val="582C83"/>
        </w:rPr>
      </w:pPr>
      <w:r>
        <w:rPr>
          <w:rFonts w:ascii="Arial" w:cs="Arial" w:eastAsia="Arial" w:hAnsi="Arial"/>
          <w:sz w:val="17"/>
          <w:szCs w:val="17"/>
          <w:color w:val="auto"/>
        </w:rPr>
        <w:t>whether the transaction may involve an actual conflict of interest or create the appearance of one;</w:t>
      </w:r>
    </w:p>
    <w:p>
      <w:pPr>
        <w:spacing w:after="0" w:line="61" w:lineRule="exact"/>
        <w:rPr>
          <w:rFonts w:ascii="Arial" w:cs="Arial" w:eastAsia="Arial" w:hAnsi="Arial"/>
          <w:sz w:val="17"/>
          <w:szCs w:val="17"/>
          <w:color w:val="582C83"/>
        </w:rPr>
      </w:pPr>
    </w:p>
    <w:p>
      <w:pPr>
        <w:ind w:left="140" w:right="380" w:hanging="133"/>
        <w:spacing w:after="0" w:line="298" w:lineRule="auto"/>
        <w:tabs>
          <w:tab w:leader="none" w:pos="140" w:val="left"/>
        </w:tabs>
        <w:numPr>
          <w:ilvl w:val="0"/>
          <w:numId w:val="49"/>
        </w:numPr>
        <w:rPr>
          <w:rFonts w:ascii="Arial" w:cs="Arial" w:eastAsia="Arial" w:hAnsi="Arial"/>
          <w:sz w:val="17"/>
          <w:szCs w:val="17"/>
          <w:color w:val="582C83"/>
        </w:rPr>
      </w:pPr>
      <w:r>
        <w:rPr>
          <w:rFonts w:ascii="Arial" w:cs="Arial" w:eastAsia="Arial" w:hAnsi="Arial"/>
          <w:sz w:val="17"/>
          <w:szCs w:val="17"/>
          <w:color w:val="auto"/>
        </w:rPr>
        <w:t>the impact of the transaction on the related person’s independence (as defined in the Guidelines and the Nasdaq listing standards); and</w:t>
      </w:r>
    </w:p>
    <w:p>
      <w:pPr>
        <w:ind w:left="140" w:right="220" w:hanging="133"/>
        <w:spacing w:after="0" w:line="301" w:lineRule="auto"/>
        <w:tabs>
          <w:tab w:leader="none" w:pos="140" w:val="left"/>
        </w:tabs>
        <w:numPr>
          <w:ilvl w:val="0"/>
          <w:numId w:val="49"/>
        </w:numPr>
        <w:rPr>
          <w:rFonts w:ascii="Arial" w:cs="Arial" w:eastAsia="Arial" w:hAnsi="Arial"/>
          <w:sz w:val="17"/>
          <w:szCs w:val="17"/>
          <w:color w:val="582C83"/>
        </w:rPr>
      </w:pPr>
      <w:r>
        <w:rPr>
          <w:rFonts w:ascii="Arial" w:cs="Arial" w:eastAsia="Arial" w:hAnsi="Arial"/>
          <w:sz w:val="17"/>
          <w:szCs w:val="17"/>
          <w:color w:val="auto"/>
        </w:rPr>
        <w:t>whether the transaction would violate any provision of the Code of Business Conduct and Ethics for Non-Employee Directors or the Code of Conduct.</w:t>
      </w:r>
    </w:p>
    <w:p>
      <w:pPr>
        <w:spacing w:after="0" w:line="63"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color w:val="auto"/>
        </w:rPr>
        <w:t>Any member of the Governance Committee who is a related person with respect to a transaction under review may not participate in the deliberations or decisions regarding the transaction.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REVIEW OF RELATED PERSON TRANSACTIONS SINCE JANUARY 1, 2025</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On February 13, 2024, BlackRock, Inc. (“BlackRock”), an investment management corporation, filed a Schedule 13G/A</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with the SEC reporting that it was a greater than 5% shareholder of the Company. During 2025, BlackRock acted as an</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investment manager with respect to certain investment options under our U.S., Canadian, and Puerto Rican retirement</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savings plans and Canadian, Irish, and U.K. pension plans. BlackRock was selected as an investment manager after</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considering potential investment manager options by each plan’s designated authority for plan investments.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BlackRock’s selection was based on the determination of each plan’s designated authority that the selection met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applicable standards and that the fees were reasonable and appropriate. BlackRock’s fees were approximately</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$4.23 million during 2025. Each of the plans for which BlackRock performed services paid the fees for those services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from its assets. The plans expect to pay similar fees to BlackRock during 2026 for similar services. Fees, based on plan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asset value, are paid quarterly on a lag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44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3505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10375" cy="350520"/>
                    </a:xfrm>
                    <a:prstGeom prst="rect">
                      <a:avLst/>
                    </a:prstGeom>
                    <a:noFill/>
                  </pic:spPr>
                </pic:pic>
              </a:graphicData>
            </a:graphic>
          </wp:anchor>
        </w:drawing>
      </w:r>
    </w:p>
    <w:p>
      <w:pPr>
        <w:sectPr>
          <w:pgSz w:w="11900" w:h="16838" w:orient="portrait"/>
          <w:cols w:equalWidth="0" w:num="1">
            <w:col w:w="9040"/>
          </w:cols>
          <w:pgMar w:left="1420" w:top="1345" w:right="1439" w:bottom="673" w:gutter="0" w:footer="0" w:header="0"/>
          <w:type w:val="continuous"/>
        </w:sectPr>
      </w:pPr>
    </w:p>
    <w:bookmarkStart w:id="40" w:name="page41"/>
    <w:bookmarkEnd w:id="40"/>
    <w:p>
      <w:pPr>
        <w:ind w:left="602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5058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10375" cy="8505825"/>
                    </a:xfrm>
                    <a:prstGeom prst="rect">
                      <a:avLst/>
                    </a:prstGeom>
                    <a:noFill/>
                  </pic:spPr>
                </pic:pic>
              </a:graphicData>
            </a:graphic>
          </wp:anchor>
        </w:drawing>
        <w:t>CORPORATE GOVERNANCE</w:t>
      </w:r>
    </w:p>
    <w:p>
      <w:pPr>
        <w:spacing w:after="0" w:line="48"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Shareholder Outreach And Communication with the Board</w:t>
      </w:r>
    </w:p>
    <w:p>
      <w:pPr>
        <w:spacing w:after="0" w:line="200" w:lineRule="exact"/>
        <w:rPr>
          <w:sz w:val="20"/>
          <w:szCs w:val="20"/>
          <w:color w:val="auto"/>
        </w:rPr>
      </w:pPr>
    </w:p>
    <w:p>
      <w:pPr>
        <w:spacing w:after="0" w:line="316" w:lineRule="exact"/>
        <w:rPr>
          <w:sz w:val="20"/>
          <w:szCs w:val="20"/>
          <w:color w:val="auto"/>
        </w:rPr>
      </w:pPr>
    </w:p>
    <w:p>
      <w:pPr>
        <w:ind w:left="440" w:right="580" w:hanging="363"/>
        <w:spacing w:after="0"/>
        <w:rPr>
          <w:sz w:val="20"/>
          <w:szCs w:val="20"/>
          <w:color w:val="auto"/>
        </w:rPr>
      </w:pPr>
      <w:r>
        <w:rPr>
          <w:sz w:val="1"/>
          <w:szCs w:val="1"/>
          <w:color w:val="auto"/>
        </w:rPr>
        <w:drawing>
          <wp:inline distT="0" distB="0" distL="0" distR="0">
            <wp:extent cx="162560" cy="16319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SHAREHOLDER OUTREACH AND COMMUNICATION WITH THE BOARD</w:t>
      </w:r>
    </w:p>
    <w:p>
      <w:pPr>
        <w:spacing w:after="0" w:line="12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As part of our effort to better understand our shareholders’ perspectives, we regularly engage with shareholders, seeking their input and views on various matters. Since our 2025 Annual Meeting of Shareholders, the Lead Independent Director and members of senior management have conducted extensive shareholder engagement. We reached out to shareholders representing approximately 57% of our outstanding shares and engaged with 23 different shareholders that collectively represent approximately 35% of our outstanding shares. The Lead Independent Director met with shareholders representing approximately 22% of our outstanding shares. In addition, we engaged with shareholders on governance and sustainability matters at roundtables and corporate governance forums.</w:t>
      </w:r>
    </w:p>
    <w:p>
      <w:pPr>
        <w:spacing w:after="0" w:line="87"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During these engagements, we discussed a variety of topics, including the Company’s business strategy, Board governance, executive compensation, human capital management, sustainability, nutrition, and other matters. These discussions were very productive, and we appreciate that our shareholders took the time to share their perspectives and questions with us. The feedback we received during these conversations was shared with the Board, the PCC, and the Governance Committee, and it continues to inform our policies and practices.</w:t>
      </w:r>
    </w:p>
    <w:p>
      <w:pPr>
        <w:spacing w:after="0" w:line="188" w:lineRule="exact"/>
        <w:rPr>
          <w:sz w:val="20"/>
          <w:szCs w:val="20"/>
          <w:color w:val="auto"/>
        </w:rPr>
      </w:pPr>
    </w:p>
    <w:tbl>
      <w:tblPr>
        <w:tblLayout w:type="fixed"/>
        <w:tblInd w:w="140" w:type="dxa"/>
        <w:tblCellMar>
          <w:top w:w="0" w:type="dxa"/>
          <w:left w:w="0" w:type="dxa"/>
          <w:bottom w:w="0" w:type="dxa"/>
          <w:right w:w="0" w:type="dxa"/>
        </w:tblCellMar>
      </w:tblPr>
      <w:tr>
        <w:trPr>
          <w:trHeight w:val="221"/>
        </w:trPr>
        <w:tc>
          <w:tcPr>
            <w:tcW w:w="2780" w:type="dxa"/>
            <w:vAlign w:val="bottom"/>
          </w:tcPr>
          <w:p>
            <w:pPr>
              <w:jc w:val="center"/>
              <w:ind w:right="279"/>
              <w:spacing w:after="0"/>
              <w:rPr>
                <w:sz w:val="20"/>
                <w:szCs w:val="20"/>
                <w:color w:val="auto"/>
              </w:rPr>
            </w:pPr>
            <w:r>
              <w:rPr>
                <w:rFonts w:ascii="Arial" w:cs="Arial" w:eastAsia="Arial" w:hAnsi="Arial"/>
                <w:sz w:val="18"/>
                <w:szCs w:val="18"/>
                <w:b w:val="1"/>
                <w:bCs w:val="1"/>
                <w:color w:val="582C83"/>
                <w:w w:val="99"/>
              </w:rPr>
              <w:t>REACHED OUT</w:t>
            </w:r>
          </w:p>
        </w:tc>
        <w:tc>
          <w:tcPr>
            <w:tcW w:w="3160" w:type="dxa"/>
            <w:vAlign w:val="bottom"/>
          </w:tcPr>
          <w:p>
            <w:pPr>
              <w:jc w:val="center"/>
              <w:spacing w:after="0"/>
              <w:rPr>
                <w:sz w:val="20"/>
                <w:szCs w:val="20"/>
                <w:color w:val="auto"/>
              </w:rPr>
            </w:pPr>
            <w:r>
              <w:rPr>
                <w:rFonts w:ascii="Arial" w:cs="Arial" w:eastAsia="Arial" w:hAnsi="Arial"/>
                <w:sz w:val="18"/>
                <w:szCs w:val="18"/>
                <w:b w:val="1"/>
                <w:bCs w:val="1"/>
                <w:color w:val="582C83"/>
              </w:rPr>
              <w:t xml:space="preserve">SPOKE </w:t>
            </w:r>
            <w:r>
              <w:rPr>
                <w:rFonts w:ascii="Arial" w:cs="Arial" w:eastAsia="Arial" w:hAnsi="Arial"/>
                <w:sz w:val="15"/>
                <w:szCs w:val="15"/>
                <w:color w:val="000000"/>
              </w:rPr>
              <w:t>with</w:t>
            </w:r>
            <w:r>
              <w:rPr>
                <w:rFonts w:ascii="Arial" w:cs="Arial" w:eastAsia="Arial" w:hAnsi="Arial"/>
                <w:sz w:val="18"/>
                <w:szCs w:val="18"/>
                <w:b w:val="1"/>
                <w:bCs w:val="1"/>
                <w:color w:val="582C83"/>
              </w:rPr>
              <w:t xml:space="preserve"> </w:t>
            </w:r>
            <w:r>
              <w:rPr>
                <w:rFonts w:ascii="Arial" w:cs="Arial" w:eastAsia="Arial" w:hAnsi="Arial"/>
                <w:sz w:val="17"/>
                <w:szCs w:val="17"/>
                <w:b w:val="1"/>
                <w:bCs w:val="1"/>
                <w:color w:val="000000"/>
              </w:rPr>
              <w:t>23</w:t>
            </w:r>
            <w:r>
              <w:rPr>
                <w:rFonts w:ascii="Arial" w:cs="Arial" w:eastAsia="Arial" w:hAnsi="Arial"/>
                <w:sz w:val="18"/>
                <w:szCs w:val="18"/>
                <w:b w:val="1"/>
                <w:bCs w:val="1"/>
                <w:color w:val="582C83"/>
              </w:rPr>
              <w:t xml:space="preserve"> </w:t>
            </w:r>
            <w:r>
              <w:rPr>
                <w:rFonts w:ascii="Arial" w:cs="Arial" w:eastAsia="Arial" w:hAnsi="Arial"/>
                <w:sz w:val="15"/>
                <w:szCs w:val="15"/>
                <w:color w:val="000000"/>
              </w:rPr>
              <w:t>different</w:t>
            </w:r>
          </w:p>
        </w:tc>
        <w:tc>
          <w:tcPr>
            <w:tcW w:w="2920" w:type="dxa"/>
            <w:vAlign w:val="bottom"/>
          </w:tcPr>
          <w:p>
            <w:pPr>
              <w:jc w:val="center"/>
              <w:ind w:left="232"/>
              <w:spacing w:after="0"/>
              <w:rPr>
                <w:sz w:val="20"/>
                <w:szCs w:val="20"/>
                <w:color w:val="auto"/>
              </w:rPr>
            </w:pPr>
            <w:r>
              <w:rPr>
                <w:rFonts w:ascii="Arial" w:cs="Arial" w:eastAsia="Arial" w:hAnsi="Arial"/>
                <w:sz w:val="18"/>
                <w:szCs w:val="18"/>
                <w:b w:val="1"/>
                <w:bCs w:val="1"/>
                <w:color w:val="582C83"/>
                <w:w w:val="99"/>
              </w:rPr>
              <w:t>Lead Independent Director</w:t>
            </w:r>
          </w:p>
        </w:tc>
        <w:tc>
          <w:tcPr>
            <w:tcW w:w="0" w:type="dxa"/>
            <w:vAlign w:val="bottom"/>
          </w:tcPr>
          <w:p>
            <w:pPr>
              <w:spacing w:after="0"/>
              <w:rPr>
                <w:sz w:val="1"/>
                <w:szCs w:val="1"/>
                <w:color w:val="auto"/>
              </w:rPr>
            </w:pPr>
          </w:p>
        </w:tc>
      </w:tr>
      <w:tr>
        <w:trPr>
          <w:trHeight w:val="176"/>
        </w:trPr>
        <w:tc>
          <w:tcPr>
            <w:tcW w:w="2780" w:type="dxa"/>
            <w:vAlign w:val="bottom"/>
          </w:tcPr>
          <w:p>
            <w:pPr>
              <w:jc w:val="center"/>
              <w:ind w:right="299"/>
              <w:spacing w:after="0"/>
              <w:rPr>
                <w:sz w:val="20"/>
                <w:szCs w:val="20"/>
                <w:color w:val="auto"/>
              </w:rPr>
            </w:pPr>
            <w:r>
              <w:rPr>
                <w:rFonts w:ascii="Arial" w:cs="Arial" w:eastAsia="Arial" w:hAnsi="Arial"/>
                <w:sz w:val="15"/>
                <w:szCs w:val="15"/>
                <w:color w:val="auto"/>
              </w:rPr>
              <w:t>to shareholders representing</w:t>
            </w:r>
          </w:p>
        </w:tc>
        <w:tc>
          <w:tcPr>
            <w:tcW w:w="3160" w:type="dxa"/>
            <w:vAlign w:val="bottom"/>
          </w:tcPr>
          <w:p>
            <w:pPr>
              <w:jc w:val="center"/>
              <w:spacing w:after="0"/>
              <w:rPr>
                <w:sz w:val="20"/>
                <w:szCs w:val="20"/>
                <w:color w:val="auto"/>
              </w:rPr>
            </w:pPr>
            <w:r>
              <w:rPr>
                <w:rFonts w:ascii="Arial" w:cs="Arial" w:eastAsia="Arial" w:hAnsi="Arial"/>
                <w:sz w:val="15"/>
                <w:szCs w:val="15"/>
                <w:color w:val="auto"/>
              </w:rPr>
              <w:t>shareholders representing</w:t>
            </w:r>
          </w:p>
        </w:tc>
        <w:tc>
          <w:tcPr>
            <w:tcW w:w="2920" w:type="dxa"/>
            <w:vAlign w:val="bottom"/>
          </w:tcPr>
          <w:p>
            <w:pPr>
              <w:jc w:val="center"/>
              <w:ind w:left="232"/>
              <w:spacing w:after="0"/>
              <w:rPr>
                <w:sz w:val="20"/>
                <w:szCs w:val="20"/>
                <w:color w:val="auto"/>
              </w:rPr>
            </w:pPr>
            <w:r>
              <w:rPr>
                <w:rFonts w:ascii="Arial" w:cs="Arial" w:eastAsia="Arial" w:hAnsi="Arial"/>
                <w:sz w:val="15"/>
                <w:szCs w:val="15"/>
                <w:color w:val="auto"/>
              </w:rPr>
              <w:t>led meetings with shareholders</w:t>
            </w:r>
          </w:p>
        </w:tc>
        <w:tc>
          <w:tcPr>
            <w:tcW w:w="0" w:type="dxa"/>
            <w:vAlign w:val="bottom"/>
          </w:tcPr>
          <w:p>
            <w:pPr>
              <w:spacing w:after="0"/>
              <w:rPr>
                <w:sz w:val="1"/>
                <w:szCs w:val="1"/>
                <w:color w:val="auto"/>
              </w:rPr>
            </w:pPr>
          </w:p>
        </w:tc>
      </w:tr>
      <w:tr>
        <w:trPr>
          <w:trHeight w:val="159"/>
        </w:trPr>
        <w:tc>
          <w:tcPr>
            <w:tcW w:w="2780" w:type="dxa"/>
            <w:vAlign w:val="bottom"/>
            <w:vMerge w:val="restart"/>
          </w:tcPr>
          <w:p>
            <w:pPr>
              <w:jc w:val="right"/>
              <w:ind w:right="239"/>
              <w:spacing w:after="0"/>
              <w:rPr>
                <w:sz w:val="20"/>
                <w:szCs w:val="20"/>
                <w:color w:val="auto"/>
              </w:rPr>
            </w:pPr>
            <w:r>
              <w:rPr>
                <w:rFonts w:ascii="Arial" w:cs="Arial" w:eastAsia="Arial" w:hAnsi="Arial"/>
                <w:sz w:val="65"/>
                <w:szCs w:val="65"/>
                <w:b w:val="1"/>
                <w:bCs w:val="1"/>
                <w:color w:val="582C83"/>
              </w:rPr>
              <w:t>~57%</w:t>
            </w:r>
          </w:p>
        </w:tc>
        <w:tc>
          <w:tcPr>
            <w:tcW w:w="3160" w:type="dxa"/>
            <w:vAlign w:val="bottom"/>
            <w:vMerge w:val="restart"/>
          </w:tcPr>
          <w:p>
            <w:pPr>
              <w:jc w:val="right"/>
              <w:ind w:right="279"/>
              <w:spacing w:after="0"/>
              <w:rPr>
                <w:sz w:val="20"/>
                <w:szCs w:val="20"/>
                <w:color w:val="auto"/>
              </w:rPr>
            </w:pPr>
            <w:r>
              <w:rPr>
                <w:rFonts w:ascii="Arial" w:cs="Arial" w:eastAsia="Arial" w:hAnsi="Arial"/>
                <w:sz w:val="65"/>
                <w:szCs w:val="65"/>
                <w:b w:val="1"/>
                <w:bCs w:val="1"/>
                <w:color w:val="582C83"/>
              </w:rPr>
              <w:t>~35%</w:t>
            </w:r>
          </w:p>
        </w:tc>
        <w:tc>
          <w:tcPr>
            <w:tcW w:w="2920" w:type="dxa"/>
            <w:vAlign w:val="bottom"/>
          </w:tcPr>
          <w:p>
            <w:pPr>
              <w:jc w:val="center"/>
              <w:ind w:left="232"/>
              <w:spacing w:after="0" w:line="159" w:lineRule="exact"/>
              <w:rPr>
                <w:sz w:val="20"/>
                <w:szCs w:val="20"/>
                <w:color w:val="auto"/>
              </w:rPr>
            </w:pPr>
            <w:r>
              <w:rPr>
                <w:rFonts w:ascii="Arial" w:cs="Arial" w:eastAsia="Arial" w:hAnsi="Arial"/>
                <w:sz w:val="15"/>
                <w:szCs w:val="15"/>
                <w:color w:val="auto"/>
              </w:rPr>
              <w:t>representing</w:t>
            </w:r>
          </w:p>
        </w:tc>
        <w:tc>
          <w:tcPr>
            <w:tcW w:w="0" w:type="dxa"/>
            <w:vAlign w:val="bottom"/>
          </w:tcPr>
          <w:p>
            <w:pPr>
              <w:spacing w:after="0"/>
              <w:rPr>
                <w:sz w:val="1"/>
                <w:szCs w:val="1"/>
                <w:color w:val="auto"/>
              </w:rPr>
            </w:pPr>
          </w:p>
        </w:tc>
      </w:tr>
      <w:tr>
        <w:trPr>
          <w:trHeight w:val="753"/>
        </w:trPr>
        <w:tc>
          <w:tcPr>
            <w:tcW w:w="2780" w:type="dxa"/>
            <w:vAlign w:val="bottom"/>
            <w:vMerge w:val="continue"/>
          </w:tcPr>
          <w:p>
            <w:pPr>
              <w:spacing w:after="0"/>
              <w:rPr>
                <w:sz w:val="24"/>
                <w:szCs w:val="24"/>
                <w:color w:val="auto"/>
              </w:rPr>
            </w:pPr>
          </w:p>
        </w:tc>
        <w:tc>
          <w:tcPr>
            <w:tcW w:w="3160" w:type="dxa"/>
            <w:vAlign w:val="bottom"/>
            <w:vMerge w:val="continue"/>
          </w:tcPr>
          <w:p>
            <w:pPr>
              <w:spacing w:after="0"/>
              <w:rPr>
                <w:sz w:val="24"/>
                <w:szCs w:val="24"/>
                <w:color w:val="auto"/>
              </w:rPr>
            </w:pPr>
          </w:p>
        </w:tc>
        <w:tc>
          <w:tcPr>
            <w:tcW w:w="2920" w:type="dxa"/>
            <w:vAlign w:val="bottom"/>
          </w:tcPr>
          <w:p>
            <w:pPr>
              <w:jc w:val="right"/>
              <w:spacing w:after="0"/>
              <w:rPr>
                <w:sz w:val="20"/>
                <w:szCs w:val="20"/>
                <w:color w:val="auto"/>
              </w:rPr>
            </w:pPr>
            <w:r>
              <w:rPr>
                <w:rFonts w:ascii="Arial" w:cs="Arial" w:eastAsia="Arial" w:hAnsi="Arial"/>
                <w:sz w:val="65"/>
                <w:szCs w:val="65"/>
                <w:b w:val="1"/>
                <w:bCs w:val="1"/>
                <w:color w:val="582C83"/>
              </w:rPr>
              <w:t>~22%</w:t>
            </w:r>
          </w:p>
        </w:tc>
        <w:tc>
          <w:tcPr>
            <w:tcW w:w="0" w:type="dxa"/>
            <w:vAlign w:val="bottom"/>
          </w:tcPr>
          <w:p>
            <w:pPr>
              <w:spacing w:after="0"/>
              <w:rPr>
                <w:sz w:val="1"/>
                <w:szCs w:val="1"/>
                <w:color w:val="auto"/>
              </w:rPr>
            </w:pPr>
          </w:p>
        </w:tc>
      </w:tr>
      <w:tr>
        <w:trPr>
          <w:trHeight w:val="196"/>
        </w:trPr>
        <w:tc>
          <w:tcPr>
            <w:tcW w:w="2780" w:type="dxa"/>
            <w:vAlign w:val="bottom"/>
          </w:tcPr>
          <w:p>
            <w:pPr>
              <w:jc w:val="right"/>
              <w:ind w:right="359"/>
              <w:spacing w:after="0"/>
              <w:rPr>
                <w:sz w:val="20"/>
                <w:szCs w:val="20"/>
                <w:color w:val="auto"/>
              </w:rPr>
            </w:pPr>
            <w:r>
              <w:rPr>
                <w:rFonts w:ascii="Arial" w:cs="Arial" w:eastAsia="Arial" w:hAnsi="Arial"/>
                <w:sz w:val="14"/>
                <w:szCs w:val="14"/>
                <w:b w:val="1"/>
                <w:bCs w:val="1"/>
                <w:color w:val="auto"/>
              </w:rPr>
              <w:t>OF OUR OUTSTANDING SHARES</w:t>
            </w: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rPr>
              <w:t>OF OUR OUTSTANDING SHARES</w:t>
            </w:r>
          </w:p>
        </w:tc>
        <w:tc>
          <w:tcPr>
            <w:tcW w:w="2920" w:type="dxa"/>
            <w:vAlign w:val="bottom"/>
          </w:tcPr>
          <w:p>
            <w:pPr>
              <w:jc w:val="right"/>
              <w:ind w:right="92"/>
              <w:spacing w:after="0"/>
              <w:rPr>
                <w:sz w:val="20"/>
                <w:szCs w:val="20"/>
                <w:color w:val="auto"/>
              </w:rPr>
            </w:pPr>
            <w:r>
              <w:rPr>
                <w:rFonts w:ascii="Arial" w:cs="Arial" w:eastAsia="Arial" w:hAnsi="Arial"/>
                <w:sz w:val="14"/>
                <w:szCs w:val="14"/>
                <w:b w:val="1"/>
                <w:bCs w:val="1"/>
                <w:color w:val="auto"/>
              </w:rPr>
              <w:t>OF OUR OUTSTANDING SHARES</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Shareholders may directly contact the Board, the Lead Independent Director, any of the independent directors, or any committee of the Board regarding matters relevant to the Board’s duties and responsibilities. Information about how to do so is available at </w:t>
      </w:r>
      <w:r>
        <w:rPr>
          <w:rFonts w:ascii="Arial" w:cs="Arial" w:eastAsia="Arial" w:hAnsi="Arial"/>
          <w:sz w:val="17"/>
          <w:szCs w:val="17"/>
          <w:b w:val="1"/>
          <w:bCs w:val="1"/>
          <w:i w:val="1"/>
          <w:iCs w:val="1"/>
          <w:color w:val="582C83"/>
        </w:rPr>
        <w:t>www.mondelezinternational.com/investors/corporate-governance/contacting-the-board-and-reporting-wrongdoings</w:t>
      </w:r>
      <w:r>
        <w:rPr>
          <w:rFonts w:ascii="Arial" w:cs="Arial" w:eastAsia="Arial" w:hAnsi="Arial"/>
          <w:sz w:val="17"/>
          <w:szCs w:val="17"/>
          <w:color w:val="000000"/>
        </w:rPr>
        <w:t>. The Lead Independent Director is available for consultation with our shareholders.</w:t>
      </w:r>
    </w:p>
    <w:p>
      <w:pPr>
        <w:spacing w:after="0" w:line="6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Corporate Secretary forwards communications relating to matters within the Board’s purview to the Lead Independent Director or appropriate independent director(s), and communications relating to matters within a Board committee’s area of responsibility to the chair of the appropriate committee. Communications relating to ordinary business matters, such as suggestions, inquiries, and consumer complaints, are forwarded to the appropriate Mondelēz International executive or employee and made available to any independent director who requests them. We do not forward solicitations, junk mail, or frivolous or inappropriate communications.</w:t>
      </w:r>
    </w:p>
    <w:p>
      <w:pPr>
        <w:spacing w:after="0" w:line="81" w:lineRule="exact"/>
        <w:rPr>
          <w:sz w:val="20"/>
          <w:szCs w:val="20"/>
          <w:color w:val="auto"/>
        </w:rPr>
      </w:pPr>
    </w:p>
    <w:p>
      <w:pPr>
        <w:ind w:right="400"/>
        <w:spacing w:after="0" w:line="291" w:lineRule="auto"/>
        <w:rPr>
          <w:sz w:val="20"/>
          <w:szCs w:val="20"/>
          <w:color w:val="auto"/>
        </w:rPr>
      </w:pPr>
      <w:r>
        <w:rPr>
          <w:rFonts w:ascii="Arial" w:cs="Arial" w:eastAsia="Arial" w:hAnsi="Arial"/>
          <w:sz w:val="17"/>
          <w:szCs w:val="17"/>
          <w:color w:val="auto"/>
        </w:rPr>
        <w:t>In furtherance of our commitment to ongoing engagement with our shareholders, management, and subject matter experts met, or are scheduled to meet in advance of the Annual Meeting, with the proponents of the shareholder proposals contained in this Proxy Statement to discuss their respective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19278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10375" cy="192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4260"/>
        <w:spacing w:after="0" w:line="298" w:lineRule="auto"/>
        <w:rPr>
          <w:sz w:val="20"/>
          <w:szCs w:val="20"/>
          <w:color w:val="auto"/>
        </w:rPr>
      </w:pPr>
      <w:r>
        <w:rPr>
          <w:rFonts w:ascii="Arial" w:cs="Arial" w:eastAsia="Arial" w:hAnsi="Arial"/>
          <w:sz w:val="45"/>
          <w:szCs w:val="45"/>
          <w:b w:val="1"/>
          <w:bCs w:val="1"/>
          <w:color w:val="582C83"/>
        </w:rPr>
        <w:t>BOARD COMMITTEES AND MEMBERSHIP</w:t>
      </w:r>
    </w:p>
    <w:p>
      <w:pPr>
        <w:sectPr>
          <w:pgSz w:w="11900" w:h="16838" w:orient="portrait"/>
          <w:cols w:equalWidth="0" w:num="1">
            <w:col w:w="9040"/>
          </w:cols>
          <w:pgMar w:left="1420" w:top="246" w:right="1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Governance Committee considers and makes recommendations to the Board regarding the Board’s committee</w:t>
      </w:r>
    </w:p>
    <w:p>
      <w:pPr>
        <w:sectPr>
          <w:pgSz w:w="11900" w:h="16838" w:orient="portrait"/>
          <w:cols w:equalWidth="0" w:num="1">
            <w:col w:w="9040"/>
          </w:cols>
          <w:pgMar w:left="1420" w:top="246" w:right="1439" w:bottom="0" w:gutter="0" w:footer="0" w:header="0"/>
          <w:type w:val="continuous"/>
        </w:sectPr>
      </w:pPr>
    </w:p>
    <w:bookmarkStart w:id="41" w:name="page42"/>
    <w:bookmarkEnd w:id="41"/>
    <w:p>
      <w:pPr>
        <w:ind w:right="60"/>
        <w:spacing w:after="0" w:line="190" w:lineRule="auto"/>
        <w:rPr>
          <w:sz w:val="20"/>
          <w:szCs w:val="20"/>
          <w:color w:val="auto"/>
        </w:rPr>
      </w:pPr>
      <w:r>
        <w:rPr>
          <w:rFonts w:ascii="Arial" w:cs="Arial" w:eastAsia="Arial" w:hAnsi="Arial"/>
          <w:sz w:val="16"/>
          <w:szCs w:val="16"/>
          <w:color w:val="auto"/>
        </w:rPr>
        <w:t>structure and membership. The Board establishes its committee structure and designates the committee members and chairs after consideration of these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-161290</wp:posOffset>
            </wp:positionV>
            <wp:extent cx="6810375" cy="69284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10375" cy="6928485"/>
                    </a:xfrm>
                    <a:prstGeom prst="rect">
                      <a:avLst/>
                    </a:prstGeom>
                    <a:noFill/>
                  </pic:spPr>
                </pic:pic>
              </a:graphicData>
            </a:graphic>
          </wp:anchor>
        </w:drawing>
      </w:r>
    </w:p>
    <w:p>
      <w:pPr>
        <w:spacing w:after="0" w:line="94"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 xml:space="preserve">The Board currently has four standing committees: Audit; Finance; Governance; and PCC. The Board has adopted a written charter for each standing committee that is regularly reviewed by the relevant committee and the Governance Committee also reviews all charters at least annually to support effective oversight and role clarity. The charters, which are available on our website at </w:t>
      </w:r>
      <w:r>
        <w:rPr>
          <w:rFonts w:ascii="Arial" w:cs="Arial" w:eastAsia="Arial" w:hAnsi="Arial"/>
          <w:sz w:val="17"/>
          <w:szCs w:val="17"/>
          <w:b w:val="1"/>
          <w:bCs w:val="1"/>
          <w:i w:val="1"/>
          <w:iCs w:val="1"/>
          <w:color w:val="582C83"/>
        </w:rPr>
        <w:t>www.mondelezinternational.com/investors/corporate-governance</w:t>
      </w:r>
      <w:r>
        <w:rPr>
          <w:rFonts w:ascii="Arial" w:cs="Arial" w:eastAsia="Arial" w:hAnsi="Arial"/>
          <w:sz w:val="17"/>
          <w:szCs w:val="17"/>
          <w:color w:val="auto"/>
        </w:rPr>
        <w:t>, define the committees’ respective roles and responsibilities. All committee members and chairs are independent.</w:t>
      </w:r>
    </w:p>
    <w:p>
      <w:pPr>
        <w:spacing w:after="0" w:line="67"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color w:val="auto"/>
        </w:rPr>
        <w:t>Committee chairs approve agendas and materials for their committee meetings. Each committee meets regularly in executive session without management. Directors may attend the meetings of any committee of which they are not a member. Committees may retain outside legal, financial, accounting, and other advisors at the Company’s expense. Each Committee regularly reports its actions and recommendations to the Board.</w:t>
      </w:r>
    </w:p>
    <w:p>
      <w:pPr>
        <w:spacing w:after="0" w:line="325"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COMMITTEE MEMBERSHIP</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00" w:type="dxa"/>
            <w:vAlign w:val="bottom"/>
          </w:tcPr>
          <w:p>
            <w:pPr>
              <w:spacing w:after="0"/>
              <w:rPr>
                <w:sz w:val="14"/>
                <w:szCs w:val="14"/>
                <w:color w:val="auto"/>
              </w:rPr>
            </w:pPr>
          </w:p>
        </w:tc>
        <w:tc>
          <w:tcPr>
            <w:tcW w:w="1460" w:type="dxa"/>
            <w:vAlign w:val="bottom"/>
            <w:tcBorders>
              <w:bottom w:val="single" w:sz="8" w:color="582C83"/>
            </w:tcBorders>
          </w:tcPr>
          <w:p>
            <w:pPr>
              <w:spacing w:after="0"/>
              <w:rPr>
                <w:sz w:val="14"/>
                <w:szCs w:val="14"/>
                <w:color w:val="auto"/>
              </w:rPr>
            </w:pPr>
          </w:p>
        </w:tc>
        <w:tc>
          <w:tcPr>
            <w:tcW w:w="2980" w:type="dxa"/>
            <w:vAlign w:val="bottom"/>
            <w:tcBorders>
              <w:bottom w:val="single" w:sz="8" w:color="582C83"/>
            </w:tcBorders>
            <w:gridSpan w:val="2"/>
          </w:tcPr>
          <w:p>
            <w:pPr>
              <w:ind w:left="760"/>
              <w:spacing w:after="0"/>
              <w:rPr>
                <w:sz w:val="20"/>
                <w:szCs w:val="20"/>
                <w:color w:val="auto"/>
              </w:rPr>
            </w:pPr>
            <w:r>
              <w:rPr>
                <w:rFonts w:ascii="Arial" w:cs="Arial" w:eastAsia="Arial" w:hAnsi="Arial"/>
                <w:sz w:val="14"/>
                <w:szCs w:val="14"/>
                <w:b w:val="1"/>
                <w:bCs w:val="1"/>
                <w:color w:val="auto"/>
              </w:rPr>
              <w:t>As of March 11, 2026</w:t>
            </w:r>
          </w:p>
        </w:tc>
        <w:tc>
          <w:tcPr>
            <w:tcW w:w="1400" w:type="dxa"/>
            <w:vAlign w:val="bottom"/>
            <w:tcBorders>
              <w:bottom w:val="single" w:sz="8" w:color="582C83"/>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Governance,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Membership, and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People and</w:t>
            </w: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Audit</w:t>
            </w:r>
          </w:p>
        </w:tc>
        <w:tc>
          <w:tcPr>
            <w:tcW w:w="1360" w:type="dxa"/>
            <w:vAlign w:val="bottom"/>
          </w:tcPr>
          <w:p>
            <w:pPr>
              <w:jc w:val="center"/>
              <w:ind w:left="25"/>
              <w:spacing w:after="0"/>
              <w:rPr>
                <w:sz w:val="20"/>
                <w:szCs w:val="20"/>
                <w:color w:val="auto"/>
              </w:rPr>
            </w:pPr>
            <w:r>
              <w:rPr>
                <w:rFonts w:ascii="Arial" w:cs="Arial" w:eastAsia="Arial" w:hAnsi="Arial"/>
                <w:sz w:val="14"/>
                <w:szCs w:val="14"/>
                <w:b w:val="1"/>
                <w:bCs w:val="1"/>
                <w:color w:val="auto"/>
              </w:rPr>
              <w:t>Finance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Sustainability</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85"/>
        </w:trPr>
        <w:tc>
          <w:tcPr>
            <w:tcW w:w="3200" w:type="dxa"/>
            <w:vAlign w:val="bottom"/>
            <w:tcBorders>
              <w:bottom w:val="single" w:sz="8" w:color="582C83"/>
            </w:tcBorders>
          </w:tcPr>
          <w:p>
            <w:pPr>
              <w:spacing w:after="0"/>
              <w:rPr>
                <w:sz w:val="16"/>
                <w:szCs w:val="16"/>
                <w:color w:val="auto"/>
              </w:rPr>
            </w:pPr>
          </w:p>
        </w:tc>
        <w:tc>
          <w:tcPr>
            <w:tcW w:w="1460" w:type="dxa"/>
            <w:vAlign w:val="bottom"/>
            <w:tcBorders>
              <w:bottom w:val="single" w:sz="8" w:color="582C83"/>
            </w:tcBorders>
          </w:tcPr>
          <w:p>
            <w:pPr>
              <w:jc w:val="center"/>
              <w:spacing w:after="0"/>
              <w:rPr>
                <w:sz w:val="20"/>
                <w:szCs w:val="20"/>
                <w:color w:val="auto"/>
              </w:rPr>
            </w:pPr>
            <w:r>
              <w:rPr>
                <w:rFonts w:ascii="Arial" w:cs="Arial" w:eastAsia="Arial" w:hAnsi="Arial"/>
                <w:sz w:val="14"/>
                <w:szCs w:val="14"/>
                <w:b w:val="1"/>
                <w:bCs w:val="1"/>
                <w:color w:val="auto"/>
              </w:rPr>
              <w:t>Committee</w:t>
            </w:r>
          </w:p>
        </w:tc>
        <w:tc>
          <w:tcPr>
            <w:tcW w:w="1360" w:type="dxa"/>
            <w:vAlign w:val="bottom"/>
            <w:tcBorders>
              <w:bottom w:val="single" w:sz="8" w:color="582C83"/>
            </w:tcBorders>
          </w:tcPr>
          <w:p>
            <w:pPr>
              <w:jc w:val="center"/>
              <w:ind w:left="25"/>
              <w:spacing w:after="0"/>
              <w:rPr>
                <w:sz w:val="20"/>
                <w:szCs w:val="20"/>
                <w:color w:val="auto"/>
              </w:rPr>
            </w:pPr>
            <w:r>
              <w:rPr>
                <w:rFonts w:ascii="Arial" w:cs="Arial" w:eastAsia="Arial" w:hAnsi="Arial"/>
                <w:sz w:val="14"/>
                <w:szCs w:val="14"/>
                <w:b w:val="1"/>
                <w:bCs w:val="1"/>
                <w:color w:val="auto"/>
              </w:rPr>
              <w:t>Committee</w:t>
            </w:r>
          </w:p>
        </w:tc>
        <w:tc>
          <w:tcPr>
            <w:tcW w:w="1620" w:type="dxa"/>
            <w:vAlign w:val="bottom"/>
            <w:tcBorders>
              <w:bottom w:val="single" w:sz="8" w:color="582C83"/>
            </w:tcBorders>
          </w:tcPr>
          <w:p>
            <w:pPr>
              <w:jc w:val="center"/>
              <w:spacing w:after="0"/>
              <w:rPr>
                <w:sz w:val="20"/>
                <w:szCs w:val="20"/>
                <w:color w:val="auto"/>
              </w:rPr>
            </w:pPr>
            <w:r>
              <w:rPr>
                <w:rFonts w:ascii="Arial" w:cs="Arial" w:eastAsia="Arial" w:hAnsi="Arial"/>
                <w:sz w:val="14"/>
                <w:szCs w:val="14"/>
                <w:b w:val="1"/>
                <w:bCs w:val="1"/>
                <w:color w:val="auto"/>
              </w:rPr>
              <w:t>Committee</w:t>
            </w:r>
          </w:p>
        </w:tc>
        <w:tc>
          <w:tcPr>
            <w:tcW w:w="1400" w:type="dxa"/>
            <w:vAlign w:val="bottom"/>
            <w:tcBorders>
              <w:bottom w:val="single" w:sz="8" w:color="582C83"/>
            </w:tcBorders>
          </w:tcPr>
          <w:p>
            <w:pPr>
              <w:jc w:val="center"/>
              <w:spacing w:after="0"/>
              <w:rPr>
                <w:sz w:val="20"/>
                <w:szCs w:val="20"/>
                <w:color w:val="auto"/>
              </w:rPr>
            </w:pPr>
            <w:r>
              <w:rPr>
                <w:rFonts w:ascii="Arial" w:cs="Arial" w:eastAsia="Arial" w:hAnsi="Arial"/>
                <w:sz w:val="14"/>
                <w:szCs w:val="14"/>
                <w:b w:val="1"/>
                <w:bCs w:val="1"/>
                <w:color w:val="auto"/>
              </w:rPr>
              <w:t>Committee</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Ertharin Cousin</w:t>
            </w:r>
          </w:p>
        </w:tc>
        <w:tc>
          <w:tcPr>
            <w:tcW w:w="1460" w:type="dxa"/>
            <w:vAlign w:val="bottom"/>
            <w:tcBorders>
              <w:bottom w:val="single" w:sz="8" w:color="582C83"/>
            </w:tcBorders>
            <w:shd w:val="clear" w:color="auto" w:fill="E0DBEA"/>
          </w:tcPr>
          <w:p>
            <w:pPr>
              <w:spacing w:after="0"/>
              <w:rPr>
                <w:sz w:val="17"/>
                <w:szCs w:val="17"/>
                <w:color w:val="auto"/>
              </w:rPr>
            </w:pPr>
          </w:p>
        </w:tc>
        <w:tc>
          <w:tcPr>
            <w:tcW w:w="1360" w:type="dxa"/>
            <w:vAlign w:val="bottom"/>
            <w:tcBorders>
              <w:bottom w:val="single" w:sz="8" w:color="582C83"/>
            </w:tcBorders>
            <w:shd w:val="clear" w:color="auto" w:fill="E0DBEA"/>
          </w:tcPr>
          <w:p>
            <w:pPr>
              <w:spacing w:after="0"/>
              <w:rPr>
                <w:sz w:val="17"/>
                <w:szCs w:val="17"/>
                <w:color w:val="auto"/>
              </w:rPr>
            </w:pPr>
          </w:p>
        </w:tc>
        <w:tc>
          <w:tcPr>
            <w:tcW w:w="1620" w:type="dxa"/>
            <w:vAlign w:val="bottom"/>
            <w:tcBorders>
              <w:bottom w:val="single" w:sz="8" w:color="582C83"/>
            </w:tcBorders>
            <w:shd w:val="clear" w:color="auto" w:fill="E0DBEA"/>
          </w:tcPr>
          <w:p>
            <w:pPr>
              <w:spacing w:after="0"/>
              <w:rPr>
                <w:sz w:val="17"/>
                <w:szCs w:val="17"/>
                <w:color w:val="auto"/>
              </w:rPr>
            </w:pPr>
          </w:p>
        </w:tc>
        <w:tc>
          <w:tcPr>
            <w:tcW w:w="1400" w:type="dxa"/>
            <w:vAlign w:val="bottom"/>
            <w:tcBorders>
              <w:bottom w:val="single" w:sz="8" w:color="582C83"/>
            </w:tcBorders>
            <w:shd w:val="clear" w:color="auto" w:fill="E0DBEA"/>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Cees ‘t Hart</w:t>
            </w:r>
          </w:p>
        </w:tc>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200" w:type="dxa"/>
            <w:vAlign w:val="bottom"/>
            <w:tcBorders>
              <w:bottom w:val="single" w:sz="8" w:color="582C83"/>
            </w:tcBorders>
          </w:tcPr>
          <w:p>
            <w:pPr>
              <w:spacing w:after="0"/>
              <w:rPr>
                <w:sz w:val="2"/>
                <w:szCs w:val="2"/>
                <w:color w:val="auto"/>
              </w:rPr>
            </w:pPr>
          </w:p>
        </w:tc>
        <w:tc>
          <w:tcPr>
            <w:tcW w:w="1460" w:type="dxa"/>
            <w:vAlign w:val="bottom"/>
            <w:tcBorders>
              <w:bottom w:val="single" w:sz="8" w:color="582C83"/>
            </w:tcBorders>
          </w:tcPr>
          <w:p>
            <w:pPr>
              <w:spacing w:after="0"/>
              <w:rPr>
                <w:sz w:val="2"/>
                <w:szCs w:val="2"/>
                <w:color w:val="auto"/>
              </w:rPr>
            </w:pPr>
          </w:p>
        </w:tc>
        <w:tc>
          <w:tcPr>
            <w:tcW w:w="1360" w:type="dxa"/>
            <w:vAlign w:val="bottom"/>
            <w:tcBorders>
              <w:bottom w:val="single" w:sz="8" w:color="582C83"/>
            </w:tcBorders>
          </w:tcPr>
          <w:p>
            <w:pPr>
              <w:spacing w:after="0"/>
              <w:rPr>
                <w:sz w:val="2"/>
                <w:szCs w:val="2"/>
                <w:color w:val="auto"/>
              </w:rPr>
            </w:pPr>
          </w:p>
        </w:tc>
        <w:tc>
          <w:tcPr>
            <w:tcW w:w="1620" w:type="dxa"/>
            <w:vAlign w:val="bottom"/>
            <w:tcBorders>
              <w:bottom w:val="single" w:sz="8" w:color="582C83"/>
            </w:tcBorders>
          </w:tcPr>
          <w:p>
            <w:pPr>
              <w:spacing w:after="0"/>
              <w:rPr>
                <w:sz w:val="2"/>
                <w:szCs w:val="2"/>
                <w:color w:val="auto"/>
              </w:rPr>
            </w:pPr>
          </w:p>
        </w:tc>
        <w:tc>
          <w:tcPr>
            <w:tcW w:w="1400" w:type="dxa"/>
            <w:vAlign w:val="bottom"/>
            <w:tcBorders>
              <w:bottom w:val="single" w:sz="8" w:color="582C83"/>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20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Nancy McKinstry</w:t>
            </w:r>
          </w:p>
        </w:tc>
        <w:tc>
          <w:tcPr>
            <w:tcW w:w="1460" w:type="dxa"/>
            <w:vAlign w:val="bottom"/>
            <w:tcBorders>
              <w:bottom w:val="single" w:sz="8" w:color="582C83"/>
            </w:tcBorders>
            <w:shd w:val="clear" w:color="auto" w:fill="E0DBEA"/>
          </w:tcPr>
          <w:p>
            <w:pPr>
              <w:spacing w:after="0"/>
              <w:rPr>
                <w:sz w:val="18"/>
                <w:szCs w:val="18"/>
                <w:color w:val="auto"/>
              </w:rPr>
            </w:pPr>
          </w:p>
        </w:tc>
        <w:tc>
          <w:tcPr>
            <w:tcW w:w="1360" w:type="dxa"/>
            <w:vAlign w:val="bottom"/>
            <w:tcBorders>
              <w:bottom w:val="single" w:sz="8" w:color="582C83"/>
            </w:tcBorders>
            <w:shd w:val="clear" w:color="auto" w:fill="E0DBEA"/>
          </w:tcPr>
          <w:p>
            <w:pPr>
              <w:spacing w:after="0"/>
              <w:rPr>
                <w:sz w:val="18"/>
                <w:szCs w:val="18"/>
                <w:color w:val="auto"/>
              </w:rPr>
            </w:pPr>
          </w:p>
        </w:tc>
        <w:tc>
          <w:tcPr>
            <w:tcW w:w="1620" w:type="dxa"/>
            <w:vAlign w:val="bottom"/>
            <w:tcBorders>
              <w:bottom w:val="single" w:sz="8" w:color="582C83"/>
            </w:tcBorders>
            <w:shd w:val="clear" w:color="auto" w:fill="E0DBEA"/>
          </w:tcPr>
          <w:p>
            <w:pPr>
              <w:spacing w:after="0"/>
              <w:rPr>
                <w:sz w:val="18"/>
                <w:szCs w:val="18"/>
                <w:color w:val="auto"/>
              </w:rPr>
            </w:pPr>
          </w:p>
        </w:tc>
        <w:tc>
          <w:tcPr>
            <w:tcW w:w="1400" w:type="dxa"/>
            <w:vAlign w:val="bottom"/>
            <w:tcBorders>
              <w:bottom w:val="single" w:sz="8" w:color="582C83"/>
            </w:tcBorders>
            <w:shd w:val="clear" w:color="auto" w:fill="E0DBE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Brian J. McNamara</w:t>
            </w:r>
          </w:p>
        </w:tc>
        <w:tc>
          <w:tcPr>
            <w:tcW w:w="1460" w:type="dxa"/>
            <w:vAlign w:val="bottom"/>
            <w:tcBorders>
              <w:bottom w:val="single" w:sz="8" w:color="582C83"/>
            </w:tcBorders>
          </w:tcPr>
          <w:p>
            <w:pPr>
              <w:spacing w:after="0"/>
              <w:rPr>
                <w:sz w:val="18"/>
                <w:szCs w:val="18"/>
                <w:color w:val="auto"/>
              </w:rPr>
            </w:pPr>
          </w:p>
        </w:tc>
        <w:tc>
          <w:tcPr>
            <w:tcW w:w="1360" w:type="dxa"/>
            <w:vAlign w:val="bottom"/>
            <w:tcBorders>
              <w:bottom w:val="single" w:sz="8" w:color="582C83"/>
            </w:tcBorders>
          </w:tcPr>
          <w:p>
            <w:pPr>
              <w:spacing w:after="0"/>
              <w:rPr>
                <w:sz w:val="18"/>
                <w:szCs w:val="18"/>
                <w:color w:val="auto"/>
              </w:rPr>
            </w:pPr>
          </w:p>
        </w:tc>
        <w:tc>
          <w:tcPr>
            <w:tcW w:w="1620" w:type="dxa"/>
            <w:vAlign w:val="bottom"/>
            <w:tcBorders>
              <w:bottom w:val="single" w:sz="8" w:color="582C83"/>
            </w:tcBorders>
          </w:tcPr>
          <w:p>
            <w:pPr>
              <w:spacing w:after="0"/>
              <w:rPr>
                <w:sz w:val="18"/>
                <w:szCs w:val="18"/>
                <w:color w:val="auto"/>
              </w:rPr>
            </w:pPr>
          </w:p>
        </w:tc>
        <w:tc>
          <w:tcPr>
            <w:tcW w:w="1400" w:type="dxa"/>
            <w:vAlign w:val="bottom"/>
            <w:tcBorders>
              <w:bottom w:val="single" w:sz="8" w:color="582C83"/>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20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Jorge S. Mesquita</w:t>
            </w:r>
          </w:p>
        </w:tc>
        <w:tc>
          <w:tcPr>
            <w:tcW w:w="1460" w:type="dxa"/>
            <w:vAlign w:val="bottom"/>
            <w:tcBorders>
              <w:bottom w:val="single" w:sz="8" w:color="582C83"/>
            </w:tcBorders>
            <w:shd w:val="clear" w:color="auto" w:fill="E0DBEA"/>
          </w:tcPr>
          <w:p>
            <w:pPr>
              <w:spacing w:after="0"/>
              <w:rPr>
                <w:sz w:val="17"/>
                <w:szCs w:val="17"/>
                <w:color w:val="auto"/>
              </w:rPr>
            </w:pPr>
          </w:p>
        </w:tc>
        <w:tc>
          <w:tcPr>
            <w:tcW w:w="1360" w:type="dxa"/>
            <w:vAlign w:val="bottom"/>
            <w:tcBorders>
              <w:bottom w:val="single" w:sz="8" w:color="582C83"/>
            </w:tcBorders>
            <w:shd w:val="clear" w:color="auto" w:fill="E0DBEA"/>
          </w:tcPr>
          <w:p>
            <w:pPr>
              <w:spacing w:after="0"/>
              <w:rPr>
                <w:sz w:val="17"/>
                <w:szCs w:val="17"/>
                <w:color w:val="auto"/>
              </w:rPr>
            </w:pPr>
          </w:p>
        </w:tc>
        <w:tc>
          <w:tcPr>
            <w:tcW w:w="1620" w:type="dxa"/>
            <w:vAlign w:val="bottom"/>
            <w:tcBorders>
              <w:bottom w:val="single" w:sz="8" w:color="582C83"/>
            </w:tcBorders>
            <w:shd w:val="clear" w:color="auto" w:fill="E0DBEA"/>
          </w:tcPr>
          <w:p>
            <w:pPr>
              <w:spacing w:after="0"/>
              <w:rPr>
                <w:sz w:val="17"/>
                <w:szCs w:val="17"/>
                <w:color w:val="auto"/>
              </w:rPr>
            </w:pPr>
          </w:p>
        </w:tc>
        <w:tc>
          <w:tcPr>
            <w:tcW w:w="1400" w:type="dxa"/>
            <w:vAlign w:val="bottom"/>
            <w:tcBorders>
              <w:bottom w:val="single" w:sz="8" w:color="582C83"/>
            </w:tcBorders>
            <w:shd w:val="clear" w:color="auto" w:fill="E0DBEA"/>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Jane Hamilton Nielsen</w:t>
            </w:r>
          </w:p>
        </w:tc>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200" w:type="dxa"/>
            <w:vAlign w:val="bottom"/>
            <w:tcBorders>
              <w:bottom w:val="single" w:sz="8" w:color="582C83"/>
            </w:tcBorders>
          </w:tcPr>
          <w:p>
            <w:pPr>
              <w:spacing w:after="0"/>
              <w:rPr>
                <w:sz w:val="2"/>
                <w:szCs w:val="2"/>
                <w:color w:val="auto"/>
              </w:rPr>
            </w:pPr>
          </w:p>
        </w:tc>
        <w:tc>
          <w:tcPr>
            <w:tcW w:w="1460" w:type="dxa"/>
            <w:vAlign w:val="bottom"/>
            <w:tcBorders>
              <w:bottom w:val="single" w:sz="8" w:color="582C83"/>
            </w:tcBorders>
          </w:tcPr>
          <w:p>
            <w:pPr>
              <w:spacing w:after="0"/>
              <w:rPr>
                <w:sz w:val="2"/>
                <w:szCs w:val="2"/>
                <w:color w:val="auto"/>
              </w:rPr>
            </w:pPr>
          </w:p>
        </w:tc>
        <w:tc>
          <w:tcPr>
            <w:tcW w:w="1360" w:type="dxa"/>
            <w:vAlign w:val="bottom"/>
            <w:tcBorders>
              <w:bottom w:val="single" w:sz="8" w:color="582C83"/>
            </w:tcBorders>
          </w:tcPr>
          <w:p>
            <w:pPr>
              <w:spacing w:after="0"/>
              <w:rPr>
                <w:sz w:val="2"/>
                <w:szCs w:val="2"/>
                <w:color w:val="auto"/>
              </w:rPr>
            </w:pPr>
          </w:p>
        </w:tc>
        <w:tc>
          <w:tcPr>
            <w:tcW w:w="1620" w:type="dxa"/>
            <w:vAlign w:val="bottom"/>
            <w:tcBorders>
              <w:bottom w:val="single" w:sz="8" w:color="582C83"/>
            </w:tcBorders>
          </w:tcPr>
          <w:p>
            <w:pPr>
              <w:spacing w:after="0"/>
              <w:rPr>
                <w:sz w:val="2"/>
                <w:szCs w:val="2"/>
                <w:color w:val="auto"/>
              </w:rPr>
            </w:pPr>
          </w:p>
        </w:tc>
        <w:tc>
          <w:tcPr>
            <w:tcW w:w="1400" w:type="dxa"/>
            <w:vAlign w:val="bottom"/>
            <w:tcBorders>
              <w:bottom w:val="single" w:sz="8" w:color="582C83"/>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0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Paula A. Price</w:t>
            </w:r>
          </w:p>
        </w:tc>
        <w:tc>
          <w:tcPr>
            <w:tcW w:w="1460" w:type="dxa"/>
            <w:vAlign w:val="bottom"/>
            <w:tcBorders>
              <w:bottom w:val="single" w:sz="8" w:color="582C83"/>
            </w:tcBorders>
            <w:shd w:val="clear" w:color="auto" w:fill="E0DBEA"/>
          </w:tcPr>
          <w:p>
            <w:pPr>
              <w:spacing w:after="0"/>
              <w:rPr>
                <w:sz w:val="17"/>
                <w:szCs w:val="17"/>
                <w:color w:val="auto"/>
              </w:rPr>
            </w:pPr>
          </w:p>
        </w:tc>
        <w:tc>
          <w:tcPr>
            <w:tcW w:w="1360" w:type="dxa"/>
            <w:vAlign w:val="bottom"/>
            <w:tcBorders>
              <w:bottom w:val="single" w:sz="8" w:color="582C83"/>
            </w:tcBorders>
            <w:shd w:val="clear" w:color="auto" w:fill="E0DBEA"/>
          </w:tcPr>
          <w:p>
            <w:pPr>
              <w:spacing w:after="0"/>
              <w:rPr>
                <w:sz w:val="17"/>
                <w:szCs w:val="17"/>
                <w:color w:val="auto"/>
              </w:rPr>
            </w:pPr>
          </w:p>
        </w:tc>
        <w:tc>
          <w:tcPr>
            <w:tcW w:w="1620" w:type="dxa"/>
            <w:vAlign w:val="bottom"/>
            <w:tcBorders>
              <w:bottom w:val="single" w:sz="8" w:color="582C83"/>
            </w:tcBorders>
            <w:shd w:val="clear" w:color="auto" w:fill="E0DBEA"/>
          </w:tcPr>
          <w:p>
            <w:pPr>
              <w:spacing w:after="0"/>
              <w:rPr>
                <w:sz w:val="17"/>
                <w:szCs w:val="17"/>
                <w:color w:val="auto"/>
              </w:rPr>
            </w:pPr>
          </w:p>
        </w:tc>
        <w:tc>
          <w:tcPr>
            <w:tcW w:w="1400" w:type="dxa"/>
            <w:vAlign w:val="bottom"/>
            <w:tcBorders>
              <w:bottom w:val="single" w:sz="8" w:color="582C83"/>
            </w:tcBorders>
            <w:shd w:val="clear" w:color="auto" w:fill="E0DBEA"/>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Patrick T. Siewert</w:t>
            </w:r>
          </w:p>
        </w:tc>
        <w:tc>
          <w:tcPr>
            <w:tcW w:w="1460" w:type="dxa"/>
            <w:vAlign w:val="bottom"/>
          </w:tcPr>
          <w:p>
            <w:pPr>
              <w:jc w:val="right"/>
              <w:ind w:right="62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505"/>
              <w:spacing w:after="0"/>
              <w:rPr>
                <w:sz w:val="20"/>
                <w:szCs w:val="20"/>
                <w:color w:val="auto"/>
              </w:rPr>
            </w:pPr>
            <w:r>
              <w:rPr>
                <w:rFonts w:ascii="Arial" w:cs="Arial" w:eastAsia="Arial" w:hAnsi="Arial"/>
                <w:sz w:val="17"/>
                <w:szCs w:val="17"/>
                <w:color w:val="auto"/>
              </w:rPr>
              <w:t>+</w:t>
            </w:r>
          </w:p>
        </w:tc>
        <w:tc>
          <w:tcPr>
            <w:tcW w:w="1620" w:type="dxa"/>
            <w:vAlign w:val="bottom"/>
          </w:tcPr>
          <w:p>
            <w:pPr>
              <w:spacing w:after="0"/>
              <w:rPr>
                <w:sz w:val="20"/>
                <w:szCs w:val="20"/>
                <w:color w:val="auto"/>
              </w:rPr>
            </w:pPr>
          </w:p>
        </w:tc>
        <w:tc>
          <w:tcPr>
            <w:tcW w:w="1400" w:type="dxa"/>
            <w:vAlign w:val="bottom"/>
          </w:tcPr>
          <w:p>
            <w:pPr>
              <w:jc w:val="right"/>
              <w:ind w:right="58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582C83"/>
            </w:tcBorders>
          </w:tcPr>
          <w:p>
            <w:pPr>
              <w:spacing w:after="0"/>
              <w:rPr>
                <w:sz w:val="2"/>
                <w:szCs w:val="2"/>
                <w:color w:val="auto"/>
              </w:rPr>
            </w:pPr>
          </w:p>
        </w:tc>
        <w:tc>
          <w:tcPr>
            <w:tcW w:w="1460" w:type="dxa"/>
            <w:vAlign w:val="bottom"/>
            <w:tcBorders>
              <w:bottom w:val="single" w:sz="8" w:color="582C83"/>
            </w:tcBorders>
          </w:tcPr>
          <w:p>
            <w:pPr>
              <w:spacing w:after="0"/>
              <w:rPr>
                <w:sz w:val="2"/>
                <w:szCs w:val="2"/>
                <w:color w:val="auto"/>
              </w:rPr>
            </w:pPr>
          </w:p>
        </w:tc>
        <w:tc>
          <w:tcPr>
            <w:tcW w:w="1360" w:type="dxa"/>
            <w:vAlign w:val="bottom"/>
            <w:tcBorders>
              <w:bottom w:val="single" w:sz="8" w:color="582C83"/>
            </w:tcBorders>
          </w:tcPr>
          <w:p>
            <w:pPr>
              <w:spacing w:after="0"/>
              <w:rPr>
                <w:sz w:val="2"/>
                <w:szCs w:val="2"/>
                <w:color w:val="auto"/>
              </w:rPr>
            </w:pPr>
          </w:p>
        </w:tc>
        <w:tc>
          <w:tcPr>
            <w:tcW w:w="1620" w:type="dxa"/>
            <w:vAlign w:val="bottom"/>
            <w:tcBorders>
              <w:bottom w:val="single" w:sz="8" w:color="582C83"/>
            </w:tcBorders>
          </w:tcPr>
          <w:p>
            <w:pPr>
              <w:spacing w:after="0"/>
              <w:rPr>
                <w:sz w:val="2"/>
                <w:szCs w:val="2"/>
                <w:color w:val="auto"/>
              </w:rPr>
            </w:pPr>
          </w:p>
        </w:tc>
        <w:tc>
          <w:tcPr>
            <w:tcW w:w="1400" w:type="dxa"/>
            <w:vAlign w:val="bottom"/>
            <w:tcBorders>
              <w:bottom w:val="single" w:sz="8" w:color="582C83"/>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E0DBEA"/>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Michael A. Todman</w:t>
            </w:r>
          </w:p>
        </w:tc>
        <w:tc>
          <w:tcPr>
            <w:tcW w:w="1460" w:type="dxa"/>
            <w:vAlign w:val="bottom"/>
            <w:tcBorders>
              <w:bottom w:val="single" w:sz="8" w:color="E0DBEA"/>
            </w:tcBorders>
            <w:shd w:val="clear" w:color="auto" w:fill="E0DBEA"/>
          </w:tcPr>
          <w:p>
            <w:pPr>
              <w:spacing w:after="0"/>
              <w:rPr>
                <w:sz w:val="22"/>
                <w:szCs w:val="22"/>
                <w:color w:val="auto"/>
              </w:rPr>
            </w:pPr>
          </w:p>
        </w:tc>
        <w:tc>
          <w:tcPr>
            <w:tcW w:w="1360" w:type="dxa"/>
            <w:vAlign w:val="bottom"/>
            <w:tcBorders>
              <w:bottom w:val="single" w:sz="8" w:color="E0DBEA"/>
            </w:tcBorders>
            <w:shd w:val="clear" w:color="auto" w:fill="E0DBEA"/>
          </w:tcPr>
          <w:p>
            <w:pPr>
              <w:spacing w:after="0"/>
              <w:rPr>
                <w:sz w:val="22"/>
                <w:szCs w:val="22"/>
                <w:color w:val="auto"/>
              </w:rPr>
            </w:pPr>
          </w:p>
        </w:tc>
        <w:tc>
          <w:tcPr>
            <w:tcW w:w="1620" w:type="dxa"/>
            <w:vAlign w:val="bottom"/>
            <w:tcBorders>
              <w:bottom w:val="single" w:sz="8" w:color="E0DBEA"/>
            </w:tcBorders>
            <w:shd w:val="clear" w:color="auto" w:fill="E0DBEA"/>
          </w:tcPr>
          <w:p>
            <w:pPr>
              <w:spacing w:after="0"/>
              <w:rPr>
                <w:sz w:val="22"/>
                <w:szCs w:val="22"/>
                <w:color w:val="auto"/>
              </w:rPr>
            </w:pPr>
          </w:p>
        </w:tc>
        <w:tc>
          <w:tcPr>
            <w:tcW w:w="1400" w:type="dxa"/>
            <w:vAlign w:val="bottom"/>
            <w:tcBorders>
              <w:bottom w:val="single" w:sz="8" w:color="E0DBEA"/>
            </w:tcBorders>
            <w:shd w:val="clear" w:color="auto" w:fill="E0DBEA"/>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3200" w:type="dxa"/>
            <w:vAlign w:val="bottom"/>
            <w:tcBorders>
              <w:top w:val="single" w:sz="8" w:color="582C83"/>
            </w:tcBorders>
          </w:tcPr>
          <w:p>
            <w:pPr>
              <w:ind w:left="60"/>
              <w:spacing w:after="0"/>
              <w:rPr>
                <w:sz w:val="20"/>
                <w:szCs w:val="20"/>
                <w:color w:val="auto"/>
              </w:rPr>
            </w:pPr>
            <w:r>
              <w:rPr>
                <w:rFonts w:ascii="Arial" w:cs="Arial" w:eastAsia="Arial" w:hAnsi="Arial"/>
                <w:sz w:val="14"/>
                <w:szCs w:val="14"/>
                <w:b w:val="1"/>
                <w:bCs w:val="1"/>
                <w:color w:val="582C83"/>
              </w:rPr>
              <w:t>Total Number of Committee Meetings</w:t>
            </w:r>
          </w:p>
        </w:tc>
        <w:tc>
          <w:tcPr>
            <w:tcW w:w="1460" w:type="dxa"/>
            <w:vAlign w:val="bottom"/>
            <w:tcBorders>
              <w:top w:val="single" w:sz="8" w:color="582C83"/>
            </w:tcBorders>
            <w:vMerge w:val="restart"/>
          </w:tcPr>
          <w:p>
            <w:pPr>
              <w:jc w:val="right"/>
              <w:ind w:right="625"/>
              <w:spacing w:after="0"/>
              <w:rPr>
                <w:sz w:val="20"/>
                <w:szCs w:val="20"/>
                <w:color w:val="auto"/>
              </w:rPr>
            </w:pPr>
            <w:r>
              <w:rPr>
                <w:rFonts w:ascii="Arial" w:cs="Arial" w:eastAsia="Arial" w:hAnsi="Arial"/>
                <w:sz w:val="14"/>
                <w:szCs w:val="14"/>
                <w:b w:val="1"/>
                <w:bCs w:val="1"/>
                <w:color w:val="582C83"/>
              </w:rPr>
              <w:t>9</w:t>
            </w:r>
          </w:p>
        </w:tc>
        <w:tc>
          <w:tcPr>
            <w:tcW w:w="1360" w:type="dxa"/>
            <w:vAlign w:val="bottom"/>
            <w:tcBorders>
              <w:top w:val="single" w:sz="8" w:color="582C83"/>
            </w:tcBorders>
            <w:vMerge w:val="restart"/>
          </w:tcPr>
          <w:p>
            <w:pPr>
              <w:jc w:val="right"/>
              <w:ind w:right="525"/>
              <w:spacing w:after="0"/>
              <w:rPr>
                <w:sz w:val="20"/>
                <w:szCs w:val="20"/>
                <w:color w:val="auto"/>
              </w:rPr>
            </w:pPr>
            <w:r>
              <w:rPr>
                <w:rFonts w:ascii="Arial" w:cs="Arial" w:eastAsia="Arial" w:hAnsi="Arial"/>
                <w:sz w:val="14"/>
                <w:szCs w:val="14"/>
                <w:b w:val="1"/>
                <w:bCs w:val="1"/>
                <w:color w:val="582C83"/>
              </w:rPr>
              <w:t>2</w:t>
            </w:r>
          </w:p>
        </w:tc>
        <w:tc>
          <w:tcPr>
            <w:tcW w:w="1620" w:type="dxa"/>
            <w:vAlign w:val="bottom"/>
            <w:tcBorders>
              <w:top w:val="single" w:sz="8" w:color="582C83"/>
            </w:tcBorders>
            <w:vMerge w:val="restart"/>
          </w:tcPr>
          <w:p>
            <w:pPr>
              <w:jc w:val="center"/>
              <w:spacing w:after="0"/>
              <w:rPr>
                <w:sz w:val="20"/>
                <w:szCs w:val="20"/>
                <w:color w:val="auto"/>
              </w:rPr>
            </w:pPr>
            <w:r>
              <w:rPr>
                <w:rFonts w:ascii="Arial" w:cs="Arial" w:eastAsia="Arial" w:hAnsi="Arial"/>
                <w:sz w:val="14"/>
                <w:szCs w:val="14"/>
                <w:b w:val="1"/>
                <w:bCs w:val="1"/>
                <w:color w:val="582C83"/>
              </w:rPr>
              <w:t>6</w:t>
            </w:r>
          </w:p>
        </w:tc>
        <w:tc>
          <w:tcPr>
            <w:tcW w:w="1400" w:type="dxa"/>
            <w:vAlign w:val="bottom"/>
            <w:tcBorders>
              <w:top w:val="single" w:sz="8" w:color="582C83"/>
            </w:tcBorders>
            <w:vMerge w:val="restart"/>
          </w:tcPr>
          <w:p>
            <w:pPr>
              <w:jc w:val="right"/>
              <w:ind w:right="585"/>
              <w:spacing w:after="0"/>
              <w:rPr>
                <w:sz w:val="20"/>
                <w:szCs w:val="20"/>
                <w:color w:val="auto"/>
              </w:rPr>
            </w:pPr>
            <w:r>
              <w:rPr>
                <w:rFonts w:ascii="Arial" w:cs="Arial" w:eastAsia="Arial" w:hAnsi="Arial"/>
                <w:sz w:val="14"/>
                <w:szCs w:val="14"/>
                <w:b w:val="1"/>
                <w:bCs w:val="1"/>
                <w:color w:val="582C83"/>
              </w:rPr>
              <w:t>6</w:t>
            </w:r>
          </w:p>
        </w:tc>
        <w:tc>
          <w:tcPr>
            <w:tcW w:w="0" w:type="dxa"/>
            <w:vAlign w:val="bottom"/>
          </w:tcPr>
          <w:p>
            <w:pPr>
              <w:spacing w:after="0"/>
              <w:rPr>
                <w:sz w:val="1"/>
                <w:szCs w:val="1"/>
                <w:color w:val="auto"/>
              </w:rPr>
            </w:pPr>
          </w:p>
        </w:tc>
      </w:tr>
      <w:tr>
        <w:trPr>
          <w:trHeight w:val="102"/>
        </w:trPr>
        <w:tc>
          <w:tcPr>
            <w:tcW w:w="3200" w:type="dxa"/>
            <w:vAlign w:val="bottom"/>
            <w:vMerge w:val="restart"/>
          </w:tcPr>
          <w:p>
            <w:pPr>
              <w:ind w:left="60"/>
              <w:spacing w:after="0"/>
              <w:rPr>
                <w:sz w:val="20"/>
                <w:szCs w:val="20"/>
                <w:color w:val="auto"/>
              </w:rPr>
            </w:pPr>
            <w:r>
              <w:rPr>
                <w:rFonts w:ascii="Arial" w:cs="Arial" w:eastAsia="Arial" w:hAnsi="Arial"/>
                <w:sz w:val="14"/>
                <w:szCs w:val="14"/>
                <w:b w:val="1"/>
                <w:bCs w:val="1"/>
                <w:color w:val="582C83"/>
              </w:rPr>
              <w:t>During 2025</w:t>
            </w:r>
          </w:p>
        </w:tc>
        <w:tc>
          <w:tcPr>
            <w:tcW w:w="14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3200" w:type="dxa"/>
            <w:vAlign w:val="bottom"/>
            <w:tcBorders>
              <w:bottom w:val="single" w:sz="8" w:color="582C83"/>
            </w:tcBorders>
            <w:vMerge w:val="continue"/>
          </w:tcPr>
          <w:p>
            <w:pPr>
              <w:spacing w:after="0"/>
              <w:rPr>
                <w:sz w:val="7"/>
                <w:szCs w:val="7"/>
                <w:color w:val="auto"/>
              </w:rPr>
            </w:pPr>
          </w:p>
        </w:tc>
        <w:tc>
          <w:tcPr>
            <w:tcW w:w="1460" w:type="dxa"/>
            <w:vAlign w:val="bottom"/>
            <w:tcBorders>
              <w:bottom w:val="single" w:sz="8" w:color="582C83"/>
            </w:tcBorders>
          </w:tcPr>
          <w:p>
            <w:pPr>
              <w:spacing w:after="0"/>
              <w:rPr>
                <w:sz w:val="7"/>
                <w:szCs w:val="7"/>
                <w:color w:val="auto"/>
              </w:rPr>
            </w:pPr>
          </w:p>
        </w:tc>
        <w:tc>
          <w:tcPr>
            <w:tcW w:w="1360" w:type="dxa"/>
            <w:vAlign w:val="bottom"/>
            <w:tcBorders>
              <w:bottom w:val="single" w:sz="8" w:color="582C83"/>
            </w:tcBorders>
          </w:tcPr>
          <w:p>
            <w:pPr>
              <w:spacing w:after="0"/>
              <w:rPr>
                <w:sz w:val="7"/>
                <w:szCs w:val="7"/>
                <w:color w:val="auto"/>
              </w:rPr>
            </w:pPr>
          </w:p>
        </w:tc>
        <w:tc>
          <w:tcPr>
            <w:tcW w:w="1620" w:type="dxa"/>
            <w:vAlign w:val="bottom"/>
            <w:tcBorders>
              <w:bottom w:val="single" w:sz="8" w:color="582C83"/>
            </w:tcBorders>
          </w:tcPr>
          <w:p>
            <w:pPr>
              <w:spacing w:after="0"/>
              <w:rPr>
                <w:sz w:val="7"/>
                <w:szCs w:val="7"/>
                <w:color w:val="auto"/>
              </w:rPr>
            </w:pPr>
          </w:p>
        </w:tc>
        <w:tc>
          <w:tcPr>
            <w:tcW w:w="1400" w:type="dxa"/>
            <w:vAlign w:val="bottom"/>
            <w:tcBorders>
              <w:bottom w:val="single" w:sz="8" w:color="582C83"/>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40" w:hanging="133"/>
        <w:spacing w:after="0"/>
        <w:tabs>
          <w:tab w:leader="none" w:pos="140" w:val="left"/>
        </w:tabs>
        <w:numPr>
          <w:ilvl w:val="0"/>
          <w:numId w:val="50"/>
        </w:numPr>
        <w:rPr>
          <w:rFonts w:ascii="Arial" w:cs="Arial" w:eastAsia="Arial" w:hAnsi="Arial"/>
          <w:sz w:val="16"/>
          <w:szCs w:val="16"/>
          <w:color w:val="auto"/>
        </w:rPr>
      </w:pPr>
      <w:r>
        <w:rPr>
          <w:rFonts w:ascii="Arial" w:cs="Arial" w:eastAsia="Arial" w:hAnsi="Arial"/>
          <w:sz w:val="13"/>
          <w:szCs w:val="13"/>
          <w:color w:val="auto"/>
        </w:rPr>
        <w:t>Lead Independent Director and serves as an alternate member of such Board committees as designated by the Board.</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Member</w:t>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46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35052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10375" cy="350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60"/>
        <w:spacing w:after="0"/>
        <w:rPr>
          <w:sz w:val="20"/>
          <w:szCs w:val="20"/>
          <w:color w:val="auto"/>
        </w:rPr>
      </w:pPr>
      <w:r>
        <w:rPr>
          <w:rFonts w:ascii="Arial" w:cs="Arial" w:eastAsia="Arial" w:hAnsi="Arial"/>
          <w:sz w:val="21"/>
          <w:szCs w:val="21"/>
          <w:b w:val="1"/>
          <w:bCs w:val="1"/>
          <w:color w:val="auto"/>
        </w:rPr>
        <w:t>BOARD COMMITTEES AND MEMBERSHIP</w:t>
      </w:r>
    </w:p>
    <w:p>
      <w:pPr>
        <w:spacing w:after="0" w:line="48" w:lineRule="exact"/>
        <w:rPr>
          <w:sz w:val="20"/>
          <w:szCs w:val="20"/>
          <w:color w:val="auto"/>
        </w:rPr>
      </w:pPr>
    </w:p>
    <w:p>
      <w:pPr>
        <w:ind w:left="7940"/>
        <w:spacing w:after="0"/>
        <w:rPr>
          <w:sz w:val="20"/>
          <w:szCs w:val="20"/>
          <w:color w:val="auto"/>
        </w:rPr>
      </w:pPr>
      <w:r>
        <w:rPr>
          <w:rFonts w:ascii="Arial" w:cs="Arial" w:eastAsia="Arial" w:hAnsi="Arial"/>
          <w:sz w:val="14"/>
          <w:szCs w:val="14"/>
          <w:color w:val="auto"/>
        </w:rPr>
        <w:t>Audit Committee</w:t>
      </w: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25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9"/>
          <w:szCs w:val="29"/>
          <w:b w:val="1"/>
          <w:bCs w:val="1"/>
          <w:color w:val="auto"/>
        </w:rPr>
        <w:t xml:space="preserve"> AUDIT COMMITTEE</w:t>
      </w:r>
    </w:p>
    <w:p>
      <w:pPr>
        <w:spacing w:after="0" w:line="124"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The Board has determined that all of the Audit Committee members meet the enhanced test of independence prescribed by the Nasdaq listing standards and SEC rules. The Board also has determined that director nominees Cees ‘t Hart, Jane Hamilton Nielsen, Paula A. Price, and Patrick T. Siewert each qualify as “audit committee financial experts” within the meaning of SEC regulations and have financial sophistication in accordance with Nasdaq listing standards. No Audit Committee member received any payments in 2025 from Mondelēz International other than compensation for service as a director.</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RESPONSIBILITIES</w:t>
      </w:r>
    </w:p>
    <w:p>
      <w:pPr>
        <w:spacing w:after="0" w:line="118"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Under its charter, the Audit Committee is responsible for overseeing our accounting and financial reporting processes and audits of our financial statements. The Audit Committee is directly responsible for the appointment, compensation, retention, and oversight of our independent registered public accountants.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Among other duties, the Audit Committee also oversees:</w:t>
      </w:r>
    </w:p>
    <w:p>
      <w:pPr>
        <w:spacing w:after="0" w:line="129" w:lineRule="exact"/>
        <w:rPr>
          <w:sz w:val="20"/>
          <w:szCs w:val="20"/>
          <w:color w:val="auto"/>
        </w:rPr>
      </w:pPr>
    </w:p>
    <w:p>
      <w:pPr>
        <w:ind w:left="140" w:hanging="133"/>
        <w:spacing w:after="0"/>
        <w:tabs>
          <w:tab w:leader="none" w:pos="140" w:val="left"/>
        </w:tabs>
        <w:numPr>
          <w:ilvl w:val="0"/>
          <w:numId w:val="51"/>
        </w:numPr>
        <w:rPr>
          <w:rFonts w:ascii="Arial" w:cs="Arial" w:eastAsia="Arial" w:hAnsi="Arial"/>
          <w:sz w:val="17"/>
          <w:szCs w:val="17"/>
          <w:color w:val="582C83"/>
        </w:rPr>
      </w:pPr>
      <w:r>
        <w:rPr>
          <w:rFonts w:ascii="Arial" w:cs="Arial" w:eastAsia="Arial" w:hAnsi="Arial"/>
          <w:sz w:val="17"/>
          <w:szCs w:val="17"/>
          <w:color w:val="auto"/>
        </w:rPr>
        <w:t>the oversight of sustainability-related disclosure in SEC filings, including controls and assurance;</w:t>
      </w:r>
    </w:p>
    <w:p>
      <w:pPr>
        <w:sectPr>
          <w:pgSz w:w="11900" w:h="16838" w:orient="portrait"/>
          <w:cols w:equalWidth="0" w:num="1">
            <w:col w:w="9040"/>
          </w:cols>
          <w:pgMar w:left="1420" w:top="104" w:right="1439" w:bottom="0" w:gutter="0" w:footer="0" w:header="0"/>
        </w:sectPr>
      </w:pPr>
    </w:p>
    <w:bookmarkStart w:id="42" w:name="page43"/>
    <w:bookmarkEnd w:id="42"/>
    <w:p>
      <w:pPr>
        <w:spacing w:after="0" w:line="37" w:lineRule="exact"/>
        <w:rPr>
          <w:sz w:val="20"/>
          <w:szCs w:val="20"/>
          <w:color w:val="auto"/>
        </w:rPr>
      </w:pPr>
    </w:p>
    <w:p>
      <w:pPr>
        <w:ind w:left="140" w:right="120" w:hanging="133"/>
        <w:spacing w:after="0" w:line="212" w:lineRule="auto"/>
        <w:tabs>
          <w:tab w:leader="none" w:pos="140" w:val="left"/>
        </w:tabs>
        <w:numPr>
          <w:ilvl w:val="0"/>
          <w:numId w:val="52"/>
        </w:numPr>
        <w:rPr>
          <w:rFonts w:ascii="Arial" w:cs="Arial" w:eastAsia="Arial" w:hAnsi="Arial"/>
          <w:sz w:val="17"/>
          <w:szCs w:val="17"/>
          <w:color w:val="582C83"/>
        </w:rPr>
      </w:pPr>
      <w:r>
        <w:rPr>
          <w:rFonts w:ascii="Arial" w:cs="Arial" w:eastAsia="Arial" w:hAnsi="Arial"/>
          <w:sz w:val="17"/>
          <w:szCs w:val="17"/>
          <w:color w:val="auto"/>
        </w:rPr>
        <w:t>the integrity of our financial statements and our accounting and financial reporting processes and systems of internal control over financial reporting and safeguarding our assets;</w:t>
      </w:r>
    </w:p>
    <w:p>
      <w:pPr>
        <w:spacing w:after="0" w:line="32" w:lineRule="exact"/>
        <w:rPr>
          <w:rFonts w:ascii="Arial" w:cs="Arial" w:eastAsia="Arial" w:hAnsi="Arial"/>
          <w:sz w:val="17"/>
          <w:szCs w:val="17"/>
          <w:color w:val="582C83"/>
        </w:rPr>
      </w:pPr>
    </w:p>
    <w:p>
      <w:pPr>
        <w:ind w:left="140" w:hanging="133"/>
        <w:spacing w:after="0"/>
        <w:tabs>
          <w:tab w:leader="none" w:pos="140" w:val="left"/>
        </w:tabs>
        <w:numPr>
          <w:ilvl w:val="0"/>
          <w:numId w:val="52"/>
        </w:numPr>
        <w:rPr>
          <w:rFonts w:ascii="Arial" w:cs="Arial" w:eastAsia="Arial" w:hAnsi="Arial"/>
          <w:sz w:val="17"/>
          <w:szCs w:val="17"/>
          <w:color w:val="582C83"/>
        </w:rPr>
      </w:pPr>
      <w:r>
        <w:rPr>
          <w:rFonts w:ascii="Arial" w:cs="Arial" w:eastAsia="Arial" w:hAnsi="Arial"/>
          <w:sz w:val="17"/>
          <w:szCs w:val="17"/>
          <w:color w:val="auto"/>
        </w:rPr>
        <w:t>our compliance with legal and regulatory requirements;</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52"/>
        </w:numPr>
        <w:rPr>
          <w:rFonts w:ascii="Arial" w:cs="Arial" w:eastAsia="Arial" w:hAnsi="Arial"/>
          <w:sz w:val="17"/>
          <w:szCs w:val="17"/>
          <w:color w:val="582C83"/>
        </w:rPr>
      </w:pPr>
      <w:r>
        <w:rPr>
          <w:rFonts w:ascii="Arial" w:cs="Arial" w:eastAsia="Arial" w:hAnsi="Arial"/>
          <w:sz w:val="17"/>
          <w:szCs w:val="17"/>
          <w:color w:val="auto"/>
        </w:rPr>
        <w:t>our independent auditors’ qualifications, independence, and performance;</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52"/>
        </w:numPr>
        <w:rPr>
          <w:rFonts w:ascii="Arial" w:cs="Arial" w:eastAsia="Arial" w:hAnsi="Arial"/>
          <w:sz w:val="17"/>
          <w:szCs w:val="17"/>
          <w:color w:val="582C83"/>
        </w:rPr>
      </w:pPr>
      <w:r>
        <w:rPr>
          <w:rFonts w:ascii="Arial" w:cs="Arial" w:eastAsia="Arial" w:hAnsi="Arial"/>
          <w:sz w:val="17"/>
          <w:szCs w:val="17"/>
          <w:color w:val="auto"/>
        </w:rPr>
        <w:t>the performance of our internal auditors and internal audit function;</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52"/>
        </w:numPr>
        <w:rPr>
          <w:rFonts w:ascii="Arial" w:cs="Arial" w:eastAsia="Arial" w:hAnsi="Arial"/>
          <w:sz w:val="17"/>
          <w:szCs w:val="17"/>
          <w:color w:val="582C83"/>
        </w:rPr>
      </w:pPr>
      <w:r>
        <w:rPr>
          <w:rFonts w:ascii="Arial" w:cs="Arial" w:eastAsia="Arial" w:hAnsi="Arial"/>
          <w:sz w:val="17"/>
          <w:szCs w:val="17"/>
          <w:color w:val="auto"/>
        </w:rPr>
        <w:t>our artificial intelligence, technology, cybersecurity, and data protection risk, including risk mitigation;</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52"/>
        </w:numPr>
        <w:rPr>
          <w:rFonts w:ascii="Arial" w:cs="Arial" w:eastAsia="Arial" w:hAnsi="Arial"/>
          <w:sz w:val="17"/>
          <w:szCs w:val="17"/>
          <w:color w:val="582C83"/>
        </w:rPr>
      </w:pPr>
      <w:r>
        <w:rPr>
          <w:rFonts w:ascii="Arial" w:cs="Arial" w:eastAsia="Arial" w:hAnsi="Arial"/>
          <w:sz w:val="17"/>
          <w:szCs w:val="17"/>
          <w:color w:val="auto"/>
        </w:rPr>
        <w:t>our health, safety, and environmental priorities, goals, and performances; and</w:t>
      </w:r>
    </w:p>
    <w:p>
      <w:pPr>
        <w:spacing w:after="0" w:line="74" w:lineRule="exact"/>
        <w:rPr>
          <w:rFonts w:ascii="Arial" w:cs="Arial" w:eastAsia="Arial" w:hAnsi="Arial"/>
          <w:sz w:val="17"/>
          <w:szCs w:val="17"/>
          <w:color w:val="582C83"/>
        </w:rPr>
      </w:pPr>
    </w:p>
    <w:p>
      <w:pPr>
        <w:ind w:left="140" w:hanging="133"/>
        <w:spacing w:after="0"/>
        <w:tabs>
          <w:tab w:leader="none" w:pos="140" w:val="left"/>
        </w:tabs>
        <w:numPr>
          <w:ilvl w:val="0"/>
          <w:numId w:val="52"/>
        </w:numPr>
        <w:rPr>
          <w:rFonts w:ascii="Arial" w:cs="Arial" w:eastAsia="Arial" w:hAnsi="Arial"/>
          <w:sz w:val="17"/>
          <w:szCs w:val="17"/>
          <w:color w:val="582C83"/>
        </w:rPr>
      </w:pPr>
      <w:r>
        <w:rPr>
          <w:rFonts w:ascii="Arial" w:cs="Arial" w:eastAsia="Arial" w:hAnsi="Arial"/>
          <w:sz w:val="17"/>
          <w:szCs w:val="17"/>
          <w:color w:val="auto"/>
        </w:rPr>
        <w:t>our guidelines and policies with respect to risk assessment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-1163955</wp:posOffset>
            </wp:positionV>
            <wp:extent cx="6810375" cy="5351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10375" cy="5351145"/>
                    </a:xfrm>
                    <a:prstGeom prst="rect">
                      <a:avLst/>
                    </a:prstGeom>
                    <a:noFill/>
                  </pic:spPr>
                </pic:pic>
              </a:graphicData>
            </a:graphic>
          </wp:anchor>
        </w:drawing>
      </w:r>
    </w:p>
    <w:p>
      <w:pPr>
        <w:spacing w:after="0" w:line="10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Chief Ethics &amp; Compliance Officer provides an annual report to the Audit Committee on the overall implementation and effectiveness of Mondelēz International’s Compliance program and provides quarterly updates to the Audit Committee on Code of Conduct compliance, investigation trends, and training activities. The Chief Ethics &amp; Compliance Officer also provides an annual report to the PCC on workplace compliance-related matters. The Chief Ethics &amp; Compliance Officer reports to the EVP, Corporate &amp; Legal Affairs, General Counsel and Corporate Secretary and has the authority to communicate directly with the Audit Committee regarding alleged or actual violations, if any, of the Code of Conduct.</w:t>
      </w:r>
    </w:p>
    <w:p>
      <w:pPr>
        <w:spacing w:after="0" w:line="70"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 xml:space="preserve">The Audit Committee has established procedures for the receipt, retention, and treatment, on a confidential basis, of any complaints we receive. We encourage employees and third-party individuals and organizations to report concerns about our accounting controls, auditing matters, or anything else that appears to involve financial or other wrongdoing. To report such matters, please visit </w:t>
      </w:r>
      <w:r>
        <w:rPr>
          <w:rFonts w:ascii="Arial" w:cs="Arial" w:eastAsia="Arial" w:hAnsi="Arial"/>
          <w:sz w:val="17"/>
          <w:szCs w:val="17"/>
          <w:b w:val="1"/>
          <w:bCs w:val="1"/>
          <w:i w:val="1"/>
          <w:iCs w:val="1"/>
          <w:color w:val="582C83"/>
        </w:rPr>
        <w:t>www.mondelezinternational.com/investors/corporate-governance</w:t>
      </w:r>
      <w:r>
        <w:rPr>
          <w:rFonts w:ascii="Arial" w:cs="Arial" w:eastAsia="Arial" w:hAnsi="Arial"/>
          <w:sz w:val="17"/>
          <w:szCs w:val="17"/>
          <w:color w:val="auto"/>
        </w:rPr>
        <w:t xml:space="preserve"> for information about reporting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50825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10375" cy="5082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BOARD COMMITTEES AND MEMBERSHIP</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Audit Committee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582C83"/>
        </w:rPr>
        <w:t>AUDIT COMMITTEE REPORT FOR THE YEAR ENDED DECEMBER 31, 2025</w:t>
      </w:r>
    </w:p>
    <w:p>
      <w:pPr>
        <w:spacing w:after="0" w:line="118" w:lineRule="exact"/>
        <w:rPr>
          <w:sz w:val="20"/>
          <w:szCs w:val="20"/>
          <w:color w:val="auto"/>
        </w:rPr>
      </w:pPr>
    </w:p>
    <w:p>
      <w:pPr>
        <w:ind w:left="240" w:right="340"/>
        <w:spacing w:after="0" w:line="275" w:lineRule="auto"/>
        <w:rPr>
          <w:sz w:val="20"/>
          <w:szCs w:val="20"/>
          <w:color w:val="auto"/>
        </w:rPr>
      </w:pPr>
      <w:r>
        <w:rPr>
          <w:rFonts w:ascii="Arial" w:cs="Arial" w:eastAsia="Arial" w:hAnsi="Arial"/>
          <w:sz w:val="17"/>
          <w:szCs w:val="17"/>
          <w:color w:val="auto"/>
        </w:rPr>
        <w:t>Management has primary responsibility for Mondelēz International’s financial statements and the reporting process, including the systems of internal control over financial reporting. Our role as the Audit Committee of the Mondelēz International Board of Directors is to oversee Mondelēz International’s accounting and financial reporting processes and audits of its financial statements. We also emphasize the Board’s commitment to compliance and ethical conduct throughout the organization. In addition, in 2025 we assisted the Board in its oversight of:</w:t>
      </w:r>
    </w:p>
    <w:p>
      <w:pPr>
        <w:spacing w:after="0" w:line="74" w:lineRule="exact"/>
        <w:rPr>
          <w:sz w:val="20"/>
          <w:szCs w:val="20"/>
          <w:color w:val="auto"/>
        </w:rPr>
      </w:pPr>
    </w:p>
    <w:p>
      <w:pPr>
        <w:ind w:left="360" w:hanging="130"/>
        <w:spacing w:after="0"/>
        <w:tabs>
          <w:tab w:leader="none" w:pos="360" w:val="left"/>
        </w:tabs>
        <w:numPr>
          <w:ilvl w:val="0"/>
          <w:numId w:val="53"/>
        </w:numPr>
        <w:rPr>
          <w:rFonts w:ascii="Arial" w:cs="Arial" w:eastAsia="Arial" w:hAnsi="Arial"/>
          <w:sz w:val="17"/>
          <w:szCs w:val="17"/>
          <w:color w:val="582C83"/>
        </w:rPr>
      </w:pPr>
      <w:r>
        <w:rPr>
          <w:rFonts w:ascii="Arial" w:cs="Arial" w:eastAsia="Arial" w:hAnsi="Arial"/>
          <w:sz w:val="17"/>
          <w:szCs w:val="17"/>
          <w:color w:val="auto"/>
        </w:rPr>
        <w:t>Mondelēz International’s compliance with legal and regulatory requirements;</w:t>
      </w:r>
    </w:p>
    <w:p>
      <w:pPr>
        <w:spacing w:after="0" w:line="61" w:lineRule="exact"/>
        <w:rPr>
          <w:rFonts w:ascii="Arial" w:cs="Arial" w:eastAsia="Arial" w:hAnsi="Arial"/>
          <w:sz w:val="17"/>
          <w:szCs w:val="17"/>
          <w:color w:val="582C83"/>
        </w:rPr>
      </w:pPr>
    </w:p>
    <w:p>
      <w:pPr>
        <w:ind w:left="360" w:right="1280" w:hanging="130"/>
        <w:spacing w:after="0" w:line="290" w:lineRule="auto"/>
        <w:tabs>
          <w:tab w:leader="none" w:pos="360" w:val="left"/>
        </w:tabs>
        <w:numPr>
          <w:ilvl w:val="0"/>
          <w:numId w:val="53"/>
        </w:numPr>
        <w:rPr>
          <w:rFonts w:ascii="Arial" w:cs="Arial" w:eastAsia="Arial" w:hAnsi="Arial"/>
          <w:sz w:val="17"/>
          <w:szCs w:val="17"/>
          <w:color w:val="582C83"/>
        </w:rPr>
      </w:pPr>
      <w:r>
        <w:rPr>
          <w:rFonts w:ascii="Arial" w:cs="Arial" w:eastAsia="Arial" w:hAnsi="Arial"/>
          <w:sz w:val="17"/>
          <w:szCs w:val="17"/>
          <w:color w:val="auto"/>
        </w:rPr>
        <w:t>Mondelēz International’s independent registered public accountant’s qualifications, independence, and performance;</w:t>
      </w:r>
    </w:p>
    <w:p>
      <w:pPr>
        <w:ind w:left="360" w:hanging="130"/>
        <w:spacing w:after="0"/>
        <w:tabs>
          <w:tab w:leader="none" w:pos="360" w:val="left"/>
        </w:tabs>
        <w:numPr>
          <w:ilvl w:val="0"/>
          <w:numId w:val="53"/>
        </w:numPr>
        <w:rPr>
          <w:rFonts w:ascii="Arial" w:cs="Arial" w:eastAsia="Arial" w:hAnsi="Arial"/>
          <w:sz w:val="17"/>
          <w:szCs w:val="17"/>
          <w:color w:val="582C83"/>
        </w:rPr>
      </w:pPr>
      <w:r>
        <w:rPr>
          <w:rFonts w:ascii="Arial" w:cs="Arial" w:eastAsia="Arial" w:hAnsi="Arial"/>
          <w:sz w:val="17"/>
          <w:szCs w:val="17"/>
          <w:color w:val="auto"/>
        </w:rPr>
        <w:t>the performance of Mondelēz International’s internal auditor and the internal audit function; and</w:t>
      </w:r>
    </w:p>
    <w:p>
      <w:pPr>
        <w:spacing w:after="0" w:line="61" w:lineRule="exact"/>
        <w:rPr>
          <w:rFonts w:ascii="Arial" w:cs="Arial" w:eastAsia="Arial" w:hAnsi="Arial"/>
          <w:sz w:val="17"/>
          <w:szCs w:val="17"/>
          <w:color w:val="582C83"/>
        </w:rPr>
      </w:pPr>
    </w:p>
    <w:p>
      <w:pPr>
        <w:ind w:left="360" w:hanging="130"/>
        <w:spacing w:after="0"/>
        <w:tabs>
          <w:tab w:leader="none" w:pos="360" w:val="left"/>
        </w:tabs>
        <w:numPr>
          <w:ilvl w:val="0"/>
          <w:numId w:val="53"/>
        </w:numPr>
        <w:rPr>
          <w:rFonts w:ascii="Arial" w:cs="Arial" w:eastAsia="Arial" w:hAnsi="Arial"/>
          <w:sz w:val="17"/>
          <w:szCs w:val="17"/>
          <w:color w:val="582C83"/>
        </w:rPr>
      </w:pPr>
      <w:r>
        <w:rPr>
          <w:rFonts w:ascii="Arial" w:cs="Arial" w:eastAsia="Arial" w:hAnsi="Arial"/>
          <w:sz w:val="17"/>
          <w:szCs w:val="17"/>
          <w:color w:val="auto"/>
        </w:rPr>
        <w:t>Mondelēz International’s risk assessment and risk management guidelines and policies.</w:t>
      </w:r>
    </w:p>
    <w:p>
      <w:pPr>
        <w:spacing w:after="0" w:line="129" w:lineRule="exact"/>
        <w:rPr>
          <w:sz w:val="20"/>
          <w:szCs w:val="20"/>
          <w:color w:val="auto"/>
        </w:rPr>
      </w:pPr>
    </w:p>
    <w:p>
      <w:pPr>
        <w:ind w:left="240" w:right="760"/>
        <w:spacing w:after="0" w:line="283" w:lineRule="auto"/>
        <w:rPr>
          <w:sz w:val="20"/>
          <w:szCs w:val="20"/>
          <w:color w:val="auto"/>
        </w:rPr>
      </w:pPr>
      <w:r>
        <w:rPr>
          <w:rFonts w:ascii="Arial" w:cs="Arial" w:eastAsia="Arial" w:hAnsi="Arial"/>
          <w:sz w:val="17"/>
          <w:szCs w:val="17"/>
          <w:color w:val="auto"/>
        </w:rPr>
        <w:t>Our duties include overseeing Mondelēz International’s management, the internal audit department, and PricewaterhouseCoopers LLP, Mondelēz International’s independent registered public accountants, in their performance of the functions listed below, for which they are responsible.</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Management responsibilities include:</w:t>
      </w:r>
    </w:p>
    <w:p>
      <w:pPr>
        <w:spacing w:after="0" w:line="114" w:lineRule="exact"/>
        <w:rPr>
          <w:sz w:val="20"/>
          <w:szCs w:val="20"/>
          <w:color w:val="auto"/>
        </w:rPr>
      </w:pPr>
    </w:p>
    <w:p>
      <w:pPr>
        <w:ind w:left="360" w:right="400" w:hanging="130"/>
        <w:spacing w:after="0" w:line="290" w:lineRule="auto"/>
        <w:tabs>
          <w:tab w:leader="none" w:pos="360" w:val="left"/>
        </w:tabs>
        <w:numPr>
          <w:ilvl w:val="0"/>
          <w:numId w:val="54"/>
        </w:numPr>
        <w:rPr>
          <w:rFonts w:ascii="Arial" w:cs="Arial" w:eastAsia="Arial" w:hAnsi="Arial"/>
          <w:sz w:val="17"/>
          <w:szCs w:val="17"/>
          <w:color w:val="582C83"/>
        </w:rPr>
      </w:pPr>
      <w:r>
        <w:rPr>
          <w:rFonts w:ascii="Arial" w:cs="Arial" w:eastAsia="Arial" w:hAnsi="Arial"/>
          <w:sz w:val="17"/>
          <w:szCs w:val="17"/>
          <w:color w:val="auto"/>
        </w:rPr>
        <w:t>preparing Mondelēz International’s consolidated financial statements in accordance with accounting principles generally accepted in the United States of America (“U.S. GAAP”);</w:t>
      </w:r>
    </w:p>
    <w:p>
      <w:pPr>
        <w:ind w:left="360" w:hanging="130"/>
        <w:spacing w:after="0"/>
        <w:tabs>
          <w:tab w:leader="none" w:pos="360" w:val="left"/>
        </w:tabs>
        <w:numPr>
          <w:ilvl w:val="0"/>
          <w:numId w:val="54"/>
        </w:numPr>
        <w:rPr>
          <w:rFonts w:ascii="Arial" w:cs="Arial" w:eastAsia="Arial" w:hAnsi="Arial"/>
          <w:sz w:val="17"/>
          <w:szCs w:val="17"/>
          <w:color w:val="582C83"/>
        </w:rPr>
      </w:pPr>
      <w:r>
        <w:rPr>
          <w:rFonts w:ascii="Arial" w:cs="Arial" w:eastAsia="Arial" w:hAnsi="Arial"/>
          <w:sz w:val="17"/>
          <w:szCs w:val="17"/>
          <w:color w:val="auto"/>
        </w:rPr>
        <w:t>assessing and establishing effective financial reporting systems and internal controls and procedures; and</w:t>
      </w:r>
    </w:p>
    <w:p>
      <w:pPr>
        <w:spacing w:after="0" w:line="61" w:lineRule="exact"/>
        <w:rPr>
          <w:rFonts w:ascii="Arial" w:cs="Arial" w:eastAsia="Arial" w:hAnsi="Arial"/>
          <w:sz w:val="17"/>
          <w:szCs w:val="17"/>
          <w:color w:val="582C83"/>
        </w:rPr>
      </w:pPr>
    </w:p>
    <w:p>
      <w:pPr>
        <w:ind w:left="360" w:hanging="130"/>
        <w:spacing w:after="0"/>
        <w:tabs>
          <w:tab w:leader="none" w:pos="360" w:val="left"/>
        </w:tabs>
        <w:numPr>
          <w:ilvl w:val="0"/>
          <w:numId w:val="54"/>
        </w:numPr>
        <w:rPr>
          <w:rFonts w:ascii="Arial" w:cs="Arial" w:eastAsia="Arial" w:hAnsi="Arial"/>
          <w:sz w:val="17"/>
          <w:szCs w:val="17"/>
          <w:color w:val="582C83"/>
        </w:rPr>
      </w:pPr>
      <w:r>
        <w:rPr>
          <w:rFonts w:ascii="Arial" w:cs="Arial" w:eastAsia="Arial" w:hAnsi="Arial"/>
          <w:sz w:val="17"/>
          <w:szCs w:val="17"/>
          <w:color w:val="auto"/>
        </w:rPr>
        <w:t>reporting on the effectiveness of Mondelēz International’s internal control over financial reporting.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Internal Audit Department responsibilities include:</w:t>
      </w:r>
    </w:p>
    <w:p>
      <w:pPr>
        <w:spacing w:after="0" w:line="114" w:lineRule="exact"/>
        <w:rPr>
          <w:sz w:val="20"/>
          <w:szCs w:val="20"/>
          <w:color w:val="auto"/>
        </w:rPr>
      </w:pPr>
    </w:p>
    <w:p>
      <w:pPr>
        <w:ind w:left="360" w:hanging="130"/>
        <w:spacing w:after="0"/>
        <w:tabs>
          <w:tab w:leader="none" w:pos="360" w:val="left"/>
        </w:tabs>
        <w:numPr>
          <w:ilvl w:val="0"/>
          <w:numId w:val="55"/>
        </w:numPr>
        <w:rPr>
          <w:rFonts w:ascii="Arial" w:cs="Arial" w:eastAsia="Arial" w:hAnsi="Arial"/>
          <w:sz w:val="17"/>
          <w:szCs w:val="17"/>
          <w:color w:val="582C83"/>
        </w:rPr>
      </w:pPr>
      <w:r>
        <w:rPr>
          <w:rFonts w:ascii="Arial" w:cs="Arial" w:eastAsia="Arial" w:hAnsi="Arial"/>
          <w:sz w:val="17"/>
          <w:szCs w:val="17"/>
          <w:color w:val="auto"/>
        </w:rPr>
        <w:t>assessing management’s system of internal controls and procedures; and</w:t>
      </w:r>
    </w:p>
    <w:p>
      <w:pPr>
        <w:spacing w:after="0" w:line="47" w:lineRule="exact"/>
        <w:rPr>
          <w:rFonts w:ascii="Arial" w:cs="Arial" w:eastAsia="Arial" w:hAnsi="Arial"/>
          <w:sz w:val="17"/>
          <w:szCs w:val="17"/>
          <w:color w:val="582C83"/>
        </w:rPr>
      </w:pPr>
    </w:p>
    <w:p>
      <w:pPr>
        <w:ind w:left="360" w:hanging="130"/>
        <w:spacing w:after="0"/>
        <w:tabs>
          <w:tab w:leader="none" w:pos="360" w:val="left"/>
        </w:tabs>
        <w:numPr>
          <w:ilvl w:val="0"/>
          <w:numId w:val="55"/>
        </w:numPr>
        <w:rPr>
          <w:rFonts w:ascii="Arial" w:cs="Arial" w:eastAsia="Arial" w:hAnsi="Arial"/>
          <w:sz w:val="17"/>
          <w:szCs w:val="17"/>
          <w:color w:val="582C83"/>
        </w:rPr>
      </w:pPr>
      <w:r>
        <w:rPr>
          <w:rFonts w:ascii="Arial" w:cs="Arial" w:eastAsia="Arial" w:hAnsi="Arial"/>
          <w:sz w:val="17"/>
          <w:szCs w:val="17"/>
          <w:color w:val="auto"/>
        </w:rPr>
        <w:t>reporting on the effectiveness of that system.</w:t>
      </w:r>
    </w:p>
    <w:p>
      <w:pPr>
        <w:sectPr>
          <w:pgSz w:w="11900" w:h="16875" w:orient="portrait"/>
          <w:cols w:equalWidth="0" w:num="1">
            <w:col w:w="9040"/>
          </w:cols>
          <w:pgMar w:left="1420" w:top="104" w:right="1439" w:bottom="0" w:gutter="0" w:footer="0" w:header="0"/>
        </w:sectPr>
      </w:pPr>
    </w:p>
    <w:bookmarkStart w:id="43" w:name="page44"/>
    <w:bookmarkEnd w:id="43"/>
    <w:p>
      <w:pPr>
        <w:ind w:left="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7738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10375" cy="3773805"/>
                    </a:xfrm>
                    <a:prstGeom prst="rect">
                      <a:avLst/>
                    </a:prstGeom>
                    <a:noFill/>
                  </pic:spPr>
                </pic:pic>
              </a:graphicData>
            </a:graphic>
          </wp:anchor>
        </w:drawing>
        <w:t>Independent Registered Public Accountants responsibilities include:</w:t>
      </w:r>
    </w:p>
    <w:p>
      <w:pPr>
        <w:spacing w:after="0" w:line="114" w:lineRule="exact"/>
        <w:rPr>
          <w:sz w:val="20"/>
          <w:szCs w:val="20"/>
          <w:color w:val="auto"/>
        </w:rPr>
      </w:pPr>
    </w:p>
    <w:p>
      <w:pPr>
        <w:ind w:left="340" w:hanging="130"/>
        <w:spacing w:after="0"/>
        <w:tabs>
          <w:tab w:leader="none" w:pos="340" w:val="left"/>
        </w:tabs>
        <w:numPr>
          <w:ilvl w:val="0"/>
          <w:numId w:val="56"/>
        </w:numPr>
        <w:rPr>
          <w:rFonts w:ascii="Arial" w:cs="Arial" w:eastAsia="Arial" w:hAnsi="Arial"/>
          <w:sz w:val="17"/>
          <w:szCs w:val="17"/>
          <w:color w:val="582C83"/>
        </w:rPr>
      </w:pPr>
      <w:r>
        <w:rPr>
          <w:rFonts w:ascii="Arial" w:cs="Arial" w:eastAsia="Arial" w:hAnsi="Arial"/>
          <w:sz w:val="17"/>
          <w:szCs w:val="17"/>
          <w:color w:val="auto"/>
        </w:rPr>
        <w:t>auditing Mondelēz International’s financial statements;</w:t>
      </w:r>
    </w:p>
    <w:p>
      <w:pPr>
        <w:spacing w:after="0" w:line="61" w:lineRule="exact"/>
        <w:rPr>
          <w:rFonts w:ascii="Arial" w:cs="Arial" w:eastAsia="Arial" w:hAnsi="Arial"/>
          <w:sz w:val="17"/>
          <w:szCs w:val="17"/>
          <w:color w:val="582C83"/>
        </w:rPr>
      </w:pPr>
    </w:p>
    <w:p>
      <w:pPr>
        <w:ind w:left="340" w:hanging="130"/>
        <w:spacing w:after="0"/>
        <w:tabs>
          <w:tab w:leader="none" w:pos="340" w:val="left"/>
        </w:tabs>
        <w:numPr>
          <w:ilvl w:val="0"/>
          <w:numId w:val="56"/>
        </w:numPr>
        <w:rPr>
          <w:rFonts w:ascii="Arial" w:cs="Arial" w:eastAsia="Arial" w:hAnsi="Arial"/>
          <w:sz w:val="17"/>
          <w:szCs w:val="17"/>
          <w:color w:val="582C83"/>
        </w:rPr>
      </w:pPr>
      <w:r>
        <w:rPr>
          <w:rFonts w:ascii="Arial" w:cs="Arial" w:eastAsia="Arial" w:hAnsi="Arial"/>
          <w:sz w:val="17"/>
          <w:szCs w:val="17"/>
          <w:color w:val="auto"/>
        </w:rPr>
        <w:t>issuing an opinion about whether the financial statements conform with U.S. GAAP; and</w:t>
      </w:r>
    </w:p>
    <w:p>
      <w:pPr>
        <w:spacing w:after="0" w:line="61" w:lineRule="exact"/>
        <w:rPr>
          <w:rFonts w:ascii="Arial" w:cs="Arial" w:eastAsia="Arial" w:hAnsi="Arial"/>
          <w:sz w:val="17"/>
          <w:szCs w:val="17"/>
          <w:color w:val="582C83"/>
        </w:rPr>
      </w:pPr>
    </w:p>
    <w:p>
      <w:pPr>
        <w:ind w:left="340" w:hanging="130"/>
        <w:spacing w:after="0"/>
        <w:tabs>
          <w:tab w:leader="none" w:pos="340" w:val="left"/>
        </w:tabs>
        <w:numPr>
          <w:ilvl w:val="0"/>
          <w:numId w:val="56"/>
        </w:numPr>
        <w:rPr>
          <w:rFonts w:ascii="Arial" w:cs="Arial" w:eastAsia="Arial" w:hAnsi="Arial"/>
          <w:sz w:val="17"/>
          <w:szCs w:val="17"/>
          <w:color w:val="582C83"/>
        </w:rPr>
      </w:pPr>
      <w:r>
        <w:rPr>
          <w:rFonts w:ascii="Arial" w:cs="Arial" w:eastAsia="Arial" w:hAnsi="Arial"/>
          <w:sz w:val="17"/>
          <w:szCs w:val="17"/>
          <w:color w:val="auto"/>
        </w:rPr>
        <w:t>annually auditing the effectiveness of Mondelēz International’s internal control over financial reporting.</w:t>
      </w:r>
    </w:p>
    <w:p>
      <w:pPr>
        <w:spacing w:after="0" w:line="129" w:lineRule="exact"/>
        <w:rPr>
          <w:sz w:val="20"/>
          <w:szCs w:val="20"/>
          <w:color w:val="auto"/>
        </w:rPr>
      </w:pPr>
    </w:p>
    <w:p>
      <w:pPr>
        <w:ind w:left="220" w:right="739"/>
        <w:spacing w:after="0" w:line="301" w:lineRule="auto"/>
        <w:rPr>
          <w:sz w:val="20"/>
          <w:szCs w:val="20"/>
          <w:color w:val="auto"/>
        </w:rPr>
      </w:pPr>
      <w:r>
        <w:rPr>
          <w:rFonts w:ascii="Arial" w:cs="Arial" w:eastAsia="Arial" w:hAnsi="Arial"/>
          <w:sz w:val="17"/>
          <w:szCs w:val="17"/>
          <w:color w:val="auto"/>
        </w:rPr>
        <w:t>Periodically, we meet both independently and collectively with management, the internal auditor, and/or the independent registered public accountants to, among other things:</w:t>
      </w:r>
    </w:p>
    <w:p>
      <w:pPr>
        <w:spacing w:after="0" w:line="50" w:lineRule="exact"/>
        <w:rPr>
          <w:sz w:val="20"/>
          <w:szCs w:val="20"/>
          <w:color w:val="auto"/>
        </w:rPr>
      </w:pPr>
    </w:p>
    <w:p>
      <w:pPr>
        <w:ind w:left="340" w:right="359" w:hanging="130"/>
        <w:spacing w:after="0" w:line="290" w:lineRule="auto"/>
        <w:tabs>
          <w:tab w:leader="none" w:pos="340" w:val="left"/>
        </w:tabs>
        <w:numPr>
          <w:ilvl w:val="0"/>
          <w:numId w:val="57"/>
        </w:numPr>
        <w:rPr>
          <w:rFonts w:ascii="Arial" w:cs="Arial" w:eastAsia="Arial" w:hAnsi="Arial"/>
          <w:sz w:val="17"/>
          <w:szCs w:val="17"/>
          <w:color w:val="582C83"/>
        </w:rPr>
      </w:pPr>
      <w:r>
        <w:rPr>
          <w:rFonts w:ascii="Arial" w:cs="Arial" w:eastAsia="Arial" w:hAnsi="Arial"/>
          <w:sz w:val="17"/>
          <w:szCs w:val="17"/>
          <w:color w:val="auto"/>
        </w:rPr>
        <w:t>discuss the quality of Mondelēz International’s accounting and financial reporting processes and the adequacy and effectiveness of its internal controls and procedures;</w:t>
      </w:r>
    </w:p>
    <w:p>
      <w:pPr>
        <w:ind w:left="340" w:right="279" w:hanging="130"/>
        <w:spacing w:after="0" w:line="298" w:lineRule="auto"/>
        <w:tabs>
          <w:tab w:leader="none" w:pos="340" w:val="left"/>
        </w:tabs>
        <w:numPr>
          <w:ilvl w:val="0"/>
          <w:numId w:val="57"/>
        </w:numPr>
        <w:rPr>
          <w:rFonts w:ascii="Arial" w:cs="Arial" w:eastAsia="Arial" w:hAnsi="Arial"/>
          <w:sz w:val="17"/>
          <w:szCs w:val="17"/>
          <w:color w:val="582C83"/>
        </w:rPr>
      </w:pPr>
      <w:r>
        <w:rPr>
          <w:rFonts w:ascii="Arial" w:cs="Arial" w:eastAsia="Arial" w:hAnsi="Arial"/>
          <w:sz w:val="17"/>
          <w:szCs w:val="17"/>
          <w:color w:val="auto"/>
        </w:rPr>
        <w:t>review significant audit findings prepared by each of the independent registered public accountants and internal audit department, together with management’s responses;</w:t>
      </w:r>
    </w:p>
    <w:p>
      <w:pPr>
        <w:ind w:left="340" w:right="959" w:hanging="130"/>
        <w:spacing w:after="0" w:line="290" w:lineRule="auto"/>
        <w:tabs>
          <w:tab w:leader="none" w:pos="340" w:val="left"/>
        </w:tabs>
        <w:numPr>
          <w:ilvl w:val="0"/>
          <w:numId w:val="57"/>
        </w:numPr>
        <w:rPr>
          <w:rFonts w:ascii="Arial" w:cs="Arial" w:eastAsia="Arial" w:hAnsi="Arial"/>
          <w:sz w:val="17"/>
          <w:szCs w:val="17"/>
          <w:color w:val="582C83"/>
        </w:rPr>
      </w:pPr>
      <w:r>
        <w:rPr>
          <w:rFonts w:ascii="Arial" w:cs="Arial" w:eastAsia="Arial" w:hAnsi="Arial"/>
          <w:sz w:val="17"/>
          <w:szCs w:val="17"/>
          <w:color w:val="auto"/>
        </w:rPr>
        <w:t>review the overall scope and plans for the audits by the internal audit department and the independent registered public accountants;</w:t>
      </w:r>
    </w:p>
    <w:p>
      <w:pPr>
        <w:ind w:left="340" w:hanging="130"/>
        <w:spacing w:after="0"/>
        <w:tabs>
          <w:tab w:leader="none" w:pos="340" w:val="left"/>
        </w:tabs>
        <w:numPr>
          <w:ilvl w:val="0"/>
          <w:numId w:val="57"/>
        </w:numPr>
        <w:rPr>
          <w:rFonts w:ascii="Arial" w:cs="Arial" w:eastAsia="Arial" w:hAnsi="Arial"/>
          <w:sz w:val="17"/>
          <w:szCs w:val="17"/>
          <w:color w:val="582C83"/>
        </w:rPr>
      </w:pPr>
      <w:r>
        <w:rPr>
          <w:rFonts w:ascii="Arial" w:cs="Arial" w:eastAsia="Arial" w:hAnsi="Arial"/>
          <w:sz w:val="17"/>
          <w:szCs w:val="17"/>
          <w:color w:val="auto"/>
        </w:rPr>
        <w:t>review matters related to the conduct of the independent registered public accountant’s audit;</w:t>
      </w:r>
    </w:p>
    <w:p>
      <w:pPr>
        <w:spacing w:after="0" w:line="61" w:lineRule="exact"/>
        <w:rPr>
          <w:rFonts w:ascii="Arial" w:cs="Arial" w:eastAsia="Arial" w:hAnsi="Arial"/>
          <w:sz w:val="17"/>
          <w:szCs w:val="17"/>
          <w:color w:val="582C83"/>
        </w:rPr>
      </w:pPr>
    </w:p>
    <w:p>
      <w:pPr>
        <w:ind w:left="340" w:hanging="130"/>
        <w:spacing w:after="0"/>
        <w:tabs>
          <w:tab w:leader="none" w:pos="340" w:val="left"/>
        </w:tabs>
        <w:numPr>
          <w:ilvl w:val="0"/>
          <w:numId w:val="57"/>
        </w:numPr>
        <w:rPr>
          <w:rFonts w:ascii="Arial" w:cs="Arial" w:eastAsia="Arial" w:hAnsi="Arial"/>
          <w:sz w:val="17"/>
          <w:szCs w:val="17"/>
          <w:color w:val="582C83"/>
        </w:rPr>
      </w:pPr>
      <w:r>
        <w:rPr>
          <w:rFonts w:ascii="Arial" w:cs="Arial" w:eastAsia="Arial" w:hAnsi="Arial"/>
          <w:sz w:val="17"/>
          <w:szCs w:val="17"/>
          <w:color w:val="auto"/>
        </w:rPr>
        <w:t>review any critical audit matter identified in the independent registered public accountant’s report;</w:t>
      </w:r>
    </w:p>
    <w:p>
      <w:pPr>
        <w:spacing w:after="0" w:line="47" w:lineRule="exact"/>
        <w:rPr>
          <w:rFonts w:ascii="Arial" w:cs="Arial" w:eastAsia="Arial" w:hAnsi="Arial"/>
          <w:sz w:val="17"/>
          <w:szCs w:val="17"/>
          <w:color w:val="582C83"/>
        </w:rPr>
      </w:pPr>
    </w:p>
    <w:p>
      <w:pPr>
        <w:ind w:left="340" w:right="299" w:hanging="130"/>
        <w:spacing w:after="0" w:line="287" w:lineRule="auto"/>
        <w:tabs>
          <w:tab w:leader="none" w:pos="340" w:val="left"/>
        </w:tabs>
        <w:numPr>
          <w:ilvl w:val="0"/>
          <w:numId w:val="57"/>
        </w:numPr>
        <w:rPr>
          <w:rFonts w:ascii="Arial" w:cs="Arial" w:eastAsia="Arial" w:hAnsi="Arial"/>
          <w:sz w:val="17"/>
          <w:szCs w:val="17"/>
          <w:color w:val="582C83"/>
        </w:rPr>
      </w:pPr>
      <w:r>
        <w:rPr>
          <w:rFonts w:ascii="Arial" w:cs="Arial" w:eastAsia="Arial" w:hAnsi="Arial"/>
          <w:sz w:val="17"/>
          <w:szCs w:val="17"/>
          <w:color w:val="auto"/>
        </w:rPr>
        <w:t>review critical accounting policies, the implementation of new accounting standards, and the significant estimates and judgments management used in preparing the financial statements and their appropriateness for Mondelēz International’s business and current circumstances; and</w:t>
      </w:r>
    </w:p>
    <w:p>
      <w:pPr>
        <w:ind w:left="340" w:hanging="130"/>
        <w:spacing w:after="0"/>
        <w:tabs>
          <w:tab w:leader="none" w:pos="340" w:val="left"/>
        </w:tabs>
        <w:numPr>
          <w:ilvl w:val="0"/>
          <w:numId w:val="57"/>
        </w:numPr>
        <w:rPr>
          <w:rFonts w:ascii="Arial" w:cs="Arial" w:eastAsia="Arial" w:hAnsi="Arial"/>
          <w:sz w:val="17"/>
          <w:szCs w:val="17"/>
          <w:color w:val="582C83"/>
        </w:rPr>
      </w:pPr>
      <w:r>
        <w:rPr>
          <w:rFonts w:ascii="Arial" w:cs="Arial" w:eastAsia="Arial" w:hAnsi="Arial"/>
          <w:sz w:val="17"/>
          <w:szCs w:val="17"/>
          <w:color w:val="auto"/>
        </w:rPr>
        <w:t>review Mondelēz International’s earnings releases and its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582C83"/>
        </w:rPr>
        <w:t>48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347345</wp:posOffset>
            </wp:positionV>
            <wp:extent cx="6810375" cy="6659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10375" cy="665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Arial" w:cs="Arial" w:eastAsia="Arial" w:hAnsi="Arial"/>
          <w:sz w:val="21"/>
          <w:szCs w:val="21"/>
          <w:b w:val="1"/>
          <w:bCs w:val="1"/>
          <w:color w:val="auto"/>
        </w:rPr>
        <w:t>BOARD COMMITTEES AND MEMBERSHIP</w:t>
      </w:r>
    </w:p>
    <w:p>
      <w:pPr>
        <w:spacing w:after="0" w:line="48"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Audit Committee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addition to the activities outlined above, in 2025 we reviewed with management, among other things:</w:t>
      </w:r>
    </w:p>
    <w:p>
      <w:pPr>
        <w:spacing w:after="0" w:line="129" w:lineRule="exact"/>
        <w:rPr>
          <w:sz w:val="20"/>
          <w:szCs w:val="20"/>
          <w:color w:val="auto"/>
        </w:rPr>
      </w:pPr>
    </w:p>
    <w:p>
      <w:pPr>
        <w:ind w:left="340" w:right="959" w:hanging="130"/>
        <w:spacing w:after="0" w:line="290" w:lineRule="auto"/>
        <w:tabs>
          <w:tab w:leader="none" w:pos="340" w:val="left"/>
        </w:tabs>
        <w:numPr>
          <w:ilvl w:val="0"/>
          <w:numId w:val="58"/>
        </w:numPr>
        <w:rPr>
          <w:rFonts w:ascii="Arial" w:cs="Arial" w:eastAsia="Arial" w:hAnsi="Arial"/>
          <w:sz w:val="17"/>
          <w:szCs w:val="17"/>
          <w:color w:val="582C83"/>
        </w:rPr>
      </w:pPr>
      <w:r>
        <w:rPr>
          <w:rFonts w:ascii="Arial" w:cs="Arial" w:eastAsia="Arial" w:hAnsi="Arial"/>
          <w:sz w:val="17"/>
          <w:szCs w:val="17"/>
          <w:color w:val="auto"/>
        </w:rPr>
        <w:t>the Company’s sustainability reporting and disclosures in its SEC filings and the evolving sustainability regulatory landscape, including increased regulatory focus on climate change;</w:t>
      </w:r>
    </w:p>
    <w:p>
      <w:pPr>
        <w:ind w:left="340" w:right="359" w:hanging="130"/>
        <w:spacing w:after="0" w:line="281" w:lineRule="auto"/>
        <w:tabs>
          <w:tab w:leader="none" w:pos="340" w:val="left"/>
        </w:tabs>
        <w:numPr>
          <w:ilvl w:val="0"/>
          <w:numId w:val="58"/>
        </w:numPr>
        <w:rPr>
          <w:rFonts w:ascii="Arial" w:cs="Arial" w:eastAsia="Arial" w:hAnsi="Arial"/>
          <w:sz w:val="17"/>
          <w:szCs w:val="17"/>
          <w:color w:val="582C83"/>
        </w:rPr>
      </w:pPr>
      <w:r>
        <w:rPr>
          <w:rFonts w:ascii="Arial" w:cs="Arial" w:eastAsia="Arial" w:hAnsi="Arial"/>
          <w:sz w:val="17"/>
          <w:szCs w:val="17"/>
          <w:color w:val="auto"/>
        </w:rPr>
        <w:t>guidelines and policies with respect to Mondelēz International’s overall risk assessment and risk management, including our ERM process and specific risks identified in that process, including commodity and foreign exchange risks;</w:t>
      </w:r>
    </w:p>
    <w:p>
      <w:pPr>
        <w:spacing w:after="0" w:line="1" w:lineRule="exact"/>
        <w:rPr>
          <w:rFonts w:ascii="Arial" w:cs="Arial" w:eastAsia="Arial" w:hAnsi="Arial"/>
          <w:sz w:val="17"/>
          <w:szCs w:val="17"/>
          <w:color w:val="582C83"/>
        </w:rPr>
      </w:pPr>
    </w:p>
    <w:p>
      <w:pPr>
        <w:ind w:left="340" w:right="499" w:hanging="130"/>
        <w:spacing w:after="0" w:line="281" w:lineRule="auto"/>
        <w:tabs>
          <w:tab w:leader="none" w:pos="340" w:val="left"/>
        </w:tabs>
        <w:numPr>
          <w:ilvl w:val="0"/>
          <w:numId w:val="58"/>
        </w:numPr>
        <w:rPr>
          <w:rFonts w:ascii="Arial" w:cs="Arial" w:eastAsia="Arial" w:hAnsi="Arial"/>
          <w:sz w:val="17"/>
          <w:szCs w:val="17"/>
          <w:color w:val="582C83"/>
        </w:rPr>
      </w:pPr>
      <w:r>
        <w:rPr>
          <w:rFonts w:ascii="Arial" w:cs="Arial" w:eastAsia="Arial" w:hAnsi="Arial"/>
          <w:sz w:val="17"/>
          <w:szCs w:val="17"/>
          <w:color w:val="auto"/>
        </w:rPr>
        <w:t>Mondelēz International’s information technology and cybersecurity risk management and business continuity planning, including briefings by the Company’s Chief Information and Digital Officer on information security matters and discussions on cybersecurity, including if applicable, deployment or use of artificial intelligence tools with the Company’s Chief Information and Digital Officer and the internal audit department;</w:t>
      </w:r>
    </w:p>
    <w:p>
      <w:pPr>
        <w:spacing w:after="0" w:line="2" w:lineRule="exact"/>
        <w:rPr>
          <w:rFonts w:ascii="Arial" w:cs="Arial" w:eastAsia="Arial" w:hAnsi="Arial"/>
          <w:sz w:val="17"/>
          <w:szCs w:val="17"/>
          <w:color w:val="582C83"/>
        </w:rPr>
      </w:pPr>
    </w:p>
    <w:p>
      <w:pPr>
        <w:ind w:left="340" w:hanging="130"/>
        <w:spacing w:after="0"/>
        <w:tabs>
          <w:tab w:leader="none" w:pos="340" w:val="left"/>
        </w:tabs>
        <w:numPr>
          <w:ilvl w:val="0"/>
          <w:numId w:val="58"/>
        </w:numPr>
        <w:rPr>
          <w:rFonts w:ascii="Arial" w:cs="Arial" w:eastAsia="Arial" w:hAnsi="Arial"/>
          <w:sz w:val="17"/>
          <w:szCs w:val="17"/>
          <w:color w:val="582C83"/>
        </w:rPr>
      </w:pPr>
      <w:r>
        <w:rPr>
          <w:rFonts w:ascii="Arial" w:cs="Arial" w:eastAsia="Arial" w:hAnsi="Arial"/>
          <w:sz w:val="17"/>
          <w:szCs w:val="17"/>
          <w:color w:val="auto"/>
        </w:rPr>
        <w:t>health, safety, environmental, and compliance matters;</w:t>
      </w:r>
    </w:p>
    <w:p>
      <w:pPr>
        <w:spacing w:after="0" w:line="61" w:lineRule="exact"/>
        <w:rPr>
          <w:rFonts w:ascii="Arial" w:cs="Arial" w:eastAsia="Arial" w:hAnsi="Arial"/>
          <w:sz w:val="17"/>
          <w:szCs w:val="17"/>
          <w:color w:val="582C83"/>
        </w:rPr>
      </w:pPr>
    </w:p>
    <w:p>
      <w:pPr>
        <w:ind w:left="340" w:hanging="130"/>
        <w:spacing w:after="0"/>
        <w:tabs>
          <w:tab w:leader="none" w:pos="340" w:val="left"/>
        </w:tabs>
        <w:numPr>
          <w:ilvl w:val="0"/>
          <w:numId w:val="58"/>
        </w:numPr>
        <w:rPr>
          <w:rFonts w:ascii="Arial" w:cs="Arial" w:eastAsia="Arial" w:hAnsi="Arial"/>
          <w:sz w:val="17"/>
          <w:szCs w:val="17"/>
          <w:color w:val="582C83"/>
        </w:rPr>
      </w:pPr>
      <w:r>
        <w:rPr>
          <w:rFonts w:ascii="Arial" w:cs="Arial" w:eastAsia="Arial" w:hAnsi="Arial"/>
          <w:sz w:val="17"/>
          <w:szCs w:val="17"/>
          <w:color w:val="auto"/>
        </w:rPr>
        <w:t>significant legal and regulatory matters;</w:t>
      </w:r>
    </w:p>
    <w:p>
      <w:pPr>
        <w:spacing w:after="0" w:line="47" w:lineRule="exact"/>
        <w:rPr>
          <w:rFonts w:ascii="Arial" w:cs="Arial" w:eastAsia="Arial" w:hAnsi="Arial"/>
          <w:sz w:val="17"/>
          <w:szCs w:val="17"/>
          <w:color w:val="582C83"/>
        </w:rPr>
      </w:pPr>
    </w:p>
    <w:p>
      <w:pPr>
        <w:ind w:left="340" w:hanging="130"/>
        <w:spacing w:after="0"/>
        <w:tabs>
          <w:tab w:leader="none" w:pos="340" w:val="left"/>
        </w:tabs>
        <w:numPr>
          <w:ilvl w:val="0"/>
          <w:numId w:val="58"/>
        </w:numPr>
        <w:rPr>
          <w:rFonts w:ascii="Arial" w:cs="Arial" w:eastAsia="Arial" w:hAnsi="Arial"/>
          <w:sz w:val="17"/>
          <w:szCs w:val="17"/>
          <w:color w:val="582C83"/>
        </w:rPr>
      </w:pPr>
      <w:r>
        <w:rPr>
          <w:rFonts w:ascii="Arial" w:cs="Arial" w:eastAsia="Arial" w:hAnsi="Arial"/>
          <w:sz w:val="17"/>
          <w:szCs w:val="17"/>
          <w:color w:val="auto"/>
        </w:rPr>
        <w:t>the U.S. and non-U.S. tax regulatory environment; and</w:t>
      </w:r>
    </w:p>
    <w:p>
      <w:pPr>
        <w:spacing w:after="0" w:line="61" w:lineRule="exact"/>
        <w:rPr>
          <w:rFonts w:ascii="Arial" w:cs="Arial" w:eastAsia="Arial" w:hAnsi="Arial"/>
          <w:sz w:val="17"/>
          <w:szCs w:val="17"/>
          <w:color w:val="582C83"/>
        </w:rPr>
      </w:pPr>
    </w:p>
    <w:p>
      <w:pPr>
        <w:ind w:left="340" w:hanging="130"/>
        <w:spacing w:after="0"/>
        <w:tabs>
          <w:tab w:leader="none" w:pos="340" w:val="left"/>
        </w:tabs>
        <w:numPr>
          <w:ilvl w:val="0"/>
          <w:numId w:val="58"/>
        </w:numPr>
        <w:rPr>
          <w:rFonts w:ascii="Arial" w:cs="Arial" w:eastAsia="Arial" w:hAnsi="Arial"/>
          <w:sz w:val="17"/>
          <w:szCs w:val="17"/>
          <w:color w:val="582C83"/>
        </w:rPr>
      </w:pPr>
      <w:r>
        <w:rPr>
          <w:rFonts w:ascii="Arial" w:cs="Arial" w:eastAsia="Arial" w:hAnsi="Arial"/>
          <w:sz w:val="17"/>
          <w:szCs w:val="17"/>
          <w:color w:val="auto"/>
        </w:rPr>
        <w:t>external ratings related to the performance of our duties of oversight.</w:t>
      </w:r>
    </w:p>
    <w:p>
      <w:pPr>
        <w:spacing w:after="0" w:line="129" w:lineRule="exact"/>
        <w:rPr>
          <w:sz w:val="20"/>
          <w:szCs w:val="20"/>
          <w:color w:val="auto"/>
        </w:rPr>
      </w:pPr>
    </w:p>
    <w:p>
      <w:pPr>
        <w:ind w:left="220" w:right="339"/>
        <w:spacing w:after="0" w:line="317" w:lineRule="auto"/>
        <w:rPr>
          <w:sz w:val="20"/>
          <w:szCs w:val="20"/>
          <w:color w:val="auto"/>
        </w:rPr>
      </w:pPr>
      <w:r>
        <w:rPr>
          <w:rFonts w:ascii="Arial" w:cs="Arial" w:eastAsia="Arial" w:hAnsi="Arial"/>
          <w:sz w:val="17"/>
          <w:szCs w:val="17"/>
          <w:color w:val="auto"/>
        </w:rPr>
        <w:t>Before Mondelēz International filed its Annual Report on Form 10-K for the year ended December 31, 2025, with the SEC, we also:</w:t>
      </w:r>
    </w:p>
    <w:p>
      <w:pPr>
        <w:spacing w:after="0" w:line="37" w:lineRule="exact"/>
        <w:rPr>
          <w:sz w:val="20"/>
          <w:szCs w:val="20"/>
          <w:color w:val="auto"/>
        </w:rPr>
      </w:pPr>
    </w:p>
    <w:p>
      <w:pPr>
        <w:ind w:left="340" w:right="599" w:hanging="130"/>
        <w:spacing w:after="0" w:line="290" w:lineRule="auto"/>
        <w:tabs>
          <w:tab w:leader="none" w:pos="340" w:val="left"/>
        </w:tabs>
        <w:numPr>
          <w:ilvl w:val="0"/>
          <w:numId w:val="59"/>
        </w:numPr>
        <w:rPr>
          <w:rFonts w:ascii="Arial" w:cs="Arial" w:eastAsia="Arial" w:hAnsi="Arial"/>
          <w:sz w:val="17"/>
          <w:szCs w:val="17"/>
          <w:color w:val="582C83"/>
        </w:rPr>
      </w:pPr>
      <w:r>
        <w:rPr>
          <w:rFonts w:ascii="Arial" w:cs="Arial" w:eastAsia="Arial" w:hAnsi="Arial"/>
          <w:sz w:val="17"/>
          <w:szCs w:val="17"/>
          <w:color w:val="auto"/>
        </w:rPr>
        <w:t>reviewed and discussed the audited financial statements with management and the independent registered public accountants;</w:t>
      </w:r>
    </w:p>
    <w:p>
      <w:pPr>
        <w:ind w:left="340" w:right="719" w:hanging="130"/>
        <w:spacing w:after="0" w:line="281" w:lineRule="auto"/>
        <w:tabs>
          <w:tab w:leader="none" w:pos="340" w:val="left"/>
        </w:tabs>
        <w:numPr>
          <w:ilvl w:val="0"/>
          <w:numId w:val="59"/>
        </w:numPr>
        <w:rPr>
          <w:rFonts w:ascii="Arial" w:cs="Arial" w:eastAsia="Arial" w:hAnsi="Arial"/>
          <w:sz w:val="17"/>
          <w:szCs w:val="17"/>
          <w:color w:val="582C83"/>
        </w:rPr>
      </w:pPr>
      <w:r>
        <w:rPr>
          <w:rFonts w:ascii="Arial" w:cs="Arial" w:eastAsia="Arial" w:hAnsi="Arial"/>
          <w:sz w:val="17"/>
          <w:szCs w:val="17"/>
          <w:color w:val="auto"/>
        </w:rPr>
        <w:t>discussed with the independent registered public accountants the items the independent registered public accountants are required to communicate to the Audit Committee in accordance with the applicable requirements of the Public Company Accounting Oversight Board and the SEC;</w:t>
      </w:r>
    </w:p>
    <w:p>
      <w:pPr>
        <w:spacing w:after="0" w:line="1" w:lineRule="exact"/>
        <w:rPr>
          <w:rFonts w:ascii="Arial" w:cs="Arial" w:eastAsia="Arial" w:hAnsi="Arial"/>
          <w:sz w:val="17"/>
          <w:szCs w:val="17"/>
          <w:color w:val="582C83"/>
        </w:rPr>
      </w:pPr>
    </w:p>
    <w:p>
      <w:pPr>
        <w:ind w:left="340" w:right="419" w:hanging="130"/>
        <w:spacing w:after="0" w:line="287" w:lineRule="auto"/>
        <w:tabs>
          <w:tab w:leader="none" w:pos="340" w:val="left"/>
        </w:tabs>
        <w:numPr>
          <w:ilvl w:val="0"/>
          <w:numId w:val="59"/>
        </w:numPr>
        <w:rPr>
          <w:rFonts w:ascii="Arial" w:cs="Arial" w:eastAsia="Arial" w:hAnsi="Arial"/>
          <w:sz w:val="17"/>
          <w:szCs w:val="17"/>
          <w:color w:val="582C83"/>
        </w:rPr>
      </w:pPr>
      <w:r>
        <w:rPr>
          <w:rFonts w:ascii="Arial" w:cs="Arial" w:eastAsia="Arial" w:hAnsi="Arial"/>
          <w:sz w:val="17"/>
          <w:szCs w:val="17"/>
          <w:color w:val="auto"/>
        </w:rPr>
        <w:t>received from the independent registered public accountants the written disclosures and the letter required by applicable requirements of the Public Company Accounting Oversight Board regarding the independent registered public accountants’ communications with us concerning independence; and</w:t>
      </w:r>
    </w:p>
    <w:p>
      <w:pPr>
        <w:ind w:left="340" w:right="319" w:hanging="130"/>
        <w:spacing w:after="0" w:line="277" w:lineRule="auto"/>
        <w:tabs>
          <w:tab w:leader="none" w:pos="340" w:val="left"/>
        </w:tabs>
        <w:numPr>
          <w:ilvl w:val="0"/>
          <w:numId w:val="59"/>
        </w:numPr>
        <w:rPr>
          <w:rFonts w:ascii="Arial" w:cs="Arial" w:eastAsia="Arial" w:hAnsi="Arial"/>
          <w:sz w:val="17"/>
          <w:szCs w:val="17"/>
          <w:color w:val="582C83"/>
        </w:rPr>
      </w:pPr>
      <w:r>
        <w:rPr>
          <w:rFonts w:ascii="Arial" w:cs="Arial" w:eastAsia="Arial" w:hAnsi="Arial"/>
          <w:sz w:val="17"/>
          <w:szCs w:val="17"/>
          <w:color w:val="auto"/>
        </w:rPr>
        <w:t>discussed with the independent registered public accountants their independence from Mondelēz International, including reviewing non-audit services and fees to assure compliance with (i) regulations prohibiting the independent registered public accountants from performing specified services that could impair their independence, and (ii) Mondelēz International’s and the Audit Committee’s policies.</w:t>
      </w:r>
    </w:p>
    <w:p>
      <w:pPr>
        <w:spacing w:after="0" w:line="70" w:lineRule="exact"/>
        <w:rPr>
          <w:sz w:val="20"/>
          <w:szCs w:val="20"/>
          <w:color w:val="auto"/>
        </w:rPr>
      </w:pPr>
    </w:p>
    <w:p>
      <w:pPr>
        <w:ind w:left="220" w:right="359"/>
        <w:spacing w:after="0" w:line="278" w:lineRule="auto"/>
        <w:rPr>
          <w:sz w:val="20"/>
          <w:szCs w:val="20"/>
          <w:color w:val="auto"/>
        </w:rPr>
      </w:pPr>
      <w:r>
        <w:rPr>
          <w:rFonts w:ascii="Arial" w:cs="Arial" w:eastAsia="Arial" w:hAnsi="Arial"/>
          <w:sz w:val="17"/>
          <w:szCs w:val="17"/>
          <w:color w:val="auto"/>
        </w:rPr>
        <w:t>Based upon the review and discussions described in this report and without other independent verification, and subject to the limitations of our role and responsibilities outlined in this report and in our written charter, we recommended to the Board, and the Board approved, that the audited consolidated financial statements be included in Mondelēz International’s Annual Report on Form 10-K for the year ended December 31, 2025, which was filed with the SEC on February 4, 2026.</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Audit Committee:</w:t>
      </w:r>
    </w:p>
    <w:p>
      <w:pPr>
        <w:spacing w:after="0" w:line="3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Jane Hamilton Nielsen, Chair</w:t>
      </w:r>
    </w:p>
    <w:p>
      <w:pPr>
        <w:sectPr>
          <w:pgSz w:w="11900" w:h="16838" w:orient="portrait"/>
          <w:cols w:equalWidth="0" w:num="1">
            <w:col w:w="9019"/>
          </w:cols>
          <w:pgMar w:left="1440" w:top="310" w:right="1440" w:bottom="0" w:gutter="0" w:footer="0" w:header="0"/>
        </w:sectPr>
      </w:pPr>
    </w:p>
    <w:bookmarkStart w:id="44" w:name="page45"/>
    <w:bookmarkEnd w:id="44"/>
    <w:p>
      <w:pPr>
        <w:ind w:left="240"/>
        <w:spacing w:after="0"/>
        <w:rPr>
          <w:sz w:val="20"/>
          <w:szCs w:val="20"/>
          <w:color w:val="auto"/>
        </w:rPr>
      </w:pPr>
      <w:r>
        <w:rPr>
          <w:rFonts w:ascii="Arial" w:cs="Arial" w:eastAsia="Arial" w:hAnsi="Arial"/>
          <w:sz w:val="17"/>
          <w:szCs w:val="17"/>
          <w:color w:val="auto"/>
        </w:rPr>
        <w:t>Cees ‘t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-46990</wp:posOffset>
            </wp:positionV>
            <wp:extent cx="6810375" cy="2196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10375" cy="219646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7"/>
          <w:szCs w:val="17"/>
          <w:color w:val="auto"/>
        </w:rPr>
        <w:t>Jorge S. Mesquita</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Paula A. Price</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PRE-APPROVAL POLICIES</w:t>
      </w:r>
    </w:p>
    <w:p>
      <w:pPr>
        <w:spacing w:after="0" w:line="118"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The Audit Committee’s policy is to pre-approve all audit and non-audit services provided by the independent registered public accountants. Non-audit services may include audit-related services and tax services, among others. The pre-approval authority details the particular service or category of service that the independent registered public accountants will perform. Management reports to the Audit Committee on the actual fees charged by the independent registered public accountants for each category of service.</w:t>
      </w:r>
    </w:p>
    <w:p>
      <w:pPr>
        <w:spacing w:after="0" w:line="200" w:lineRule="exact"/>
        <w:rPr>
          <w:sz w:val="20"/>
          <w:szCs w:val="20"/>
          <w:color w:val="auto"/>
        </w:rPr>
      </w:pPr>
    </w:p>
    <w:p>
      <w:pPr>
        <w:spacing w:after="0" w:line="298"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2372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10375" cy="823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BOARD COMMITTEES AND MEMBERSHIP</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Audit Committee</w:t>
      </w:r>
    </w:p>
    <w:p>
      <w:pPr>
        <w:spacing w:after="0" w:line="200" w:lineRule="exact"/>
        <w:rPr>
          <w:sz w:val="20"/>
          <w:szCs w:val="20"/>
          <w:color w:val="auto"/>
        </w:rPr>
      </w:pPr>
    </w:p>
    <w:p>
      <w:pPr>
        <w:spacing w:after="0" w:line="27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During the year, circumstances may arise when it becomes necessary to engage the independent registered public accountants for additional services not contemplated in the original pre-approval authority. In those instances, the committee approves the services before we engage the independent registered public accountants. In case approval is needed before a scheduled committee meeting, the committee has delegated pre-approval authority to its Chair. The Chair must report on such pre-approval decisions at the committee’s next regular meeting.</w:t>
      </w:r>
    </w:p>
    <w:p>
      <w:pPr>
        <w:spacing w:after="0" w:line="75" w:lineRule="exact"/>
        <w:rPr>
          <w:sz w:val="20"/>
          <w:szCs w:val="20"/>
          <w:color w:val="auto"/>
        </w:rPr>
      </w:pPr>
    </w:p>
    <w:p>
      <w:pPr>
        <w:ind w:right="520"/>
        <w:spacing w:after="0" w:line="301" w:lineRule="auto"/>
        <w:rPr>
          <w:sz w:val="20"/>
          <w:szCs w:val="20"/>
          <w:color w:val="auto"/>
        </w:rPr>
      </w:pPr>
      <w:r>
        <w:rPr>
          <w:rFonts w:ascii="Arial" w:cs="Arial" w:eastAsia="Arial" w:hAnsi="Arial"/>
          <w:sz w:val="17"/>
          <w:szCs w:val="17"/>
          <w:color w:val="auto"/>
        </w:rPr>
        <w:t>The Audit Committee pre-approved all 2025 audit and non-audit services provided by the independent registered public accountants.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INDEPENDENT REGISTERED PUBLIC ACCOUNTANTS’ FEES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aggregate fees for professional services provided to us by our independent registered public accountants,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LLP, for 2025 and 2024 were: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Borders>
              <w:bottom w:val="single" w:sz="8" w:color="582C83"/>
            </w:tcBorders>
          </w:tcPr>
          <w:p>
            <w:pPr>
              <w:spacing w:after="0"/>
              <w:rPr>
                <w:sz w:val="14"/>
                <w:szCs w:val="14"/>
                <w:color w:val="auto"/>
              </w:rPr>
            </w:pPr>
          </w:p>
        </w:tc>
        <w:tc>
          <w:tcPr>
            <w:tcW w:w="3860" w:type="dxa"/>
            <w:vAlign w:val="bottom"/>
            <w:tcBorders>
              <w:bottom w:val="single" w:sz="8" w:color="582C83"/>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116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2024</w:t>
            </w:r>
          </w:p>
        </w:tc>
      </w:tr>
      <w:tr>
        <w:trPr>
          <w:trHeight w:val="212"/>
        </w:trPr>
        <w:tc>
          <w:tcPr>
            <w:tcW w:w="402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color w:val="auto"/>
              </w:rPr>
              <w:t>Audit Fees</w:t>
            </w:r>
          </w:p>
        </w:tc>
        <w:tc>
          <w:tcPr>
            <w:tcW w:w="3860" w:type="dxa"/>
            <w:vAlign w:val="bottom"/>
            <w:tcBorders>
              <w:bottom w:val="single" w:sz="8" w:color="582C83"/>
            </w:tcBorders>
            <w:shd w:val="clear" w:color="auto" w:fill="E0DBEA"/>
          </w:tcPr>
          <w:p>
            <w:pPr>
              <w:jc w:val="right"/>
              <w:ind w:right="268"/>
              <w:spacing w:after="0"/>
              <w:rPr>
                <w:sz w:val="20"/>
                <w:szCs w:val="20"/>
                <w:color w:val="auto"/>
              </w:rPr>
            </w:pPr>
            <w:r>
              <w:rPr>
                <w:rFonts w:ascii="Arial" w:cs="Arial" w:eastAsia="Arial" w:hAnsi="Arial"/>
                <w:sz w:val="14"/>
                <w:szCs w:val="14"/>
                <w:color w:val="auto"/>
              </w:rPr>
              <w:t>$15,828,000</w:t>
            </w:r>
          </w:p>
        </w:tc>
        <w:tc>
          <w:tcPr>
            <w:tcW w:w="116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$15,470,000</w:t>
            </w:r>
          </w:p>
        </w:tc>
      </w:tr>
      <w:tr>
        <w:trPr>
          <w:trHeight w:val="214"/>
        </w:trPr>
        <w:tc>
          <w:tcPr>
            <w:tcW w:w="4020" w:type="dxa"/>
            <w:vAlign w:val="bottom"/>
            <w:tcBorders>
              <w:bottom w:val="single" w:sz="8" w:color="582C83"/>
            </w:tcBorders>
          </w:tcPr>
          <w:p>
            <w:pPr>
              <w:ind w:left="60"/>
              <w:spacing w:after="0"/>
              <w:rPr>
                <w:sz w:val="20"/>
                <w:szCs w:val="20"/>
                <w:color w:val="auto"/>
              </w:rPr>
            </w:pPr>
            <w:r>
              <w:rPr>
                <w:rFonts w:ascii="Arial" w:cs="Arial" w:eastAsia="Arial" w:hAnsi="Arial"/>
                <w:sz w:val="14"/>
                <w:szCs w:val="14"/>
                <w:color w:val="auto"/>
              </w:rPr>
              <w:t>Audit-Related Fees</w:t>
            </w:r>
          </w:p>
        </w:tc>
        <w:tc>
          <w:tcPr>
            <w:tcW w:w="3860" w:type="dxa"/>
            <w:vAlign w:val="bottom"/>
            <w:tcBorders>
              <w:bottom w:val="single" w:sz="8" w:color="582C83"/>
            </w:tcBorders>
          </w:tcPr>
          <w:p>
            <w:pPr>
              <w:jc w:val="right"/>
              <w:ind w:right="268"/>
              <w:spacing w:after="0"/>
              <w:rPr>
                <w:sz w:val="20"/>
                <w:szCs w:val="20"/>
                <w:color w:val="auto"/>
              </w:rPr>
            </w:pPr>
            <w:r>
              <w:rPr>
                <w:rFonts w:ascii="Arial" w:cs="Arial" w:eastAsia="Arial" w:hAnsi="Arial"/>
                <w:sz w:val="14"/>
                <w:szCs w:val="14"/>
                <w:color w:val="auto"/>
              </w:rPr>
              <w:t>700,000</w:t>
            </w:r>
          </w:p>
        </w:tc>
        <w:tc>
          <w:tcPr>
            <w:tcW w:w="116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960,000</w:t>
            </w:r>
          </w:p>
        </w:tc>
      </w:tr>
      <w:tr>
        <w:trPr>
          <w:trHeight w:val="205"/>
        </w:trPr>
        <w:tc>
          <w:tcPr>
            <w:tcW w:w="402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color w:val="auto"/>
              </w:rPr>
              <w:t>Tax Fees</w:t>
            </w:r>
          </w:p>
        </w:tc>
        <w:tc>
          <w:tcPr>
            <w:tcW w:w="3860" w:type="dxa"/>
            <w:vAlign w:val="bottom"/>
            <w:tcBorders>
              <w:bottom w:val="single" w:sz="8" w:color="582C83"/>
            </w:tcBorders>
            <w:shd w:val="clear" w:color="auto" w:fill="E0DBEA"/>
          </w:tcPr>
          <w:p>
            <w:pPr>
              <w:jc w:val="right"/>
              <w:ind w:right="268"/>
              <w:spacing w:after="0"/>
              <w:rPr>
                <w:sz w:val="20"/>
                <w:szCs w:val="20"/>
                <w:color w:val="auto"/>
              </w:rPr>
            </w:pPr>
            <w:r>
              <w:rPr>
                <w:rFonts w:ascii="Arial" w:cs="Arial" w:eastAsia="Arial" w:hAnsi="Arial"/>
                <w:sz w:val="14"/>
                <w:szCs w:val="14"/>
                <w:color w:val="auto"/>
              </w:rPr>
              <w:t>325,000</w:t>
            </w:r>
          </w:p>
        </w:tc>
        <w:tc>
          <w:tcPr>
            <w:tcW w:w="116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72,000</w:t>
            </w:r>
          </w:p>
        </w:tc>
      </w:tr>
      <w:tr>
        <w:trPr>
          <w:trHeight w:val="209"/>
        </w:trPr>
        <w:tc>
          <w:tcPr>
            <w:tcW w:w="4020" w:type="dxa"/>
            <w:vAlign w:val="bottom"/>
            <w:tcBorders>
              <w:bottom w:val="single" w:sz="8" w:color="582C83"/>
            </w:tcBorders>
          </w:tcPr>
          <w:p>
            <w:pPr>
              <w:ind w:left="60"/>
              <w:spacing w:after="0"/>
              <w:rPr>
                <w:sz w:val="20"/>
                <w:szCs w:val="20"/>
                <w:color w:val="auto"/>
              </w:rPr>
            </w:pPr>
            <w:r>
              <w:rPr>
                <w:rFonts w:ascii="Arial" w:cs="Arial" w:eastAsia="Arial" w:hAnsi="Arial"/>
                <w:sz w:val="14"/>
                <w:szCs w:val="14"/>
                <w:color w:val="auto"/>
              </w:rPr>
              <w:t>All Other Fees</w:t>
            </w:r>
          </w:p>
        </w:tc>
        <w:tc>
          <w:tcPr>
            <w:tcW w:w="3860" w:type="dxa"/>
            <w:vAlign w:val="bottom"/>
            <w:tcBorders>
              <w:bottom w:val="single" w:sz="8" w:color="582C83"/>
            </w:tcBorders>
          </w:tcPr>
          <w:p>
            <w:pPr>
              <w:jc w:val="right"/>
              <w:ind w:right="268"/>
              <w:spacing w:after="0"/>
              <w:rPr>
                <w:sz w:val="20"/>
                <w:szCs w:val="20"/>
                <w:color w:val="auto"/>
              </w:rPr>
            </w:pPr>
            <w:r>
              <w:rPr>
                <w:rFonts w:ascii="Arial" w:cs="Arial" w:eastAsia="Arial" w:hAnsi="Arial"/>
                <w:sz w:val="14"/>
                <w:szCs w:val="14"/>
                <w:color w:val="auto"/>
              </w:rPr>
              <w:t>14,000</w:t>
            </w:r>
          </w:p>
        </w:tc>
        <w:tc>
          <w:tcPr>
            <w:tcW w:w="116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8,000</w:t>
            </w:r>
          </w:p>
        </w:tc>
      </w:tr>
      <w:tr>
        <w:trPr>
          <w:trHeight w:val="210"/>
        </w:trPr>
        <w:tc>
          <w:tcPr>
            <w:tcW w:w="402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color w:val="auto"/>
              </w:rPr>
              <w:t>Total</w:t>
            </w:r>
          </w:p>
        </w:tc>
        <w:tc>
          <w:tcPr>
            <w:tcW w:w="3860" w:type="dxa"/>
            <w:vAlign w:val="bottom"/>
            <w:tcBorders>
              <w:bottom w:val="single" w:sz="8" w:color="582C83"/>
            </w:tcBorders>
            <w:shd w:val="clear" w:color="auto" w:fill="E0DBEA"/>
          </w:tcPr>
          <w:p>
            <w:pPr>
              <w:jc w:val="right"/>
              <w:ind w:right="268"/>
              <w:spacing w:after="0"/>
              <w:rPr>
                <w:sz w:val="20"/>
                <w:szCs w:val="20"/>
                <w:color w:val="auto"/>
              </w:rPr>
            </w:pPr>
            <w:r>
              <w:rPr>
                <w:rFonts w:ascii="Arial" w:cs="Arial" w:eastAsia="Arial" w:hAnsi="Arial"/>
                <w:sz w:val="14"/>
                <w:szCs w:val="14"/>
                <w:color w:val="auto"/>
              </w:rPr>
              <w:t>$16,867,000</w:t>
            </w:r>
          </w:p>
        </w:tc>
        <w:tc>
          <w:tcPr>
            <w:tcW w:w="116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$16,510,000</w:t>
            </w:r>
          </w:p>
        </w:tc>
      </w:tr>
    </w:tbl>
    <w:p>
      <w:pPr>
        <w:spacing w:after="0" w:line="207"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Audit Fees include: (a) the integrated audit of our consolidated financial statements, including statutory audits of the financial statements of our affiliates and our internal control over financial reporting; (b) the reviews of our unaudited condensed consolidated interim financial statements (quarterly financial statements); and (c) statutorily required attestation services.</w:t>
      </w:r>
    </w:p>
    <w:p>
      <w:pPr>
        <w:spacing w:after="0" w:line="76"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color w:val="auto"/>
        </w:rPr>
        <w:t>Audit-Related Fees include professional services in connection with financial due diligence services and various other audit and special reports.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Tax Fees include professional services in connection with tax compliance and consulting services.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All Other Fees include fees for seminars, accounting research and reporting tools, and other services.</w:t>
      </w:r>
    </w:p>
    <w:p>
      <w:pPr>
        <w:spacing w:after="0" w:line="129" w:lineRule="exact"/>
        <w:rPr>
          <w:sz w:val="20"/>
          <w:szCs w:val="20"/>
          <w:color w:val="auto"/>
        </w:rPr>
      </w:pPr>
    </w:p>
    <w:p>
      <w:pPr>
        <w:ind w:right="460"/>
        <w:spacing w:after="0" w:line="301" w:lineRule="auto"/>
        <w:rPr>
          <w:sz w:val="20"/>
          <w:szCs w:val="20"/>
          <w:color w:val="auto"/>
        </w:rPr>
      </w:pPr>
      <w:r>
        <w:rPr>
          <w:rFonts w:ascii="Arial" w:cs="Arial" w:eastAsia="Arial" w:hAnsi="Arial"/>
          <w:sz w:val="17"/>
          <w:szCs w:val="17"/>
          <w:color w:val="auto"/>
        </w:rPr>
        <w:t>Our sponsored benefit plans incurred fees of $51,000 and $52,000 related to audit services in the years 2025 and 2024, respectively. These fees are paid for by the benefit plan.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All fees above includ</w:t>
      </w:r>
      <w:r>
        <w:rPr>
          <w:rFonts w:ascii="Arial" w:cs="Arial" w:eastAsia="Arial" w:hAnsi="Arial"/>
          <w:sz w:val="16"/>
          <w:szCs w:val="16"/>
          <w:color w:val="auto"/>
        </w:rPr>
        <w:t>e out-of-pocket expenses.</w:t>
      </w:r>
    </w:p>
    <w:p>
      <w:pPr>
        <w:spacing w:after="0" w:line="292"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25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9"/>
          <w:szCs w:val="29"/>
          <w:b w:val="1"/>
          <w:bCs w:val="1"/>
          <w:color w:val="auto"/>
        </w:rPr>
        <w:t xml:space="preserve"> FINANCE COMMITTEE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RESPONSIBILITIES</w:t>
      </w:r>
    </w:p>
    <w:p>
      <w:pPr>
        <w:spacing w:after="0" w:line="118" w:lineRule="exact"/>
        <w:rPr>
          <w:sz w:val="20"/>
          <w:szCs w:val="20"/>
          <w:color w:val="auto"/>
        </w:rPr>
      </w:pPr>
    </w:p>
    <w:p>
      <w:pPr>
        <w:ind w:right="200"/>
        <w:spacing w:after="0" w:line="301" w:lineRule="auto"/>
        <w:rPr>
          <w:sz w:val="20"/>
          <w:szCs w:val="20"/>
          <w:color w:val="auto"/>
        </w:rPr>
      </w:pPr>
      <w:r>
        <w:rPr>
          <w:rFonts w:ascii="Arial" w:cs="Arial" w:eastAsia="Arial" w:hAnsi="Arial"/>
          <w:sz w:val="17"/>
          <w:szCs w:val="17"/>
          <w:color w:val="auto"/>
        </w:rPr>
        <w:t>The Finance Committee’s responsibilities include reviewing and making recommendations to the Board on significant financial matters, including:</w:t>
      </w:r>
    </w:p>
    <w:p>
      <w:pPr>
        <w:spacing w:after="0" w:line="50" w:lineRule="exact"/>
        <w:rPr>
          <w:sz w:val="20"/>
          <w:szCs w:val="20"/>
          <w:color w:val="auto"/>
        </w:rPr>
      </w:pPr>
    </w:p>
    <w:p>
      <w:pPr>
        <w:ind w:left="140" w:right="520" w:hanging="133"/>
        <w:spacing w:after="0" w:line="281" w:lineRule="auto"/>
        <w:tabs>
          <w:tab w:leader="none" w:pos="140" w:val="left"/>
        </w:tabs>
        <w:numPr>
          <w:ilvl w:val="0"/>
          <w:numId w:val="60"/>
        </w:numPr>
        <w:rPr>
          <w:rFonts w:ascii="Arial" w:cs="Arial" w:eastAsia="Arial" w:hAnsi="Arial"/>
          <w:sz w:val="17"/>
          <w:szCs w:val="17"/>
          <w:color w:val="582C83"/>
        </w:rPr>
      </w:pPr>
      <w:r>
        <w:rPr>
          <w:rFonts w:ascii="Arial" w:cs="Arial" w:eastAsia="Arial" w:hAnsi="Arial"/>
          <w:sz w:val="17"/>
          <w:szCs w:val="17"/>
          <w:color w:val="auto"/>
        </w:rPr>
        <w:t>at least annually, our long-term capital structure, including financing plans, projected financial structure, funding requirements, target credit ratings, and return on invested capital;</w:t>
      </w:r>
    </w:p>
    <w:p>
      <w:pPr>
        <w:spacing w:after="0" w:line="1" w:lineRule="exact"/>
        <w:rPr>
          <w:rFonts w:ascii="Arial" w:cs="Arial" w:eastAsia="Arial" w:hAnsi="Arial"/>
          <w:sz w:val="17"/>
          <w:szCs w:val="17"/>
          <w:color w:val="582C83"/>
        </w:rPr>
      </w:pPr>
    </w:p>
    <w:p>
      <w:pPr>
        <w:ind w:left="140" w:hanging="133"/>
        <w:spacing w:after="0"/>
        <w:tabs>
          <w:tab w:leader="none" w:pos="140" w:val="left"/>
        </w:tabs>
        <w:numPr>
          <w:ilvl w:val="0"/>
          <w:numId w:val="60"/>
        </w:numPr>
        <w:rPr>
          <w:rFonts w:ascii="Arial" w:cs="Arial" w:eastAsia="Arial" w:hAnsi="Arial"/>
          <w:sz w:val="17"/>
          <w:szCs w:val="17"/>
          <w:color w:val="582C83"/>
        </w:rPr>
      </w:pPr>
      <w:r>
        <w:rPr>
          <w:rFonts w:ascii="Arial" w:cs="Arial" w:eastAsia="Arial" w:hAnsi="Arial"/>
          <w:sz w:val="17"/>
          <w:szCs w:val="17"/>
          <w:color w:val="auto"/>
        </w:rPr>
        <w:t>authorization of issuances, sales, or repurchases of equity and debt securities;</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60"/>
        </w:numPr>
        <w:rPr>
          <w:rFonts w:ascii="Arial" w:cs="Arial" w:eastAsia="Arial" w:hAnsi="Arial"/>
          <w:sz w:val="17"/>
          <w:szCs w:val="17"/>
          <w:color w:val="582C83"/>
        </w:rPr>
      </w:pPr>
      <w:r>
        <w:rPr>
          <w:rFonts w:ascii="Arial" w:cs="Arial" w:eastAsia="Arial" w:hAnsi="Arial"/>
          <w:sz w:val="17"/>
          <w:szCs w:val="17"/>
          <w:color w:val="auto"/>
        </w:rPr>
        <w:t>our external dividend policy and dividend recommendations;</w:t>
      </w:r>
    </w:p>
    <w:p>
      <w:pPr>
        <w:spacing w:after="0" w:line="47" w:lineRule="exact"/>
        <w:rPr>
          <w:rFonts w:ascii="Arial" w:cs="Arial" w:eastAsia="Arial" w:hAnsi="Arial"/>
          <w:sz w:val="17"/>
          <w:szCs w:val="17"/>
          <w:color w:val="582C83"/>
        </w:rPr>
      </w:pPr>
    </w:p>
    <w:p>
      <w:pPr>
        <w:ind w:left="140" w:right="100" w:hanging="133"/>
        <w:spacing w:after="0" w:line="281" w:lineRule="auto"/>
        <w:tabs>
          <w:tab w:leader="none" w:pos="140" w:val="left"/>
        </w:tabs>
        <w:numPr>
          <w:ilvl w:val="0"/>
          <w:numId w:val="60"/>
        </w:numPr>
        <w:rPr>
          <w:rFonts w:ascii="Arial" w:cs="Arial" w:eastAsia="Arial" w:hAnsi="Arial"/>
          <w:sz w:val="17"/>
          <w:szCs w:val="17"/>
          <w:color w:val="582C83"/>
        </w:rPr>
      </w:pPr>
      <w:r>
        <w:rPr>
          <w:rFonts w:ascii="Arial" w:cs="Arial" w:eastAsia="Arial" w:hAnsi="Arial"/>
          <w:sz w:val="17"/>
          <w:szCs w:val="17"/>
          <w:color w:val="auto"/>
        </w:rPr>
        <w:t>proposed acquisitions, divestitures, joint ventures, investments, asset sales, and purchase commitments for services in excess of $100 million; and</w:t>
      </w:r>
    </w:p>
    <w:p>
      <w:pPr>
        <w:spacing w:after="0" w:line="1" w:lineRule="exact"/>
        <w:rPr>
          <w:rFonts w:ascii="Arial" w:cs="Arial" w:eastAsia="Arial" w:hAnsi="Arial"/>
          <w:sz w:val="17"/>
          <w:szCs w:val="17"/>
          <w:color w:val="582C83"/>
        </w:rPr>
      </w:pPr>
    </w:p>
    <w:p>
      <w:pPr>
        <w:ind w:left="140" w:hanging="133"/>
        <w:spacing w:after="0"/>
        <w:tabs>
          <w:tab w:leader="none" w:pos="140" w:val="left"/>
        </w:tabs>
        <w:numPr>
          <w:ilvl w:val="0"/>
          <w:numId w:val="60"/>
        </w:numPr>
        <w:rPr>
          <w:rFonts w:ascii="Arial" w:cs="Arial" w:eastAsia="Arial" w:hAnsi="Arial"/>
          <w:sz w:val="17"/>
          <w:szCs w:val="17"/>
          <w:color w:val="582C83"/>
        </w:rPr>
      </w:pPr>
      <w:r>
        <w:rPr>
          <w:rFonts w:ascii="Arial" w:cs="Arial" w:eastAsia="Arial" w:hAnsi="Arial"/>
          <w:sz w:val="17"/>
          <w:szCs w:val="17"/>
          <w:color w:val="auto"/>
        </w:rPr>
        <w:t>Board authorization and delegation matrix with respect to financing matters.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Finance Committee also reviews and discusses with management:</w:t>
      </w:r>
    </w:p>
    <w:p>
      <w:pPr>
        <w:spacing w:after="0" w:line="61" w:lineRule="exact"/>
        <w:rPr>
          <w:sz w:val="20"/>
          <w:szCs w:val="20"/>
          <w:color w:val="auto"/>
        </w:rPr>
      </w:pPr>
    </w:p>
    <w:p>
      <w:pPr>
        <w:ind w:left="140" w:right="1260" w:hanging="133"/>
        <w:spacing w:after="0" w:line="301" w:lineRule="auto"/>
        <w:tabs>
          <w:tab w:leader="none" w:pos="140" w:val="left"/>
        </w:tabs>
        <w:numPr>
          <w:ilvl w:val="0"/>
          <w:numId w:val="61"/>
        </w:numPr>
        <w:rPr>
          <w:rFonts w:ascii="Arial" w:cs="Arial" w:eastAsia="Arial" w:hAnsi="Arial"/>
          <w:sz w:val="17"/>
          <w:szCs w:val="17"/>
          <w:color w:val="582C83"/>
        </w:rPr>
      </w:pPr>
      <w:r>
        <w:rPr>
          <w:rFonts w:ascii="Arial" w:cs="Arial" w:eastAsia="Arial" w:hAnsi="Arial"/>
          <w:sz w:val="17"/>
          <w:szCs w:val="17"/>
          <w:color w:val="auto"/>
        </w:rPr>
        <w:t>results of transactions such as acquisitions, divestitures, joint ventures, and investments, in excess of $100 million; and</w:t>
      </w:r>
    </w:p>
    <w:p>
      <w:pPr>
        <w:sectPr>
          <w:pgSz w:w="11900" w:h="16838" w:orient="portrait"/>
          <w:cols w:equalWidth="0" w:num="1">
            <w:col w:w="9040"/>
          </w:cols>
          <w:pgMar w:left="1420" w:top="19" w:right="1439" w:bottom="0" w:gutter="0" w:footer="0" w:header="0"/>
        </w:sectPr>
      </w:pPr>
    </w:p>
    <w:bookmarkStart w:id="45" w:name="page46"/>
    <w:bookmarkEnd w:id="45"/>
    <w:p>
      <w:pPr>
        <w:ind w:left="140" w:hanging="133"/>
        <w:spacing w:after="0"/>
        <w:tabs>
          <w:tab w:leader="none" w:pos="140" w:val="left"/>
        </w:tabs>
        <w:numPr>
          <w:ilvl w:val="0"/>
          <w:numId w:val="62"/>
        </w:numPr>
        <w:rPr>
          <w:rFonts w:ascii="Arial" w:cs="Arial" w:eastAsia="Arial" w:hAnsi="Arial"/>
          <w:sz w:val="17"/>
          <w:szCs w:val="17"/>
          <w:color w:val="582C83"/>
        </w:rPr>
      </w:pPr>
      <w:r>
        <w:rPr>
          <w:rFonts w:ascii="Arial" w:cs="Arial" w:eastAsia="Arial" w:hAnsi="Arial"/>
          <w:sz w:val="17"/>
          <w:szCs w:val="17"/>
          <w:color w:val="auto"/>
        </w:rPr>
        <w:t>the cash-flow impact of non-debt obligations, including funding pension and other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-100330</wp:posOffset>
            </wp:positionV>
            <wp:extent cx="6810375" cy="6191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10375" cy="619125"/>
                    </a:xfrm>
                    <a:prstGeom prst="rect">
                      <a:avLst/>
                    </a:prstGeom>
                    <a:noFill/>
                  </pic:spPr>
                </pic:pic>
              </a:graphicData>
            </a:graphic>
          </wp:anchor>
        </w:drawing>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50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8677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60"/>
        <w:spacing w:after="0"/>
        <w:rPr>
          <w:sz w:val="20"/>
          <w:szCs w:val="20"/>
          <w:color w:val="auto"/>
        </w:rPr>
      </w:pPr>
      <w:r>
        <w:rPr>
          <w:rFonts w:ascii="Arial" w:cs="Arial" w:eastAsia="Arial" w:hAnsi="Arial"/>
          <w:sz w:val="21"/>
          <w:szCs w:val="21"/>
          <w:b w:val="1"/>
          <w:bCs w:val="1"/>
          <w:color w:val="auto"/>
        </w:rPr>
        <w:t>BOARD COMMITTEES AND MEMBERSHIP</w:t>
      </w:r>
    </w:p>
    <w:p>
      <w:pPr>
        <w:spacing w:after="0" w:line="48" w:lineRule="exact"/>
        <w:rPr>
          <w:sz w:val="20"/>
          <w:szCs w:val="20"/>
          <w:color w:val="auto"/>
        </w:rPr>
      </w:pPr>
    </w:p>
    <w:p>
      <w:pPr>
        <w:ind w:left="5400"/>
        <w:spacing w:after="0"/>
        <w:rPr>
          <w:sz w:val="20"/>
          <w:szCs w:val="20"/>
          <w:color w:val="auto"/>
        </w:rPr>
      </w:pPr>
      <w:r>
        <w:rPr>
          <w:rFonts w:ascii="Arial" w:cs="Arial" w:eastAsia="Arial" w:hAnsi="Arial"/>
          <w:sz w:val="14"/>
          <w:szCs w:val="14"/>
          <w:color w:val="auto"/>
        </w:rPr>
        <w:t>Governance, Membership, and Sustainability Committee</w:t>
      </w: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GOVERNANCE, MEMBERSHIP, AND</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SUSTAINABILITY COMMITTEE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RESPONSIBILITIES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Governance Committee’s responsibilities include: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Membership</w:t>
      </w:r>
    </w:p>
    <w:p>
      <w:pPr>
        <w:spacing w:after="0" w:line="114" w:lineRule="exact"/>
        <w:rPr>
          <w:sz w:val="20"/>
          <w:szCs w:val="20"/>
          <w:color w:val="auto"/>
        </w:rPr>
      </w:pPr>
    </w:p>
    <w:p>
      <w:pPr>
        <w:ind w:left="140" w:right="239" w:hanging="133"/>
        <w:spacing w:after="0" w:line="290" w:lineRule="auto"/>
        <w:tabs>
          <w:tab w:leader="none" w:pos="140" w:val="left"/>
        </w:tabs>
        <w:numPr>
          <w:ilvl w:val="0"/>
          <w:numId w:val="63"/>
        </w:numPr>
        <w:rPr>
          <w:rFonts w:ascii="Arial" w:cs="Arial" w:eastAsia="Arial" w:hAnsi="Arial"/>
          <w:sz w:val="17"/>
          <w:szCs w:val="17"/>
          <w:color w:val="582C83"/>
        </w:rPr>
      </w:pPr>
      <w:r>
        <w:rPr>
          <w:rFonts w:ascii="Arial" w:cs="Arial" w:eastAsia="Arial" w:hAnsi="Arial"/>
          <w:sz w:val="17"/>
          <w:szCs w:val="17"/>
          <w:color w:val="auto"/>
        </w:rPr>
        <w:t>at least annually, reviewing the characteristics, skills, knowledge, experience, and other contributions for identifying and evaluating directors and recommend changes to the Board, if any;</w:t>
      </w:r>
    </w:p>
    <w:p>
      <w:pPr>
        <w:ind w:left="140" w:right="59" w:hanging="133"/>
        <w:spacing w:after="0" w:line="281" w:lineRule="auto"/>
        <w:tabs>
          <w:tab w:leader="none" w:pos="140" w:val="left"/>
        </w:tabs>
        <w:numPr>
          <w:ilvl w:val="0"/>
          <w:numId w:val="63"/>
        </w:numPr>
        <w:rPr>
          <w:rFonts w:ascii="Arial" w:cs="Arial" w:eastAsia="Arial" w:hAnsi="Arial"/>
          <w:sz w:val="17"/>
          <w:szCs w:val="17"/>
          <w:color w:val="582C83"/>
        </w:rPr>
      </w:pPr>
      <w:r>
        <w:rPr>
          <w:rFonts w:ascii="Arial" w:cs="Arial" w:eastAsia="Arial" w:hAnsi="Arial"/>
          <w:sz w:val="17"/>
          <w:szCs w:val="17"/>
          <w:color w:val="auto"/>
        </w:rPr>
        <w:t>reviewing the qualifications of candidates for director suggested by Board members, shareholders, management, and others in accordance with criteria approved by the Board;</w:t>
      </w:r>
    </w:p>
    <w:p>
      <w:pPr>
        <w:spacing w:after="0" w:line="1" w:lineRule="exact"/>
        <w:rPr>
          <w:rFonts w:ascii="Arial" w:cs="Arial" w:eastAsia="Arial" w:hAnsi="Arial"/>
          <w:sz w:val="17"/>
          <w:szCs w:val="17"/>
          <w:color w:val="582C83"/>
        </w:rPr>
      </w:pPr>
    </w:p>
    <w:p>
      <w:pPr>
        <w:ind w:left="140" w:right="539" w:hanging="133"/>
        <w:spacing w:after="0" w:line="281" w:lineRule="auto"/>
        <w:tabs>
          <w:tab w:leader="none" w:pos="140" w:val="left"/>
        </w:tabs>
        <w:numPr>
          <w:ilvl w:val="0"/>
          <w:numId w:val="63"/>
        </w:numPr>
        <w:rPr>
          <w:rFonts w:ascii="Arial" w:cs="Arial" w:eastAsia="Arial" w:hAnsi="Arial"/>
          <w:sz w:val="17"/>
          <w:szCs w:val="17"/>
          <w:color w:val="582C83"/>
        </w:rPr>
      </w:pPr>
      <w:r>
        <w:rPr>
          <w:rFonts w:ascii="Arial" w:cs="Arial" w:eastAsia="Arial" w:hAnsi="Arial"/>
          <w:sz w:val="17"/>
          <w:szCs w:val="17"/>
          <w:color w:val="auto"/>
        </w:rPr>
        <w:t>considering the performance and suitability of incumbent directors in determining whether to nominate them for re-election;</w:t>
      </w:r>
    </w:p>
    <w:p>
      <w:pPr>
        <w:spacing w:after="0" w:line="1" w:lineRule="exact"/>
        <w:rPr>
          <w:rFonts w:ascii="Arial" w:cs="Arial" w:eastAsia="Arial" w:hAnsi="Arial"/>
          <w:sz w:val="17"/>
          <w:szCs w:val="17"/>
          <w:color w:val="582C83"/>
        </w:rPr>
      </w:pPr>
    </w:p>
    <w:p>
      <w:pPr>
        <w:ind w:left="140" w:right="539" w:hanging="133"/>
        <w:spacing w:after="0" w:line="290" w:lineRule="auto"/>
        <w:tabs>
          <w:tab w:leader="none" w:pos="140" w:val="left"/>
        </w:tabs>
        <w:numPr>
          <w:ilvl w:val="0"/>
          <w:numId w:val="63"/>
        </w:numPr>
        <w:rPr>
          <w:rFonts w:ascii="Arial" w:cs="Arial" w:eastAsia="Arial" w:hAnsi="Arial"/>
          <w:sz w:val="17"/>
          <w:szCs w:val="17"/>
          <w:color w:val="582C83"/>
        </w:rPr>
      </w:pPr>
      <w:r>
        <w:rPr>
          <w:rFonts w:ascii="Arial" w:cs="Arial" w:eastAsia="Arial" w:hAnsi="Arial"/>
          <w:sz w:val="17"/>
          <w:szCs w:val="17"/>
          <w:color w:val="auto"/>
        </w:rPr>
        <w:t>recommending to the Board a slate of nominees for election or re-election to the Board at each annual meeting of shareholders;</w:t>
      </w:r>
    </w:p>
    <w:p>
      <w:pPr>
        <w:ind w:left="140" w:right="639" w:hanging="133"/>
        <w:spacing w:after="0" w:line="281" w:lineRule="auto"/>
        <w:tabs>
          <w:tab w:leader="none" w:pos="140" w:val="left"/>
        </w:tabs>
        <w:numPr>
          <w:ilvl w:val="0"/>
          <w:numId w:val="63"/>
        </w:numPr>
        <w:rPr>
          <w:rFonts w:ascii="Arial" w:cs="Arial" w:eastAsia="Arial" w:hAnsi="Arial"/>
          <w:sz w:val="17"/>
          <w:szCs w:val="17"/>
          <w:color w:val="582C83"/>
        </w:rPr>
      </w:pPr>
      <w:r>
        <w:rPr>
          <w:rFonts w:ascii="Arial" w:cs="Arial" w:eastAsia="Arial" w:hAnsi="Arial"/>
          <w:sz w:val="17"/>
          <w:szCs w:val="17"/>
          <w:color w:val="auto"/>
        </w:rPr>
        <w:t>recommending to the Board candidates to be appointed to the Board as necessary to fill vacancies and newly created directorships;</w:t>
      </w:r>
    </w:p>
    <w:p>
      <w:pPr>
        <w:spacing w:after="0" w:line="1" w:lineRule="exact"/>
        <w:rPr>
          <w:rFonts w:ascii="Arial" w:cs="Arial" w:eastAsia="Arial" w:hAnsi="Arial"/>
          <w:sz w:val="17"/>
          <w:szCs w:val="17"/>
          <w:color w:val="582C83"/>
        </w:rPr>
      </w:pPr>
    </w:p>
    <w:p>
      <w:pPr>
        <w:ind w:left="140" w:right="259" w:hanging="133"/>
        <w:spacing w:after="0" w:line="281" w:lineRule="auto"/>
        <w:tabs>
          <w:tab w:leader="none" w:pos="140" w:val="left"/>
        </w:tabs>
        <w:numPr>
          <w:ilvl w:val="0"/>
          <w:numId w:val="63"/>
        </w:numPr>
        <w:rPr>
          <w:rFonts w:ascii="Arial" w:cs="Arial" w:eastAsia="Arial" w:hAnsi="Arial"/>
          <w:sz w:val="17"/>
          <w:szCs w:val="17"/>
          <w:color w:val="582C83"/>
        </w:rPr>
      </w:pPr>
      <w:r>
        <w:rPr>
          <w:rFonts w:ascii="Arial" w:cs="Arial" w:eastAsia="Arial" w:hAnsi="Arial"/>
          <w:sz w:val="17"/>
          <w:szCs w:val="17"/>
          <w:color w:val="auto"/>
        </w:rPr>
        <w:t>reviewing and making recommendations to the Board as to the determination of director independence and related person transactions;</w:t>
      </w:r>
    </w:p>
    <w:p>
      <w:pPr>
        <w:spacing w:after="0" w:line="1" w:lineRule="exact"/>
        <w:rPr>
          <w:rFonts w:ascii="Arial" w:cs="Arial" w:eastAsia="Arial" w:hAnsi="Arial"/>
          <w:sz w:val="17"/>
          <w:szCs w:val="17"/>
          <w:color w:val="582C83"/>
        </w:rPr>
      </w:pPr>
    </w:p>
    <w:p>
      <w:pPr>
        <w:ind w:left="140" w:hanging="133"/>
        <w:spacing w:after="0"/>
        <w:tabs>
          <w:tab w:leader="none" w:pos="140" w:val="left"/>
        </w:tabs>
        <w:numPr>
          <w:ilvl w:val="0"/>
          <w:numId w:val="63"/>
        </w:numPr>
        <w:rPr>
          <w:rFonts w:ascii="Arial" w:cs="Arial" w:eastAsia="Arial" w:hAnsi="Arial"/>
          <w:sz w:val="17"/>
          <w:szCs w:val="17"/>
          <w:color w:val="582C83"/>
        </w:rPr>
      </w:pPr>
      <w:r>
        <w:rPr>
          <w:rFonts w:ascii="Arial" w:cs="Arial" w:eastAsia="Arial" w:hAnsi="Arial"/>
          <w:sz w:val="17"/>
          <w:szCs w:val="17"/>
          <w:color w:val="auto"/>
        </w:rPr>
        <w:t>recommending to the Board and overseeing compliance with director retirement policies;</w:t>
      </w:r>
    </w:p>
    <w:p>
      <w:pPr>
        <w:spacing w:after="0" w:line="61" w:lineRule="exact"/>
        <w:rPr>
          <w:rFonts w:ascii="Arial" w:cs="Arial" w:eastAsia="Arial" w:hAnsi="Arial"/>
          <w:sz w:val="17"/>
          <w:szCs w:val="17"/>
          <w:color w:val="582C83"/>
        </w:rPr>
      </w:pPr>
    </w:p>
    <w:p>
      <w:pPr>
        <w:ind w:left="140" w:right="59" w:hanging="133"/>
        <w:spacing w:after="0" w:line="281" w:lineRule="auto"/>
        <w:tabs>
          <w:tab w:leader="none" w:pos="140" w:val="left"/>
        </w:tabs>
        <w:numPr>
          <w:ilvl w:val="0"/>
          <w:numId w:val="63"/>
        </w:numPr>
        <w:rPr>
          <w:rFonts w:ascii="Arial" w:cs="Arial" w:eastAsia="Arial" w:hAnsi="Arial"/>
          <w:sz w:val="17"/>
          <w:szCs w:val="17"/>
          <w:color w:val="582C83"/>
        </w:rPr>
      </w:pPr>
      <w:r>
        <w:rPr>
          <w:rFonts w:ascii="Arial" w:cs="Arial" w:eastAsia="Arial" w:hAnsi="Arial"/>
          <w:sz w:val="17"/>
          <w:szCs w:val="17"/>
          <w:color w:val="auto"/>
        </w:rPr>
        <w:t>recommending to the Board directors to serve as members and chairs of each committee, as well as candidates to fill vacancies on any committee of the Board;</w:t>
      </w:r>
    </w:p>
    <w:p>
      <w:pPr>
        <w:spacing w:after="0" w:line="1" w:lineRule="exact"/>
        <w:rPr>
          <w:rFonts w:ascii="Arial" w:cs="Arial" w:eastAsia="Arial" w:hAnsi="Arial"/>
          <w:sz w:val="17"/>
          <w:szCs w:val="17"/>
          <w:color w:val="582C83"/>
        </w:rPr>
      </w:pPr>
    </w:p>
    <w:p>
      <w:pPr>
        <w:ind w:left="140" w:right="359" w:hanging="133"/>
        <w:spacing w:after="0" w:line="281" w:lineRule="auto"/>
        <w:tabs>
          <w:tab w:leader="none" w:pos="140" w:val="left"/>
        </w:tabs>
        <w:numPr>
          <w:ilvl w:val="0"/>
          <w:numId w:val="63"/>
        </w:numPr>
        <w:rPr>
          <w:rFonts w:ascii="Arial" w:cs="Arial" w:eastAsia="Arial" w:hAnsi="Arial"/>
          <w:sz w:val="17"/>
          <w:szCs w:val="17"/>
          <w:color w:val="582C83"/>
        </w:rPr>
      </w:pPr>
      <w:r>
        <w:rPr>
          <w:rFonts w:ascii="Arial" w:cs="Arial" w:eastAsia="Arial" w:hAnsi="Arial"/>
          <w:sz w:val="17"/>
          <w:szCs w:val="17"/>
          <w:color w:val="auto"/>
        </w:rPr>
        <w:t>periodically reviewing succession plans for directors, members of each committee, each committee chair, and the Lead Independent Director;</w:t>
      </w:r>
    </w:p>
    <w:p>
      <w:pPr>
        <w:spacing w:after="0" w:line="1" w:lineRule="exact"/>
        <w:rPr>
          <w:rFonts w:ascii="Arial" w:cs="Arial" w:eastAsia="Arial" w:hAnsi="Arial"/>
          <w:sz w:val="17"/>
          <w:szCs w:val="17"/>
          <w:color w:val="582C83"/>
        </w:rPr>
      </w:pPr>
    </w:p>
    <w:p>
      <w:pPr>
        <w:ind w:left="140" w:hanging="133"/>
        <w:spacing w:after="0"/>
        <w:tabs>
          <w:tab w:leader="none" w:pos="140" w:val="left"/>
        </w:tabs>
        <w:numPr>
          <w:ilvl w:val="0"/>
          <w:numId w:val="63"/>
        </w:numPr>
        <w:rPr>
          <w:rFonts w:ascii="Arial" w:cs="Arial" w:eastAsia="Arial" w:hAnsi="Arial"/>
          <w:sz w:val="17"/>
          <w:szCs w:val="17"/>
          <w:color w:val="582C83"/>
        </w:rPr>
      </w:pPr>
      <w:r>
        <w:rPr>
          <w:rFonts w:ascii="Arial" w:cs="Arial" w:eastAsia="Arial" w:hAnsi="Arial"/>
          <w:sz w:val="17"/>
          <w:szCs w:val="17"/>
          <w:color w:val="auto"/>
        </w:rPr>
        <w:t>evaluating any PCC interlocks among Board members and executive officers;</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63"/>
        </w:numPr>
        <w:rPr>
          <w:rFonts w:ascii="Arial" w:cs="Arial" w:eastAsia="Arial" w:hAnsi="Arial"/>
          <w:sz w:val="17"/>
          <w:szCs w:val="17"/>
          <w:color w:val="582C83"/>
        </w:rPr>
      </w:pPr>
      <w:r>
        <w:rPr>
          <w:rFonts w:ascii="Arial" w:cs="Arial" w:eastAsia="Arial" w:hAnsi="Arial"/>
          <w:sz w:val="17"/>
          <w:szCs w:val="17"/>
          <w:color w:val="auto"/>
        </w:rPr>
        <w:t>monitoring directors’ compliance with the stock ownership guidelines; and</w:t>
      </w:r>
    </w:p>
    <w:p>
      <w:pPr>
        <w:spacing w:after="0" w:line="47" w:lineRule="exact"/>
        <w:rPr>
          <w:rFonts w:ascii="Arial" w:cs="Arial" w:eastAsia="Arial" w:hAnsi="Arial"/>
          <w:sz w:val="17"/>
          <w:szCs w:val="17"/>
          <w:color w:val="582C83"/>
        </w:rPr>
      </w:pPr>
    </w:p>
    <w:p>
      <w:pPr>
        <w:ind w:left="140" w:right="999" w:hanging="133"/>
        <w:spacing w:after="0" w:line="301" w:lineRule="auto"/>
        <w:tabs>
          <w:tab w:leader="none" w:pos="140" w:val="left"/>
        </w:tabs>
        <w:numPr>
          <w:ilvl w:val="0"/>
          <w:numId w:val="63"/>
        </w:numPr>
        <w:rPr>
          <w:rFonts w:ascii="Arial" w:cs="Arial" w:eastAsia="Arial" w:hAnsi="Arial"/>
          <w:sz w:val="17"/>
          <w:szCs w:val="17"/>
          <w:color w:val="582C83"/>
        </w:rPr>
      </w:pPr>
      <w:r>
        <w:rPr>
          <w:rFonts w:ascii="Arial" w:cs="Arial" w:eastAsia="Arial" w:hAnsi="Arial"/>
          <w:sz w:val="17"/>
          <w:szCs w:val="17"/>
          <w:color w:val="auto"/>
        </w:rPr>
        <w:t>overseeing the orientation of new directors and evaluating opportunities for Board members to engage in continuing education.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114" w:lineRule="exact"/>
        <w:rPr>
          <w:sz w:val="20"/>
          <w:szCs w:val="20"/>
          <w:color w:val="auto"/>
        </w:rPr>
      </w:pPr>
    </w:p>
    <w:p>
      <w:pPr>
        <w:ind w:left="140" w:hanging="133"/>
        <w:spacing w:after="0"/>
        <w:tabs>
          <w:tab w:leader="none" w:pos="140" w:val="left"/>
        </w:tabs>
        <w:numPr>
          <w:ilvl w:val="0"/>
          <w:numId w:val="64"/>
        </w:numPr>
        <w:rPr>
          <w:rFonts w:ascii="Arial" w:cs="Arial" w:eastAsia="Arial" w:hAnsi="Arial"/>
          <w:sz w:val="17"/>
          <w:szCs w:val="17"/>
          <w:color w:val="582C83"/>
        </w:rPr>
      </w:pPr>
      <w:r>
        <w:rPr>
          <w:rFonts w:ascii="Arial" w:cs="Arial" w:eastAsia="Arial" w:hAnsi="Arial"/>
          <w:sz w:val="17"/>
          <w:szCs w:val="17"/>
          <w:color w:val="auto"/>
        </w:rPr>
        <w:t>annually reviewing and recommending to the Board changes to the Guidelines;</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64"/>
        </w:numPr>
        <w:rPr>
          <w:rFonts w:ascii="Arial" w:cs="Arial" w:eastAsia="Arial" w:hAnsi="Arial"/>
          <w:sz w:val="17"/>
          <w:szCs w:val="17"/>
          <w:color w:val="582C83"/>
        </w:rPr>
      </w:pPr>
      <w:r>
        <w:rPr>
          <w:rFonts w:ascii="Arial" w:cs="Arial" w:eastAsia="Arial" w:hAnsi="Arial"/>
          <w:sz w:val="17"/>
          <w:szCs w:val="17"/>
          <w:color w:val="auto"/>
        </w:rPr>
        <w:t>making recommendations to the Board concerning the frequency and content of Board meetings;</w:t>
      </w:r>
    </w:p>
    <w:p>
      <w:pPr>
        <w:spacing w:after="0" w:line="47" w:lineRule="exact"/>
        <w:rPr>
          <w:rFonts w:ascii="Arial" w:cs="Arial" w:eastAsia="Arial" w:hAnsi="Arial"/>
          <w:sz w:val="17"/>
          <w:szCs w:val="17"/>
          <w:color w:val="582C83"/>
        </w:rPr>
      </w:pPr>
    </w:p>
    <w:p>
      <w:pPr>
        <w:ind w:left="140" w:hanging="133"/>
        <w:spacing w:after="0"/>
        <w:tabs>
          <w:tab w:leader="none" w:pos="140" w:val="left"/>
        </w:tabs>
        <w:numPr>
          <w:ilvl w:val="0"/>
          <w:numId w:val="64"/>
        </w:numPr>
        <w:rPr>
          <w:rFonts w:ascii="Arial" w:cs="Arial" w:eastAsia="Arial" w:hAnsi="Arial"/>
          <w:sz w:val="17"/>
          <w:szCs w:val="17"/>
          <w:color w:val="582C83"/>
        </w:rPr>
      </w:pPr>
      <w:r>
        <w:rPr>
          <w:rFonts w:ascii="Arial" w:cs="Arial" w:eastAsia="Arial" w:hAnsi="Arial"/>
          <w:sz w:val="17"/>
          <w:szCs w:val="17"/>
          <w:color w:val="auto"/>
        </w:rPr>
        <w:t>supporting effective risk oversight by recommending focus areas and role clarity between the Board and committees;</w:t>
      </w:r>
    </w:p>
    <w:p>
      <w:pPr>
        <w:spacing w:after="0" w:line="61" w:lineRule="exact"/>
        <w:rPr>
          <w:rFonts w:ascii="Arial" w:cs="Arial" w:eastAsia="Arial" w:hAnsi="Arial"/>
          <w:sz w:val="17"/>
          <w:szCs w:val="17"/>
          <w:color w:val="582C83"/>
        </w:rPr>
      </w:pPr>
    </w:p>
    <w:p>
      <w:pPr>
        <w:ind w:left="140" w:right="259" w:hanging="133"/>
        <w:spacing w:after="0" w:line="281" w:lineRule="auto"/>
        <w:tabs>
          <w:tab w:leader="none" w:pos="140" w:val="left"/>
        </w:tabs>
        <w:numPr>
          <w:ilvl w:val="0"/>
          <w:numId w:val="64"/>
        </w:numPr>
        <w:rPr>
          <w:rFonts w:ascii="Arial" w:cs="Arial" w:eastAsia="Arial" w:hAnsi="Arial"/>
          <w:sz w:val="17"/>
          <w:szCs w:val="17"/>
          <w:color w:val="582C83"/>
        </w:rPr>
      </w:pPr>
      <w:r>
        <w:rPr>
          <w:rFonts w:ascii="Arial" w:cs="Arial" w:eastAsia="Arial" w:hAnsi="Arial"/>
          <w:sz w:val="17"/>
          <w:szCs w:val="17"/>
          <w:color w:val="auto"/>
        </w:rPr>
        <w:t>making recommendations to the Board concerning the appropriate size, function, composition, and structure of the Board and its committees;</w:t>
      </w:r>
    </w:p>
    <w:p>
      <w:pPr>
        <w:spacing w:after="0" w:line="1" w:lineRule="exact"/>
        <w:rPr>
          <w:rFonts w:ascii="Arial" w:cs="Arial" w:eastAsia="Arial" w:hAnsi="Arial"/>
          <w:sz w:val="17"/>
          <w:szCs w:val="17"/>
          <w:color w:val="582C83"/>
        </w:rPr>
      </w:pPr>
    </w:p>
    <w:p>
      <w:pPr>
        <w:ind w:left="140" w:right="719" w:hanging="133"/>
        <w:spacing w:after="0" w:line="281" w:lineRule="auto"/>
        <w:tabs>
          <w:tab w:leader="none" w:pos="140" w:val="left"/>
        </w:tabs>
        <w:numPr>
          <w:ilvl w:val="0"/>
          <w:numId w:val="64"/>
        </w:numPr>
        <w:rPr>
          <w:rFonts w:ascii="Arial" w:cs="Arial" w:eastAsia="Arial" w:hAnsi="Arial"/>
          <w:sz w:val="17"/>
          <w:szCs w:val="17"/>
          <w:color w:val="582C83"/>
        </w:rPr>
      </w:pPr>
      <w:r>
        <w:rPr>
          <w:rFonts w:ascii="Arial" w:cs="Arial" w:eastAsia="Arial" w:hAnsi="Arial"/>
          <w:sz w:val="17"/>
          <w:szCs w:val="17"/>
          <w:color w:val="auto"/>
        </w:rPr>
        <w:t>developing, recommending to the Board, and overseeing an annual self-evaluation process for the Board, its committees, and individual directors;</w:t>
      </w:r>
    </w:p>
    <w:p>
      <w:pPr>
        <w:spacing w:after="0" w:line="1" w:lineRule="exact"/>
        <w:rPr>
          <w:rFonts w:ascii="Arial" w:cs="Arial" w:eastAsia="Arial" w:hAnsi="Arial"/>
          <w:sz w:val="17"/>
          <w:szCs w:val="17"/>
          <w:color w:val="582C83"/>
        </w:rPr>
      </w:pPr>
    </w:p>
    <w:p>
      <w:pPr>
        <w:ind w:left="140" w:right="119" w:hanging="133"/>
        <w:spacing w:after="0" w:line="273" w:lineRule="auto"/>
        <w:tabs>
          <w:tab w:leader="none" w:pos="140" w:val="left"/>
        </w:tabs>
        <w:numPr>
          <w:ilvl w:val="0"/>
          <w:numId w:val="64"/>
        </w:numPr>
        <w:rPr>
          <w:rFonts w:ascii="Arial" w:cs="Arial" w:eastAsia="Arial" w:hAnsi="Arial"/>
          <w:sz w:val="17"/>
          <w:szCs w:val="17"/>
          <w:color w:val="582C83"/>
        </w:rPr>
      </w:pPr>
      <w:r>
        <w:rPr>
          <w:rFonts w:ascii="Arial" w:cs="Arial" w:eastAsia="Arial" w:hAnsi="Arial"/>
          <w:sz w:val="17"/>
          <w:szCs w:val="17"/>
          <w:color w:val="auto"/>
        </w:rPr>
        <w:t>administering the Code of Business Conduct and Ethics for Non-Employee Directors and, at least annually, meeting with the Corporate Secretary to review the Code of Business Conduct and Ethics for Non-Employee Directors and, if necessary, recommending changes to the Code of Business Conduct and Ethics for Non-Employee Directors to the Board;</w:t>
      </w:r>
    </w:p>
    <w:p>
      <w:pPr>
        <w:spacing w:after="0" w:line="1" w:lineRule="exact"/>
        <w:rPr>
          <w:rFonts w:ascii="Arial" w:cs="Arial" w:eastAsia="Arial" w:hAnsi="Arial"/>
          <w:sz w:val="17"/>
          <w:szCs w:val="17"/>
          <w:color w:val="582C83"/>
        </w:rPr>
      </w:pPr>
    </w:p>
    <w:p>
      <w:pPr>
        <w:ind w:left="140" w:hanging="133"/>
        <w:spacing w:after="0"/>
        <w:tabs>
          <w:tab w:leader="none" w:pos="140" w:val="left"/>
        </w:tabs>
        <w:numPr>
          <w:ilvl w:val="0"/>
          <w:numId w:val="64"/>
        </w:numPr>
        <w:rPr>
          <w:rFonts w:ascii="Arial" w:cs="Arial" w:eastAsia="Arial" w:hAnsi="Arial"/>
          <w:sz w:val="17"/>
          <w:szCs w:val="17"/>
          <w:color w:val="582C83"/>
        </w:rPr>
      </w:pPr>
      <w:r>
        <w:rPr>
          <w:rFonts w:ascii="Arial" w:cs="Arial" w:eastAsia="Arial" w:hAnsi="Arial"/>
          <w:sz w:val="17"/>
          <w:szCs w:val="17"/>
          <w:color w:val="auto"/>
        </w:rPr>
        <w:t>reviewing directorships at other for-profit organizations offered to directors and senior officers;</w:t>
      </w:r>
    </w:p>
    <w:p>
      <w:pPr>
        <w:spacing w:after="0" w:line="61" w:lineRule="exact"/>
        <w:rPr>
          <w:rFonts w:ascii="Arial" w:cs="Arial" w:eastAsia="Arial" w:hAnsi="Arial"/>
          <w:sz w:val="17"/>
          <w:szCs w:val="17"/>
          <w:color w:val="582C83"/>
        </w:rPr>
      </w:pPr>
    </w:p>
    <w:p>
      <w:pPr>
        <w:ind w:left="140" w:right="319" w:hanging="133"/>
        <w:spacing w:after="0" w:line="276" w:lineRule="auto"/>
        <w:tabs>
          <w:tab w:leader="none" w:pos="140" w:val="left"/>
        </w:tabs>
        <w:numPr>
          <w:ilvl w:val="0"/>
          <w:numId w:val="64"/>
        </w:numPr>
        <w:rPr>
          <w:rFonts w:ascii="Arial" w:cs="Arial" w:eastAsia="Arial" w:hAnsi="Arial"/>
          <w:sz w:val="17"/>
          <w:szCs w:val="17"/>
          <w:color w:val="582C83"/>
        </w:rPr>
      </w:pPr>
      <w:r>
        <w:rPr>
          <w:rFonts w:ascii="Arial" w:cs="Arial" w:eastAsia="Arial" w:hAnsi="Arial"/>
          <w:sz w:val="17"/>
          <w:szCs w:val="17"/>
          <w:color w:val="auto"/>
        </w:rPr>
        <w:t>overseeing our engagement with shareholders and proxy advisory firms, including with respect to shareholder proposals. The Committee may, as appropriate in light of the subject matter of the shareholder proposal, refer any such shareholder proposal to any other committee of the Board for review and recommendations; and</w:t>
      </w:r>
    </w:p>
    <w:p>
      <w:pPr>
        <w:ind w:left="140" w:right="279" w:hanging="133"/>
        <w:spacing w:after="0" w:line="301" w:lineRule="auto"/>
        <w:tabs>
          <w:tab w:leader="none" w:pos="140" w:val="left"/>
        </w:tabs>
        <w:numPr>
          <w:ilvl w:val="0"/>
          <w:numId w:val="64"/>
        </w:numPr>
        <w:rPr>
          <w:rFonts w:ascii="Arial" w:cs="Arial" w:eastAsia="Arial" w:hAnsi="Arial"/>
          <w:sz w:val="17"/>
          <w:szCs w:val="17"/>
          <w:color w:val="582C83"/>
        </w:rPr>
      </w:pPr>
      <w:r>
        <w:rPr>
          <w:rFonts w:ascii="Arial" w:cs="Arial" w:eastAsia="Arial" w:hAnsi="Arial"/>
          <w:sz w:val="17"/>
          <w:szCs w:val="17"/>
          <w:color w:val="auto"/>
        </w:rPr>
        <w:t>advising and making recommendations to the Board on corporate governance matters, to the extent these matters are not the responsibility of other committees.</w:t>
      </w:r>
    </w:p>
    <w:p>
      <w:pPr>
        <w:spacing w:after="0" w:line="400"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648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10375" cy="86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BOARD COMMITTEES AND MEMBERSHIP</w:t>
      </w:r>
    </w:p>
    <w:p>
      <w:pPr>
        <w:sectPr>
          <w:pgSz w:w="11900" w:h="16838" w:orient="portrait"/>
          <w:cols w:equalWidth="0" w:num="1">
            <w:col w:w="9039"/>
          </w:cols>
          <w:pgMar w:left="1420" w:top="104" w:right="1440" w:bottom="0" w:gutter="0" w:footer="0" w:header="0"/>
        </w:sectPr>
      </w:pP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Governance, Membership, and Sustainability Committee</w:t>
      </w:r>
    </w:p>
    <w:p>
      <w:pPr>
        <w:sectPr>
          <w:pgSz w:w="11900" w:h="16838" w:orient="portrait"/>
          <w:cols w:equalWidth="0" w:num="1">
            <w:col w:w="9039"/>
          </w:cols>
          <w:pgMar w:left="1420" w:top="104" w:right="1440" w:bottom="0" w:gutter="0" w:footer="0" w:header="0"/>
          <w:type w:val="continuous"/>
        </w:sectPr>
      </w:pPr>
    </w:p>
    <w:bookmarkStart w:id="46" w:name="page47"/>
    <w:bookmarkEnd w:id="46"/>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9914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10375" cy="79914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Sustainability and Public Affairs</w:t>
      </w:r>
    </w:p>
    <w:p>
      <w:pPr>
        <w:spacing w:after="0" w:line="127" w:lineRule="exact"/>
        <w:rPr>
          <w:sz w:val="20"/>
          <w:szCs w:val="20"/>
          <w:color w:val="auto"/>
        </w:rPr>
      </w:pPr>
    </w:p>
    <w:p>
      <w:pPr>
        <w:ind w:left="140" w:right="340" w:hanging="133"/>
        <w:spacing w:after="0" w:line="281" w:lineRule="auto"/>
        <w:tabs>
          <w:tab w:leader="none" w:pos="140" w:val="left"/>
        </w:tabs>
        <w:numPr>
          <w:ilvl w:val="0"/>
          <w:numId w:val="65"/>
        </w:numPr>
        <w:rPr>
          <w:rFonts w:ascii="Arial" w:cs="Arial" w:eastAsia="Arial" w:hAnsi="Arial"/>
          <w:sz w:val="17"/>
          <w:szCs w:val="17"/>
          <w:color w:val="582C83"/>
        </w:rPr>
      </w:pPr>
      <w:r>
        <w:rPr>
          <w:rFonts w:ascii="Arial" w:cs="Arial" w:eastAsia="Arial" w:hAnsi="Arial"/>
          <w:sz w:val="17"/>
          <w:szCs w:val="17"/>
          <w:color w:val="auto"/>
        </w:rPr>
        <w:t>except to the extent allocated to another Board committee, overseeing our sustainability policies and programs related to corporate citizenship, social responsibility, and public policy issues significant to the Company such as sustainability; food policy, labeling, marketing and packaging; philanthropic activities and contributions; and Board sustainability education and capabilities;</w:t>
      </w:r>
    </w:p>
    <w:p>
      <w:pPr>
        <w:spacing w:after="0" w:line="2" w:lineRule="exact"/>
        <w:rPr>
          <w:rFonts w:ascii="Arial" w:cs="Arial" w:eastAsia="Arial" w:hAnsi="Arial"/>
          <w:sz w:val="17"/>
          <w:szCs w:val="17"/>
          <w:color w:val="582C83"/>
        </w:rPr>
      </w:pPr>
    </w:p>
    <w:p>
      <w:pPr>
        <w:ind w:left="140" w:right="620" w:hanging="133"/>
        <w:spacing w:after="0" w:line="298" w:lineRule="auto"/>
        <w:tabs>
          <w:tab w:leader="none" w:pos="140" w:val="left"/>
        </w:tabs>
        <w:numPr>
          <w:ilvl w:val="0"/>
          <w:numId w:val="65"/>
        </w:numPr>
        <w:rPr>
          <w:rFonts w:ascii="Arial" w:cs="Arial" w:eastAsia="Arial" w:hAnsi="Arial"/>
          <w:sz w:val="17"/>
          <w:szCs w:val="17"/>
          <w:color w:val="582C83"/>
        </w:rPr>
      </w:pPr>
      <w:r>
        <w:rPr>
          <w:rFonts w:ascii="Arial" w:cs="Arial" w:eastAsia="Arial" w:hAnsi="Arial"/>
          <w:sz w:val="17"/>
          <w:szCs w:val="17"/>
          <w:color w:val="auto"/>
        </w:rPr>
        <w:t>monitoring issues, trends, internal and external factors, and relationships that may affect the public image and reputation of the Company and the food and beverage industry; and</w:t>
      </w:r>
    </w:p>
    <w:p>
      <w:pPr>
        <w:ind w:left="140" w:hanging="133"/>
        <w:spacing w:after="0"/>
        <w:tabs>
          <w:tab w:leader="none" w:pos="140" w:val="left"/>
        </w:tabs>
        <w:numPr>
          <w:ilvl w:val="0"/>
          <w:numId w:val="65"/>
        </w:numPr>
        <w:rPr>
          <w:rFonts w:ascii="Arial" w:cs="Arial" w:eastAsia="Arial" w:hAnsi="Arial"/>
          <w:sz w:val="17"/>
          <w:szCs w:val="17"/>
          <w:color w:val="582C83"/>
        </w:rPr>
      </w:pPr>
      <w:r>
        <w:rPr>
          <w:rFonts w:ascii="Arial" w:cs="Arial" w:eastAsia="Arial" w:hAnsi="Arial"/>
          <w:sz w:val="17"/>
          <w:szCs w:val="17"/>
          <w:color w:val="auto"/>
        </w:rPr>
        <w:t>overseeing the Company’s government relations strategies, lobbying activities, and political contributions.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Duties and Responsibilities Include</w:t>
      </w:r>
    </w:p>
    <w:p>
      <w:pPr>
        <w:spacing w:after="0" w:line="114" w:lineRule="exact"/>
        <w:rPr>
          <w:sz w:val="20"/>
          <w:szCs w:val="20"/>
          <w:color w:val="auto"/>
        </w:rPr>
      </w:pPr>
    </w:p>
    <w:p>
      <w:pPr>
        <w:ind w:left="140" w:hanging="133"/>
        <w:spacing w:after="0"/>
        <w:tabs>
          <w:tab w:leader="none" w:pos="140" w:val="left"/>
        </w:tabs>
        <w:numPr>
          <w:ilvl w:val="0"/>
          <w:numId w:val="66"/>
        </w:numPr>
        <w:rPr>
          <w:rFonts w:ascii="Arial" w:cs="Arial" w:eastAsia="Arial" w:hAnsi="Arial"/>
          <w:sz w:val="17"/>
          <w:szCs w:val="17"/>
          <w:color w:val="582C83"/>
        </w:rPr>
      </w:pPr>
      <w:r>
        <w:rPr>
          <w:rFonts w:ascii="Arial" w:cs="Arial" w:eastAsia="Arial" w:hAnsi="Arial"/>
          <w:sz w:val="17"/>
          <w:szCs w:val="17"/>
          <w:color w:val="auto"/>
        </w:rPr>
        <w:t>monitoring significant developments in the regulatory environment relevant to the Company; and</w:t>
      </w:r>
    </w:p>
    <w:p>
      <w:pPr>
        <w:spacing w:after="0" w:line="61" w:lineRule="exact"/>
        <w:rPr>
          <w:rFonts w:ascii="Arial" w:cs="Arial" w:eastAsia="Arial" w:hAnsi="Arial"/>
          <w:sz w:val="17"/>
          <w:szCs w:val="17"/>
          <w:color w:val="582C83"/>
        </w:rPr>
      </w:pPr>
    </w:p>
    <w:p>
      <w:pPr>
        <w:ind w:left="140" w:right="560" w:hanging="133"/>
        <w:spacing w:after="0" w:line="291" w:lineRule="auto"/>
        <w:tabs>
          <w:tab w:leader="none" w:pos="140" w:val="left"/>
        </w:tabs>
        <w:numPr>
          <w:ilvl w:val="0"/>
          <w:numId w:val="66"/>
        </w:numPr>
        <w:rPr>
          <w:rFonts w:ascii="Arial" w:cs="Arial" w:eastAsia="Arial" w:hAnsi="Arial"/>
          <w:sz w:val="17"/>
          <w:szCs w:val="17"/>
          <w:color w:val="582C83"/>
        </w:rPr>
      </w:pPr>
      <w:r>
        <w:rPr>
          <w:rFonts w:ascii="Arial" w:cs="Arial" w:eastAsia="Arial" w:hAnsi="Arial"/>
          <w:sz w:val="17"/>
          <w:szCs w:val="17"/>
          <w:color w:val="auto"/>
        </w:rPr>
        <w:t>performing any other duties and responsibilities that are consistent with the Governance Committee’s purpose, Articles of Incorporation and By-Laws, and governing law, as the Board or the Governance Committee deems necessary or appropriate.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POLITICAL ACTIVITY AND GOVERNANCE</w:t>
      </w:r>
    </w:p>
    <w:p>
      <w:pPr>
        <w:spacing w:after="0" w:line="118"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We maintain a robust governance framework for overseeing our political activities. We seek to engage in these activities responsibly and transparently, with priority on compliance with federal, state, and local laws. The Governance Committee oversees our policies and programs related to corporate citizenship and public policy issues significant to the Company. As our success depends on sound public policies, we regularly work with government officials regarding matters of concern in accordance with applicable laws and regulations.</w:t>
      </w:r>
    </w:p>
    <w:p>
      <w:pPr>
        <w:spacing w:after="0" w:line="8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Mondelēz International has a proud history of involvement in the communities where employees live and work, including participation in the political process to support policies that impact our communities, employees, and businesses. We provide comprehensive disclosure of political activity through our website: </w:t>
      </w:r>
      <w:r>
        <w:rPr>
          <w:rFonts w:ascii="Arial" w:cs="Arial" w:eastAsia="Arial" w:hAnsi="Arial"/>
          <w:sz w:val="17"/>
          <w:szCs w:val="17"/>
          <w:b w:val="1"/>
          <w:bCs w:val="1"/>
          <w:i w:val="1"/>
          <w:iCs w:val="1"/>
          <w:color w:val="582C83"/>
        </w:rPr>
        <w:t>www.mondelezinternational.com/investors/corporate-governance/board-oversight-of-corporate-citizenship</w:t>
      </w:r>
      <w:r>
        <w:rPr>
          <w:rFonts w:ascii="Arial" w:cs="Arial" w:eastAsia="Arial" w:hAnsi="Arial"/>
          <w:sz w:val="17"/>
          <w:szCs w:val="17"/>
          <w:color w:val="000000"/>
        </w:rPr>
        <w:t>,</w:t>
      </w:r>
      <w:r>
        <w:rPr>
          <w:rFonts w:ascii="Arial" w:cs="Arial" w:eastAsia="Arial" w:hAnsi="Arial"/>
          <w:sz w:val="17"/>
          <w:szCs w:val="17"/>
          <w:b w:val="1"/>
          <w:bCs w:val="1"/>
          <w:i w:val="1"/>
          <w:iCs w:val="1"/>
          <w:color w:val="582C83"/>
        </w:rPr>
        <w:t xml:space="preserve"> </w:t>
      </w:r>
      <w:r>
        <w:rPr>
          <w:rFonts w:ascii="Arial" w:cs="Arial" w:eastAsia="Arial" w:hAnsi="Arial"/>
          <w:sz w:val="17"/>
          <w:szCs w:val="17"/>
          <w:color w:val="000000"/>
        </w:rPr>
        <w:t>reflecting our policies and procedures for making political contributions and expenditures. In addition, the website provides information on our lobbying activities and a link to the lobbying disclosure reports we file with the United States Congress. A list of U.S. trade associations to which we pay dues of more than $50,000 annually, including the portion of dues attributable to lobbying, can also be found on our website. As demonstrated by our robust reporting, we are firmly committed to providing shareholders with transparency about our political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52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24422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10375" cy="244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60"/>
        <w:spacing w:after="0"/>
        <w:rPr>
          <w:sz w:val="20"/>
          <w:szCs w:val="20"/>
          <w:color w:val="auto"/>
        </w:rPr>
      </w:pPr>
      <w:r>
        <w:rPr>
          <w:rFonts w:ascii="Arial" w:cs="Arial" w:eastAsia="Arial" w:hAnsi="Arial"/>
          <w:sz w:val="21"/>
          <w:szCs w:val="21"/>
          <w:b w:val="1"/>
          <w:bCs w:val="1"/>
          <w:color w:val="auto"/>
        </w:rPr>
        <w:t>BOARD COMMITTEES AND MEMBERSHIP</w:t>
      </w:r>
    </w:p>
    <w:p>
      <w:pPr>
        <w:spacing w:after="0" w:line="48"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People and Compensation Committee</w:t>
      </w: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256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9"/>
          <w:szCs w:val="29"/>
          <w:b w:val="1"/>
          <w:bCs w:val="1"/>
          <w:color w:val="auto"/>
        </w:rPr>
        <w:t xml:space="preserve"> PEOPLE AND COMPENSATION COMMITTEE</w:t>
      </w:r>
    </w:p>
    <w:p>
      <w:pPr>
        <w:spacing w:after="0" w:line="307" w:lineRule="exact"/>
        <w:rPr>
          <w:sz w:val="20"/>
          <w:szCs w:val="20"/>
          <w:color w:val="auto"/>
        </w:rPr>
      </w:pPr>
    </w:p>
    <w:p>
      <w:pPr>
        <w:ind w:right="580"/>
        <w:spacing w:after="0" w:line="285" w:lineRule="auto"/>
        <w:rPr>
          <w:sz w:val="20"/>
          <w:szCs w:val="20"/>
          <w:color w:val="auto"/>
        </w:rPr>
      </w:pPr>
      <w:r>
        <w:rPr>
          <w:rFonts w:ascii="Arial" w:cs="Arial" w:eastAsia="Arial" w:hAnsi="Arial"/>
          <w:sz w:val="22"/>
          <w:szCs w:val="22"/>
          <w:b w:val="1"/>
          <w:bCs w:val="1"/>
          <w:color w:val="582C83"/>
        </w:rPr>
        <w:t>PEOPLE AND COMPENSATION COMMITTEE INDEPENDENCE, INTERLOCKS, AND INSIDER PARTICIPATION</w:t>
      </w:r>
    </w:p>
    <w:p>
      <w:pPr>
        <w:spacing w:after="0" w:line="27"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The Board determined that all PCC members are independent within the meaning of the Nasdaq listing standards, including the heightened independence criteria for compensation committee members. All members are “non-employee directors” under SEC rules and outside directors under the Internal Revenue Code of 1986, as amended (the “Code”). None of the PCC’s members are or were:</w:t>
      </w:r>
    </w:p>
    <w:p>
      <w:pPr>
        <w:sectPr>
          <w:pgSz w:w="11900" w:h="16897" w:orient="portrait"/>
          <w:cols w:equalWidth="0" w:num="1">
            <w:col w:w="9040"/>
          </w:cols>
          <w:pgMar w:left="1420" w:top="364" w:right="1439" w:bottom="0" w:gutter="0" w:footer="0" w:header="0"/>
        </w:sectPr>
      </w:pPr>
    </w:p>
    <w:bookmarkStart w:id="47" w:name="page48"/>
    <w:bookmarkEnd w:id="47"/>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4141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10375" cy="6414135"/>
                    </a:xfrm>
                    <a:prstGeom prst="rect">
                      <a:avLst/>
                    </a:prstGeom>
                    <a:noFill/>
                  </pic:spPr>
                </pic:pic>
              </a:graphicData>
            </a:graphic>
          </wp:anchor>
        </w:drawing>
      </w:r>
    </w:p>
    <w:p>
      <w:pPr>
        <w:ind w:left="140" w:hanging="133"/>
        <w:spacing w:after="0"/>
        <w:tabs>
          <w:tab w:leader="none" w:pos="140" w:val="left"/>
        </w:tabs>
        <w:numPr>
          <w:ilvl w:val="0"/>
          <w:numId w:val="67"/>
        </w:numPr>
        <w:rPr>
          <w:rFonts w:ascii="Arial" w:cs="Arial" w:eastAsia="Arial" w:hAnsi="Arial"/>
          <w:sz w:val="17"/>
          <w:szCs w:val="17"/>
          <w:color w:val="582C83"/>
        </w:rPr>
      </w:pPr>
      <w:r>
        <w:rPr>
          <w:rFonts w:ascii="Arial" w:cs="Arial" w:eastAsia="Arial" w:hAnsi="Arial"/>
          <w:sz w:val="17"/>
          <w:szCs w:val="17"/>
          <w:color w:val="auto"/>
        </w:rPr>
        <w:t>an officer or employee of Mondelēz International;</w:t>
      </w:r>
    </w:p>
    <w:p>
      <w:pPr>
        <w:spacing w:after="0" w:line="47" w:lineRule="exact"/>
        <w:rPr>
          <w:rFonts w:ascii="Arial" w:cs="Arial" w:eastAsia="Arial" w:hAnsi="Arial"/>
          <w:sz w:val="17"/>
          <w:szCs w:val="17"/>
          <w:color w:val="582C83"/>
        </w:rPr>
      </w:pPr>
    </w:p>
    <w:p>
      <w:pPr>
        <w:ind w:left="140" w:hanging="133"/>
        <w:spacing w:after="0"/>
        <w:tabs>
          <w:tab w:leader="none" w:pos="140" w:val="left"/>
        </w:tabs>
        <w:numPr>
          <w:ilvl w:val="0"/>
          <w:numId w:val="67"/>
        </w:numPr>
        <w:rPr>
          <w:rFonts w:ascii="Arial" w:cs="Arial" w:eastAsia="Arial" w:hAnsi="Arial"/>
          <w:sz w:val="17"/>
          <w:szCs w:val="17"/>
          <w:color w:val="582C83"/>
        </w:rPr>
      </w:pPr>
      <w:r>
        <w:rPr>
          <w:rFonts w:ascii="Arial" w:cs="Arial" w:eastAsia="Arial" w:hAnsi="Arial"/>
          <w:sz w:val="17"/>
          <w:szCs w:val="17"/>
          <w:color w:val="auto"/>
        </w:rPr>
        <w:t>a participant in a related person transaction required to be disclosed under Item 404 of Regulation S-K; or</w:t>
      </w:r>
    </w:p>
    <w:p>
      <w:pPr>
        <w:spacing w:after="0" w:line="61" w:lineRule="exact"/>
        <w:rPr>
          <w:rFonts w:ascii="Arial" w:cs="Arial" w:eastAsia="Arial" w:hAnsi="Arial"/>
          <w:sz w:val="17"/>
          <w:szCs w:val="17"/>
          <w:color w:val="582C83"/>
        </w:rPr>
      </w:pPr>
    </w:p>
    <w:p>
      <w:pPr>
        <w:ind w:left="140" w:right="380" w:hanging="133"/>
        <w:spacing w:after="0" w:line="301" w:lineRule="auto"/>
        <w:tabs>
          <w:tab w:leader="none" w:pos="140" w:val="left"/>
        </w:tabs>
        <w:numPr>
          <w:ilvl w:val="0"/>
          <w:numId w:val="67"/>
        </w:numPr>
        <w:rPr>
          <w:rFonts w:ascii="Arial" w:cs="Arial" w:eastAsia="Arial" w:hAnsi="Arial"/>
          <w:sz w:val="17"/>
          <w:szCs w:val="17"/>
          <w:color w:val="582C83"/>
        </w:rPr>
      </w:pPr>
      <w:r>
        <w:rPr>
          <w:rFonts w:ascii="Arial" w:cs="Arial" w:eastAsia="Arial" w:hAnsi="Arial"/>
          <w:sz w:val="17"/>
          <w:szCs w:val="17"/>
          <w:color w:val="auto"/>
        </w:rPr>
        <w:t>an executive officer of another entity at which one of our executive officers serves on the board of directors or the compensation committee.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RESPONSIBILITIES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PCC’s responsibilities include:</w:t>
      </w:r>
    </w:p>
    <w:p>
      <w:pPr>
        <w:spacing w:after="0" w:line="142" w:lineRule="exact"/>
        <w:rPr>
          <w:sz w:val="20"/>
          <w:szCs w:val="20"/>
          <w:color w:val="auto"/>
        </w:rPr>
      </w:pPr>
    </w:p>
    <w:p>
      <w:pPr>
        <w:ind w:left="140" w:hanging="133"/>
        <w:spacing w:after="0"/>
        <w:tabs>
          <w:tab w:leader="none" w:pos="140" w:val="left"/>
        </w:tabs>
        <w:numPr>
          <w:ilvl w:val="0"/>
          <w:numId w:val="68"/>
        </w:numPr>
        <w:rPr>
          <w:rFonts w:ascii="Arial" w:cs="Arial" w:eastAsia="Arial" w:hAnsi="Arial"/>
          <w:sz w:val="17"/>
          <w:szCs w:val="17"/>
          <w:color w:val="582C83"/>
        </w:rPr>
      </w:pPr>
      <w:r>
        <w:rPr>
          <w:rFonts w:ascii="Arial" w:cs="Arial" w:eastAsia="Arial" w:hAnsi="Arial"/>
          <w:sz w:val="17"/>
          <w:szCs w:val="17"/>
          <w:color w:val="auto"/>
        </w:rPr>
        <w:t>establishing our executive compensation philosophy;</w:t>
      </w:r>
    </w:p>
    <w:p>
      <w:pPr>
        <w:spacing w:after="0" w:line="34" w:lineRule="exact"/>
        <w:rPr>
          <w:rFonts w:ascii="Arial" w:cs="Arial" w:eastAsia="Arial" w:hAnsi="Arial"/>
          <w:sz w:val="17"/>
          <w:szCs w:val="17"/>
          <w:color w:val="582C83"/>
        </w:rPr>
      </w:pPr>
    </w:p>
    <w:p>
      <w:pPr>
        <w:ind w:left="140" w:right="820" w:hanging="133"/>
        <w:spacing w:after="0" w:line="298" w:lineRule="auto"/>
        <w:tabs>
          <w:tab w:leader="none" w:pos="140" w:val="left"/>
        </w:tabs>
        <w:numPr>
          <w:ilvl w:val="0"/>
          <w:numId w:val="68"/>
        </w:numPr>
        <w:rPr>
          <w:rFonts w:ascii="Arial" w:cs="Arial" w:eastAsia="Arial" w:hAnsi="Arial"/>
          <w:sz w:val="17"/>
          <w:szCs w:val="17"/>
          <w:color w:val="582C83"/>
        </w:rPr>
      </w:pPr>
      <w:r>
        <w:rPr>
          <w:rFonts w:ascii="Arial" w:cs="Arial" w:eastAsia="Arial" w:hAnsi="Arial"/>
          <w:sz w:val="17"/>
          <w:szCs w:val="17"/>
          <w:color w:val="auto"/>
        </w:rPr>
        <w:t>determining the group of companies the PCC uses to benchmark executive and director compensation (the “Compensation Survey Peer Group”);</w:t>
      </w:r>
    </w:p>
    <w:p>
      <w:pPr>
        <w:ind w:left="140" w:right="200" w:hanging="133"/>
        <w:spacing w:after="0" w:line="282" w:lineRule="auto"/>
        <w:tabs>
          <w:tab w:leader="none" w:pos="140" w:val="left"/>
        </w:tabs>
        <w:numPr>
          <w:ilvl w:val="0"/>
          <w:numId w:val="68"/>
        </w:numPr>
        <w:rPr>
          <w:rFonts w:ascii="Arial" w:cs="Arial" w:eastAsia="Arial" w:hAnsi="Arial"/>
          <w:sz w:val="17"/>
          <w:szCs w:val="17"/>
          <w:color w:val="582C83"/>
        </w:rPr>
      </w:pPr>
      <w:r>
        <w:rPr>
          <w:rFonts w:ascii="Arial" w:cs="Arial" w:eastAsia="Arial" w:hAnsi="Arial"/>
          <w:sz w:val="17"/>
          <w:szCs w:val="17"/>
          <w:color w:val="auto"/>
        </w:rPr>
        <w:t>periodically benchmarking non-employee director compensation against the Compensation Survey Peer Group and general industry data, considering the appropriateness of the form and amount of non-employee director compensation, and making recommendations to the Board concerning director compensation with a view toward attracting and retaining qualified directors;</w:t>
      </w:r>
    </w:p>
    <w:p>
      <w:pPr>
        <w:spacing w:after="0" w:line="12" w:lineRule="exact"/>
        <w:rPr>
          <w:rFonts w:ascii="Arial" w:cs="Arial" w:eastAsia="Arial" w:hAnsi="Arial"/>
          <w:sz w:val="17"/>
          <w:szCs w:val="17"/>
          <w:color w:val="582C83"/>
        </w:rPr>
      </w:pPr>
    </w:p>
    <w:p>
      <w:pPr>
        <w:ind w:left="140" w:right="240" w:hanging="133"/>
        <w:spacing w:after="0" w:line="290" w:lineRule="auto"/>
        <w:tabs>
          <w:tab w:leader="none" w:pos="140" w:val="left"/>
        </w:tabs>
        <w:numPr>
          <w:ilvl w:val="0"/>
          <w:numId w:val="68"/>
        </w:numPr>
        <w:rPr>
          <w:rFonts w:ascii="Arial" w:cs="Arial" w:eastAsia="Arial" w:hAnsi="Arial"/>
          <w:sz w:val="17"/>
          <w:szCs w:val="17"/>
          <w:color w:val="582C83"/>
        </w:rPr>
      </w:pPr>
      <w:r>
        <w:rPr>
          <w:rFonts w:ascii="Arial" w:cs="Arial" w:eastAsia="Arial" w:hAnsi="Arial"/>
          <w:sz w:val="17"/>
          <w:szCs w:val="17"/>
          <w:color w:val="auto"/>
        </w:rPr>
        <w:t>assessing the appropriateness and competitiveness of our executive compensation programs, including severance programs and executive retirement income design;</w:t>
      </w:r>
    </w:p>
    <w:p>
      <w:pPr>
        <w:ind w:left="140" w:hanging="133"/>
        <w:spacing w:after="0"/>
        <w:tabs>
          <w:tab w:leader="none" w:pos="140" w:val="left"/>
        </w:tabs>
        <w:numPr>
          <w:ilvl w:val="0"/>
          <w:numId w:val="68"/>
        </w:numPr>
        <w:rPr>
          <w:rFonts w:ascii="Arial" w:cs="Arial" w:eastAsia="Arial" w:hAnsi="Arial"/>
          <w:sz w:val="17"/>
          <w:szCs w:val="17"/>
          <w:color w:val="582C83"/>
        </w:rPr>
      </w:pPr>
      <w:r>
        <w:rPr>
          <w:rFonts w:ascii="Arial" w:cs="Arial" w:eastAsia="Arial" w:hAnsi="Arial"/>
          <w:sz w:val="17"/>
          <w:szCs w:val="17"/>
          <w:color w:val="auto"/>
        </w:rPr>
        <w:t>overseeing strategic progress indicators (“SPIs”) for incentive plans;</w:t>
      </w:r>
    </w:p>
    <w:p>
      <w:pPr>
        <w:spacing w:after="0" w:line="61" w:lineRule="exact"/>
        <w:rPr>
          <w:rFonts w:ascii="Arial" w:cs="Arial" w:eastAsia="Arial" w:hAnsi="Arial"/>
          <w:sz w:val="17"/>
          <w:szCs w:val="17"/>
          <w:color w:val="582C83"/>
        </w:rPr>
      </w:pPr>
    </w:p>
    <w:p>
      <w:pPr>
        <w:ind w:left="140" w:right="300" w:hanging="133"/>
        <w:spacing w:after="0" w:line="276" w:lineRule="auto"/>
        <w:tabs>
          <w:tab w:leader="none" w:pos="140" w:val="left"/>
        </w:tabs>
        <w:numPr>
          <w:ilvl w:val="0"/>
          <w:numId w:val="68"/>
        </w:numPr>
        <w:rPr>
          <w:rFonts w:ascii="Arial" w:cs="Arial" w:eastAsia="Arial" w:hAnsi="Arial"/>
          <w:sz w:val="17"/>
          <w:szCs w:val="17"/>
          <w:color w:val="582C83"/>
        </w:rPr>
      </w:pPr>
      <w:r>
        <w:rPr>
          <w:rFonts w:ascii="Arial" w:cs="Arial" w:eastAsia="Arial" w:hAnsi="Arial"/>
          <w:sz w:val="17"/>
          <w:szCs w:val="17"/>
          <w:color w:val="auto"/>
        </w:rPr>
        <w:t>reviewing and approving goals and objectives of the CEO; evaluating the performance of the CEO in light of these goals and objectives; and, based upon this evaluation, determining both the elements and amounts of the CEO’s compensation, including perquisites. The CEO may not be present during voting or deliberations on his or</w:t>
      </w:r>
    </w:p>
    <w:p>
      <w:pPr>
        <w:ind w:left="140"/>
        <w:spacing w:after="0"/>
        <w:rPr>
          <w:rFonts w:ascii="Arial" w:cs="Arial" w:eastAsia="Arial" w:hAnsi="Arial"/>
          <w:sz w:val="17"/>
          <w:szCs w:val="17"/>
          <w:color w:val="582C83"/>
        </w:rPr>
      </w:pPr>
      <w:r>
        <w:rPr>
          <w:rFonts w:ascii="Arial" w:cs="Arial" w:eastAsia="Arial" w:hAnsi="Arial"/>
          <w:sz w:val="17"/>
          <w:szCs w:val="17"/>
          <w:color w:val="auto"/>
        </w:rPr>
        <w:t>her compensation;</w:t>
      </w:r>
    </w:p>
    <w:p>
      <w:pPr>
        <w:spacing w:after="0" w:line="61" w:lineRule="exact"/>
        <w:rPr>
          <w:rFonts w:ascii="Arial" w:cs="Arial" w:eastAsia="Arial" w:hAnsi="Arial"/>
          <w:sz w:val="17"/>
          <w:szCs w:val="17"/>
          <w:color w:val="582C83"/>
        </w:rPr>
      </w:pPr>
    </w:p>
    <w:p>
      <w:pPr>
        <w:ind w:left="140" w:right="500" w:hanging="133"/>
        <w:spacing w:after="0" w:line="287" w:lineRule="auto"/>
        <w:tabs>
          <w:tab w:leader="none" w:pos="140" w:val="left"/>
        </w:tabs>
        <w:numPr>
          <w:ilvl w:val="0"/>
          <w:numId w:val="68"/>
        </w:numPr>
        <w:rPr>
          <w:rFonts w:ascii="Arial" w:cs="Arial" w:eastAsia="Arial" w:hAnsi="Arial"/>
          <w:sz w:val="17"/>
          <w:szCs w:val="17"/>
          <w:color w:val="582C83"/>
        </w:rPr>
      </w:pPr>
      <w:r>
        <w:rPr>
          <w:rFonts w:ascii="Arial" w:cs="Arial" w:eastAsia="Arial" w:hAnsi="Arial"/>
          <w:sz w:val="17"/>
          <w:szCs w:val="17"/>
          <w:color w:val="auto"/>
        </w:rPr>
        <w:t>reviewing management’s recommendations for, and approving the compensation of, the CEO’s executive direct reports and other officers subject to Section 16(a) of the Securities Exchange Act of 1934, as amended (the “Exchange Act”);</w:t>
      </w:r>
    </w:p>
    <w:p>
      <w:pPr>
        <w:ind w:left="140" w:right="160" w:hanging="133"/>
        <w:spacing w:after="0" w:line="290" w:lineRule="auto"/>
        <w:tabs>
          <w:tab w:leader="none" w:pos="140" w:val="left"/>
        </w:tabs>
        <w:numPr>
          <w:ilvl w:val="0"/>
          <w:numId w:val="68"/>
        </w:numPr>
        <w:rPr>
          <w:rFonts w:ascii="Arial" w:cs="Arial" w:eastAsia="Arial" w:hAnsi="Arial"/>
          <w:sz w:val="17"/>
          <w:szCs w:val="17"/>
          <w:color w:val="582C83"/>
        </w:rPr>
      </w:pPr>
      <w:r>
        <w:rPr>
          <w:rFonts w:ascii="Arial" w:cs="Arial" w:eastAsia="Arial" w:hAnsi="Arial"/>
          <w:sz w:val="17"/>
          <w:szCs w:val="17"/>
          <w:color w:val="auto"/>
        </w:rPr>
        <w:t>determining annual incentive compensation, equity awards, and other long-term incentive awards granted under our equity and long-term incentive plans to eligible participants;</w:t>
      </w:r>
    </w:p>
    <w:p>
      <w:pPr>
        <w:ind w:left="140" w:hanging="133"/>
        <w:spacing w:after="0"/>
        <w:tabs>
          <w:tab w:leader="none" w:pos="140" w:val="left"/>
        </w:tabs>
        <w:numPr>
          <w:ilvl w:val="0"/>
          <w:numId w:val="68"/>
        </w:numPr>
        <w:rPr>
          <w:rFonts w:ascii="Arial" w:cs="Arial" w:eastAsia="Arial" w:hAnsi="Arial"/>
          <w:sz w:val="17"/>
          <w:szCs w:val="17"/>
          <w:color w:val="582C83"/>
        </w:rPr>
      </w:pPr>
      <w:r>
        <w:rPr>
          <w:rFonts w:ascii="Arial" w:cs="Arial" w:eastAsia="Arial" w:hAnsi="Arial"/>
          <w:sz w:val="17"/>
          <w:szCs w:val="17"/>
          <w:color w:val="auto"/>
        </w:rPr>
        <w:t>determining the policies governing options and other stock grants;</w:t>
      </w:r>
    </w:p>
    <w:p>
      <w:pPr>
        <w:spacing w:after="0" w:line="74" w:lineRule="exact"/>
        <w:rPr>
          <w:rFonts w:ascii="Arial" w:cs="Arial" w:eastAsia="Arial" w:hAnsi="Arial"/>
          <w:sz w:val="17"/>
          <w:szCs w:val="17"/>
          <w:color w:val="582C83"/>
        </w:rPr>
      </w:pPr>
    </w:p>
    <w:p>
      <w:pPr>
        <w:ind w:left="140" w:right="140" w:hanging="133"/>
        <w:spacing w:after="0" w:line="290" w:lineRule="auto"/>
        <w:tabs>
          <w:tab w:leader="none" w:pos="140" w:val="left"/>
        </w:tabs>
        <w:numPr>
          <w:ilvl w:val="0"/>
          <w:numId w:val="68"/>
        </w:numPr>
        <w:rPr>
          <w:rFonts w:ascii="Arial" w:cs="Arial" w:eastAsia="Arial" w:hAnsi="Arial"/>
          <w:sz w:val="17"/>
          <w:szCs w:val="17"/>
          <w:color w:val="582C83"/>
        </w:rPr>
      </w:pPr>
      <w:r>
        <w:rPr>
          <w:rFonts w:ascii="Arial" w:cs="Arial" w:eastAsia="Arial" w:hAnsi="Arial"/>
          <w:sz w:val="17"/>
          <w:szCs w:val="17"/>
          <w:color w:val="auto"/>
        </w:rPr>
        <w:t>making recommendations to the Board with respect to incentive plans requiring shareholder approval and approving eligibility for and design of executive compensation programs implemented under shareholder-approved plans;</w:t>
      </w:r>
    </w:p>
    <w:p>
      <w:pPr>
        <w:ind w:left="140" w:right="120" w:hanging="133"/>
        <w:spacing w:after="0" w:line="287" w:lineRule="auto"/>
        <w:tabs>
          <w:tab w:leader="none" w:pos="140" w:val="left"/>
        </w:tabs>
        <w:numPr>
          <w:ilvl w:val="0"/>
          <w:numId w:val="68"/>
        </w:numPr>
        <w:rPr>
          <w:rFonts w:ascii="Arial" w:cs="Arial" w:eastAsia="Arial" w:hAnsi="Arial"/>
          <w:sz w:val="17"/>
          <w:szCs w:val="17"/>
          <w:color w:val="582C83"/>
        </w:rPr>
      </w:pPr>
      <w:r>
        <w:rPr>
          <w:rFonts w:ascii="Arial" w:cs="Arial" w:eastAsia="Arial" w:hAnsi="Arial"/>
          <w:sz w:val="17"/>
          <w:szCs w:val="17"/>
          <w:color w:val="auto"/>
        </w:rPr>
        <w:t>reviewing the compensation and benefits policies and practices for employees, including non-executive officers, as they relate to our risk management practices and risk-taking incentives, and reviewing proposed material changes to these policies and practices;</w:t>
      </w:r>
    </w:p>
    <w:p>
      <w:pPr>
        <w:ind w:left="140" w:right="40" w:hanging="133"/>
        <w:spacing w:after="0" w:line="291" w:lineRule="auto"/>
        <w:tabs>
          <w:tab w:leader="none" w:pos="140" w:val="left"/>
        </w:tabs>
        <w:numPr>
          <w:ilvl w:val="0"/>
          <w:numId w:val="68"/>
        </w:numPr>
        <w:rPr>
          <w:rFonts w:ascii="Arial" w:cs="Arial" w:eastAsia="Arial" w:hAnsi="Arial"/>
          <w:sz w:val="17"/>
          <w:szCs w:val="17"/>
          <w:color w:val="582C83"/>
        </w:rPr>
      </w:pPr>
      <w:r>
        <w:rPr>
          <w:rFonts w:ascii="Arial" w:cs="Arial" w:eastAsia="Arial" w:hAnsi="Arial"/>
          <w:sz w:val="17"/>
          <w:szCs w:val="17"/>
          <w:color w:val="auto"/>
        </w:rPr>
        <w:t>overseeing the talent development and succession planning process (including succession planning for emergencies) for the CEO and the CEO’s executive direct reports and, as appropriate, evaluating potential candidates and making recommendations to the Board regarding potential CEO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40195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10375" cy="401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BOARD COMMITTEES AND MEMBERSHIP</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People and Compensation Committee</w:t>
      </w:r>
    </w:p>
    <w:p>
      <w:pPr>
        <w:spacing w:after="0" w:line="200" w:lineRule="exact"/>
        <w:rPr>
          <w:sz w:val="20"/>
          <w:szCs w:val="20"/>
          <w:color w:val="auto"/>
        </w:rPr>
      </w:pPr>
    </w:p>
    <w:p>
      <w:pPr>
        <w:spacing w:after="0" w:line="274" w:lineRule="exact"/>
        <w:rPr>
          <w:sz w:val="20"/>
          <w:szCs w:val="20"/>
          <w:color w:val="auto"/>
        </w:rPr>
      </w:pPr>
    </w:p>
    <w:p>
      <w:pPr>
        <w:ind w:left="140" w:hanging="133"/>
        <w:spacing w:after="0" w:line="282" w:lineRule="auto"/>
        <w:tabs>
          <w:tab w:leader="none" w:pos="140" w:val="left"/>
        </w:tabs>
        <w:numPr>
          <w:ilvl w:val="0"/>
          <w:numId w:val="69"/>
        </w:numPr>
        <w:rPr>
          <w:rFonts w:ascii="Arial" w:cs="Arial" w:eastAsia="Arial" w:hAnsi="Arial"/>
          <w:sz w:val="17"/>
          <w:szCs w:val="17"/>
          <w:color w:val="582C83"/>
        </w:rPr>
      </w:pPr>
      <w:r>
        <w:rPr>
          <w:rFonts w:ascii="Arial" w:cs="Arial" w:eastAsia="Arial" w:hAnsi="Arial"/>
          <w:sz w:val="17"/>
          <w:szCs w:val="17"/>
          <w:color w:val="auto"/>
        </w:rPr>
        <w:t>reviewing periodically our key policies, practices, and strategies related to human capital management, including but not limited to organizational engagement and effectiveness, employee wellness, pay equity, talent sourcing strategies, and talent management and development programs, and reviewing the human capital management disclosure in our proxy statement;</w:t>
      </w:r>
    </w:p>
    <w:p>
      <w:pPr>
        <w:spacing w:after="0" w:line="12" w:lineRule="exact"/>
        <w:rPr>
          <w:rFonts w:ascii="Arial" w:cs="Arial" w:eastAsia="Arial" w:hAnsi="Arial"/>
          <w:sz w:val="17"/>
          <w:szCs w:val="17"/>
          <w:color w:val="582C83"/>
        </w:rPr>
      </w:pPr>
    </w:p>
    <w:p>
      <w:pPr>
        <w:ind w:left="140" w:hanging="133"/>
        <w:spacing w:after="0"/>
        <w:tabs>
          <w:tab w:leader="none" w:pos="140" w:val="left"/>
        </w:tabs>
        <w:numPr>
          <w:ilvl w:val="0"/>
          <w:numId w:val="69"/>
        </w:numPr>
        <w:rPr>
          <w:rFonts w:ascii="Arial" w:cs="Arial" w:eastAsia="Arial" w:hAnsi="Arial"/>
          <w:sz w:val="17"/>
          <w:szCs w:val="17"/>
          <w:color w:val="582C83"/>
        </w:rPr>
      </w:pPr>
      <w:r>
        <w:rPr>
          <w:rFonts w:ascii="Arial" w:cs="Arial" w:eastAsia="Arial" w:hAnsi="Arial"/>
          <w:sz w:val="17"/>
          <w:szCs w:val="17"/>
          <w:color w:val="auto"/>
        </w:rPr>
        <w:t>overseeing policies as they relate to respect for employees and others within the business of Mondelēz International;</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69"/>
        </w:numPr>
        <w:rPr>
          <w:rFonts w:ascii="Arial" w:cs="Arial" w:eastAsia="Arial" w:hAnsi="Arial"/>
          <w:sz w:val="17"/>
          <w:szCs w:val="17"/>
          <w:color w:val="582C83"/>
        </w:rPr>
      </w:pPr>
      <w:r>
        <w:rPr>
          <w:rFonts w:ascii="Arial" w:cs="Arial" w:eastAsia="Arial" w:hAnsi="Arial"/>
          <w:sz w:val="17"/>
          <w:szCs w:val="17"/>
          <w:color w:val="auto"/>
        </w:rPr>
        <w:t>monitoring executive officers’ compliance with our stock ownership guidelines;</w:t>
      </w:r>
    </w:p>
    <w:p>
      <w:pPr>
        <w:spacing w:after="0" w:line="61" w:lineRule="exact"/>
        <w:rPr>
          <w:rFonts w:ascii="Arial" w:cs="Arial" w:eastAsia="Arial" w:hAnsi="Arial"/>
          <w:sz w:val="17"/>
          <w:szCs w:val="17"/>
          <w:color w:val="582C83"/>
        </w:rPr>
      </w:pPr>
    </w:p>
    <w:p>
      <w:pPr>
        <w:ind w:left="140" w:right="260" w:hanging="133"/>
        <w:spacing w:after="0" w:line="290" w:lineRule="auto"/>
        <w:tabs>
          <w:tab w:leader="none" w:pos="140" w:val="left"/>
        </w:tabs>
        <w:numPr>
          <w:ilvl w:val="0"/>
          <w:numId w:val="69"/>
        </w:numPr>
        <w:rPr>
          <w:rFonts w:ascii="Arial" w:cs="Arial" w:eastAsia="Arial" w:hAnsi="Arial"/>
          <w:sz w:val="17"/>
          <w:szCs w:val="17"/>
          <w:color w:val="582C83"/>
        </w:rPr>
      </w:pPr>
      <w:r>
        <w:rPr>
          <w:rFonts w:ascii="Arial" w:cs="Arial" w:eastAsia="Arial" w:hAnsi="Arial"/>
          <w:sz w:val="17"/>
          <w:szCs w:val="17"/>
          <w:color w:val="auto"/>
        </w:rPr>
        <w:t>advising the Board and assessing the appropriateness of the compensation of independent directors for service on the Board and its committees;</w:t>
      </w:r>
    </w:p>
    <w:p>
      <w:pPr>
        <w:jc w:val="both"/>
        <w:ind w:left="140" w:right="140" w:hanging="133"/>
        <w:spacing w:after="0" w:line="287" w:lineRule="auto"/>
        <w:tabs>
          <w:tab w:leader="none" w:pos="140" w:val="left"/>
        </w:tabs>
        <w:numPr>
          <w:ilvl w:val="0"/>
          <w:numId w:val="69"/>
        </w:numPr>
        <w:rPr>
          <w:rFonts w:ascii="Arial" w:cs="Arial" w:eastAsia="Arial" w:hAnsi="Arial"/>
          <w:sz w:val="17"/>
          <w:szCs w:val="17"/>
          <w:color w:val="582C83"/>
        </w:rPr>
      </w:pPr>
      <w:r>
        <w:rPr>
          <w:rFonts w:ascii="Arial" w:cs="Arial" w:eastAsia="Arial" w:hAnsi="Arial"/>
          <w:sz w:val="17"/>
          <w:szCs w:val="17"/>
          <w:color w:val="auto"/>
        </w:rPr>
        <w:t>reviewing and discussing with management the CD&amp;A and related disclosures to be included in our proxy statement and annual report on Form 10-K, and preparing and approving the PCC’s annual report to shareholders for inclusion in our annual proxy statement;</w:t>
      </w:r>
    </w:p>
    <w:p>
      <w:pPr>
        <w:ind w:left="140" w:right="160" w:hanging="133"/>
        <w:spacing w:after="0" w:line="298" w:lineRule="auto"/>
        <w:tabs>
          <w:tab w:leader="none" w:pos="140" w:val="left"/>
        </w:tabs>
        <w:numPr>
          <w:ilvl w:val="0"/>
          <w:numId w:val="69"/>
        </w:numPr>
        <w:rPr>
          <w:rFonts w:ascii="Arial" w:cs="Arial" w:eastAsia="Arial" w:hAnsi="Arial"/>
          <w:sz w:val="17"/>
          <w:szCs w:val="17"/>
          <w:color w:val="582C83"/>
        </w:rPr>
      </w:pPr>
      <w:r>
        <w:rPr>
          <w:rFonts w:ascii="Arial" w:cs="Arial" w:eastAsia="Arial" w:hAnsi="Arial"/>
          <w:sz w:val="17"/>
          <w:szCs w:val="17"/>
          <w:color w:val="auto"/>
        </w:rPr>
        <w:t>reviewing and approving our clawback policies, upon certain financial restatements and upon significant misconduct that could damage the Company’s reputation;</w:t>
      </w:r>
    </w:p>
    <w:p>
      <w:pPr>
        <w:ind w:left="140" w:right="120" w:hanging="133"/>
        <w:spacing w:after="0" w:line="287" w:lineRule="auto"/>
        <w:tabs>
          <w:tab w:leader="none" w:pos="140" w:val="left"/>
        </w:tabs>
        <w:numPr>
          <w:ilvl w:val="0"/>
          <w:numId w:val="69"/>
        </w:numPr>
        <w:rPr>
          <w:rFonts w:ascii="Arial" w:cs="Arial" w:eastAsia="Arial" w:hAnsi="Arial"/>
          <w:sz w:val="17"/>
          <w:szCs w:val="17"/>
          <w:color w:val="582C83"/>
        </w:rPr>
      </w:pPr>
      <w:r>
        <w:rPr>
          <w:rFonts w:ascii="Arial" w:cs="Arial" w:eastAsia="Arial" w:hAnsi="Arial"/>
          <w:sz w:val="17"/>
          <w:szCs w:val="17"/>
          <w:color w:val="auto"/>
        </w:rPr>
        <w:t>assessing the independence of any compensation consultant, outside counsel, and other advisors (whether retained by the PCC or management) that provide advice to the PCC, before selecting or receiving advice from them, based on the factors set forth in the Nasdaq listing rules;</w:t>
      </w:r>
    </w:p>
    <w:p>
      <w:pPr>
        <w:ind w:left="140" w:right="100" w:hanging="133"/>
        <w:spacing w:after="0" w:line="287" w:lineRule="auto"/>
        <w:tabs>
          <w:tab w:leader="none" w:pos="140" w:val="left"/>
        </w:tabs>
        <w:numPr>
          <w:ilvl w:val="0"/>
          <w:numId w:val="69"/>
        </w:numPr>
        <w:rPr>
          <w:rFonts w:ascii="Arial" w:cs="Arial" w:eastAsia="Arial" w:hAnsi="Arial"/>
          <w:sz w:val="17"/>
          <w:szCs w:val="17"/>
          <w:color w:val="582C83"/>
        </w:rPr>
      </w:pPr>
      <w:r>
        <w:rPr>
          <w:rFonts w:ascii="Arial" w:cs="Arial" w:eastAsia="Arial" w:hAnsi="Arial"/>
          <w:sz w:val="17"/>
          <w:szCs w:val="17"/>
          <w:color w:val="auto"/>
        </w:rPr>
        <w:t>at least annually, assessing whether the work of compensation consultants involved in determining or recommending executive or director compensation has raised any conflict of interest that is required to be disclosed in our annual report on Form 10-K and proxy statement;</w:t>
      </w:r>
    </w:p>
    <w:p>
      <w:pPr>
        <w:ind w:left="140" w:hanging="133"/>
        <w:spacing w:after="0"/>
        <w:tabs>
          <w:tab w:leader="none" w:pos="140" w:val="left"/>
        </w:tabs>
        <w:numPr>
          <w:ilvl w:val="0"/>
          <w:numId w:val="69"/>
        </w:numPr>
        <w:rPr>
          <w:rFonts w:ascii="Arial" w:cs="Arial" w:eastAsia="Arial" w:hAnsi="Arial"/>
          <w:sz w:val="17"/>
          <w:szCs w:val="17"/>
          <w:color w:val="582C83"/>
        </w:rPr>
      </w:pPr>
      <w:r>
        <w:rPr>
          <w:rFonts w:ascii="Arial" w:cs="Arial" w:eastAsia="Arial" w:hAnsi="Arial"/>
          <w:sz w:val="17"/>
          <w:szCs w:val="17"/>
          <w:color w:val="auto"/>
        </w:rPr>
        <w:t>assessing the results of the most recent advisory vote on executive compensation; and</w:t>
      </w:r>
    </w:p>
    <w:p>
      <w:pPr>
        <w:sectPr>
          <w:pgSz w:w="11900" w:h="16875" w:orient="portrait"/>
          <w:cols w:equalWidth="0" w:num="1">
            <w:col w:w="9040"/>
          </w:cols>
          <w:pgMar w:left="1420" w:top="198" w:right="1439" w:bottom="0" w:gutter="0" w:footer="0" w:header="0"/>
        </w:sectPr>
      </w:pPr>
    </w:p>
    <w:bookmarkStart w:id="48" w:name="page49"/>
    <w:bookmarkEnd w:id="48"/>
    <w:p>
      <w:pPr>
        <w:jc w:val="both"/>
        <w:ind w:left="140" w:right="899" w:hanging="133"/>
        <w:spacing w:after="0" w:line="317" w:lineRule="auto"/>
        <w:tabs>
          <w:tab w:leader="none" w:pos="140" w:val="left"/>
        </w:tabs>
        <w:numPr>
          <w:ilvl w:val="0"/>
          <w:numId w:val="70"/>
        </w:numPr>
        <w:rPr>
          <w:rFonts w:ascii="Arial" w:cs="Arial" w:eastAsia="Arial" w:hAnsi="Arial"/>
          <w:sz w:val="17"/>
          <w:szCs w:val="17"/>
          <w:color w:val="582C83"/>
        </w:rPr>
      </w:pPr>
      <w:r>
        <w:rPr>
          <w:rFonts w:ascii="Arial" w:cs="Arial" w:eastAsia="Arial" w:hAnsi="Arial"/>
          <w:sz w:val="17"/>
          <w:szCs w:val="17"/>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8367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10375" cy="4836795"/>
                    </a:xfrm>
                    <a:prstGeom prst="rect">
                      <a:avLst/>
                    </a:prstGeom>
                    <a:noFill/>
                  </pic:spPr>
                </pic:pic>
              </a:graphicData>
            </a:graphic>
          </wp:anchor>
        </w:drawing>
        <w:t>performing any other duties and responsibilities that are consistent with the PCC’s purpose, our Articles of Incorporation and By-Laws, and governing law, as the Board or the PCC deems necessary or appropriate.</w:t>
      </w:r>
    </w:p>
    <w:p>
      <w:pPr>
        <w:spacing w:after="0" w:line="37" w:lineRule="exact"/>
        <w:rPr>
          <w:sz w:val="20"/>
          <w:szCs w:val="20"/>
          <w:color w:val="auto"/>
        </w:rPr>
      </w:pPr>
    </w:p>
    <w:p>
      <w:pPr>
        <w:ind w:right="219"/>
        <w:spacing w:after="0" w:line="317" w:lineRule="auto"/>
        <w:rPr>
          <w:sz w:val="20"/>
          <w:szCs w:val="20"/>
          <w:color w:val="auto"/>
        </w:rPr>
      </w:pPr>
      <w:r>
        <w:rPr>
          <w:rFonts w:ascii="Arial" w:cs="Arial" w:eastAsia="Arial" w:hAnsi="Arial"/>
          <w:sz w:val="17"/>
          <w:szCs w:val="17"/>
          <w:color w:val="auto"/>
        </w:rPr>
        <w:t>The PCC has the authority to delegate any of its responsibilities to the committee’s Chair, another PCC member, or a subcommittee of PCC members, unless prohibited by law, regulation, or any Nasdaq listing standard.</w:t>
      </w:r>
    </w:p>
    <w:p>
      <w:pPr>
        <w:spacing w:after="0" w:line="139" w:lineRule="exact"/>
        <w:rPr>
          <w:sz w:val="20"/>
          <w:szCs w:val="20"/>
          <w:color w:val="auto"/>
        </w:rPr>
      </w:pPr>
    </w:p>
    <w:p>
      <w:pPr>
        <w:ind w:right="179"/>
        <w:spacing w:after="0" w:line="270" w:lineRule="auto"/>
        <w:rPr>
          <w:sz w:val="20"/>
          <w:szCs w:val="20"/>
          <w:color w:val="auto"/>
        </w:rPr>
      </w:pPr>
      <w:r>
        <w:rPr>
          <w:rFonts w:ascii="Arial" w:cs="Arial" w:eastAsia="Arial" w:hAnsi="Arial"/>
          <w:sz w:val="22"/>
          <w:szCs w:val="22"/>
          <w:b w:val="1"/>
          <w:bCs w:val="1"/>
          <w:color w:val="582C83"/>
        </w:rPr>
        <w:t>EXECUTIVE OFFICERS HAVE A LIMITED ROLE IN THE PEOPLE AND COMPENSATION COMMITTEE’S DETERMINATION OF EXECUTIVE COMPENSATION AND NON-EMPLOYEE DIRECTOR COMPENSATION</w:t>
      </w:r>
    </w:p>
    <w:p>
      <w:pPr>
        <w:spacing w:after="0" w:line="44" w:lineRule="exact"/>
        <w:rPr>
          <w:sz w:val="20"/>
          <w:szCs w:val="20"/>
          <w:color w:val="auto"/>
        </w:rPr>
      </w:pPr>
    </w:p>
    <w:p>
      <w:pPr>
        <w:ind w:left="140" w:right="19" w:hanging="133"/>
        <w:spacing w:after="0" w:line="274" w:lineRule="auto"/>
        <w:tabs>
          <w:tab w:leader="none" w:pos="140" w:val="left"/>
        </w:tabs>
        <w:numPr>
          <w:ilvl w:val="0"/>
          <w:numId w:val="71"/>
        </w:numPr>
        <w:rPr>
          <w:rFonts w:ascii="Arial" w:cs="Arial" w:eastAsia="Arial" w:hAnsi="Arial"/>
          <w:sz w:val="17"/>
          <w:szCs w:val="17"/>
          <w:color w:val="582C83"/>
        </w:rPr>
      </w:pPr>
      <w:r>
        <w:rPr>
          <w:rFonts w:ascii="Arial" w:cs="Arial" w:eastAsia="Arial" w:hAnsi="Arial"/>
          <w:sz w:val="17"/>
          <w:szCs w:val="17"/>
          <w:color w:val="auto"/>
        </w:rPr>
        <w:t>Each year, the CEO presents compensation recommendations for his direct reports and the other executive officers, including the NEOs. The PCC reviews and discusses these recommendations with the CEO, but retains full discretion over the compensation of these employees.</w:t>
      </w:r>
    </w:p>
    <w:p>
      <w:pPr>
        <w:spacing w:after="0" w:line="5" w:lineRule="exact"/>
        <w:rPr>
          <w:rFonts w:ascii="Arial" w:cs="Arial" w:eastAsia="Arial" w:hAnsi="Arial"/>
          <w:sz w:val="17"/>
          <w:szCs w:val="17"/>
          <w:color w:val="582C83"/>
        </w:rPr>
      </w:pPr>
    </w:p>
    <w:p>
      <w:pPr>
        <w:ind w:left="140" w:hanging="133"/>
        <w:spacing w:after="0"/>
        <w:tabs>
          <w:tab w:leader="none" w:pos="140" w:val="left"/>
        </w:tabs>
        <w:numPr>
          <w:ilvl w:val="0"/>
          <w:numId w:val="71"/>
        </w:numPr>
        <w:rPr>
          <w:rFonts w:ascii="Arial" w:cs="Arial" w:eastAsia="Arial" w:hAnsi="Arial"/>
          <w:sz w:val="17"/>
          <w:szCs w:val="17"/>
          <w:color w:val="582C83"/>
        </w:rPr>
      </w:pPr>
      <w:r>
        <w:rPr>
          <w:rFonts w:ascii="Arial" w:cs="Arial" w:eastAsia="Arial" w:hAnsi="Arial"/>
          <w:sz w:val="17"/>
          <w:szCs w:val="17"/>
          <w:color w:val="auto"/>
        </w:rPr>
        <w:t>The CEO does not make recommendations or participate in deliberations regarding his own compensation.</w:t>
      </w:r>
    </w:p>
    <w:p>
      <w:pPr>
        <w:spacing w:after="0" w:line="47" w:lineRule="exact"/>
        <w:rPr>
          <w:rFonts w:ascii="Arial" w:cs="Arial" w:eastAsia="Arial" w:hAnsi="Arial"/>
          <w:sz w:val="17"/>
          <w:szCs w:val="17"/>
          <w:color w:val="582C83"/>
        </w:rPr>
      </w:pPr>
    </w:p>
    <w:p>
      <w:pPr>
        <w:ind w:left="140" w:right="899" w:hanging="133"/>
        <w:spacing w:after="0" w:line="301" w:lineRule="auto"/>
        <w:tabs>
          <w:tab w:leader="none" w:pos="140" w:val="left"/>
        </w:tabs>
        <w:numPr>
          <w:ilvl w:val="0"/>
          <w:numId w:val="71"/>
        </w:numPr>
        <w:rPr>
          <w:rFonts w:ascii="Arial" w:cs="Arial" w:eastAsia="Arial" w:hAnsi="Arial"/>
          <w:sz w:val="17"/>
          <w:szCs w:val="17"/>
          <w:color w:val="582C83"/>
        </w:rPr>
      </w:pPr>
      <w:r>
        <w:rPr>
          <w:rFonts w:ascii="Arial" w:cs="Arial" w:eastAsia="Arial" w:hAnsi="Arial"/>
          <w:sz w:val="17"/>
          <w:szCs w:val="17"/>
          <w:color w:val="auto"/>
        </w:rPr>
        <w:t>Executive officers do not play a role in determining or recommending the amount or form of non-employee director compensation.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See “Decision-Making Process” on page 80 for additional detail on roles in the decision-making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54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5596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10375" cy="559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60"/>
        <w:spacing w:after="0"/>
        <w:rPr>
          <w:sz w:val="20"/>
          <w:szCs w:val="20"/>
          <w:color w:val="auto"/>
        </w:rPr>
      </w:pPr>
      <w:r>
        <w:rPr>
          <w:rFonts w:ascii="Arial" w:cs="Arial" w:eastAsia="Arial" w:hAnsi="Arial"/>
          <w:sz w:val="21"/>
          <w:szCs w:val="21"/>
          <w:b w:val="1"/>
          <w:bCs w:val="1"/>
          <w:color w:val="auto"/>
        </w:rPr>
        <w:t>BOARD COMMITTEES AND MEMBERSHIP</w:t>
      </w:r>
    </w:p>
    <w:p>
      <w:pPr>
        <w:spacing w:after="0" w:line="48"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People and Compensation Committee</w:t>
      </w:r>
    </w:p>
    <w:p>
      <w:pPr>
        <w:spacing w:after="0" w:line="200" w:lineRule="exact"/>
        <w:rPr>
          <w:sz w:val="20"/>
          <w:szCs w:val="20"/>
          <w:color w:val="auto"/>
        </w:rPr>
      </w:pPr>
    </w:p>
    <w:p>
      <w:pPr>
        <w:spacing w:after="0" w:line="267" w:lineRule="exact"/>
        <w:rPr>
          <w:sz w:val="20"/>
          <w:szCs w:val="20"/>
          <w:color w:val="auto"/>
        </w:rPr>
      </w:pPr>
    </w:p>
    <w:p>
      <w:pPr>
        <w:ind w:right="1199"/>
        <w:spacing w:after="0" w:line="285" w:lineRule="auto"/>
        <w:rPr>
          <w:sz w:val="20"/>
          <w:szCs w:val="20"/>
          <w:color w:val="auto"/>
        </w:rPr>
      </w:pPr>
      <w:r>
        <w:rPr>
          <w:rFonts w:ascii="Arial" w:cs="Arial" w:eastAsia="Arial" w:hAnsi="Arial"/>
          <w:sz w:val="22"/>
          <w:szCs w:val="22"/>
          <w:b w:val="1"/>
          <w:bCs w:val="1"/>
          <w:color w:val="582C83"/>
        </w:rPr>
        <w:t>THE PEOPLE AND COMPENSATION COMMITTEE’S ROLE IN MANAGEMENT SUCCESSION PLANNING AND DEVELOPMENT</w:t>
      </w:r>
    </w:p>
    <w:p>
      <w:pPr>
        <w:spacing w:after="0" w:line="27" w:lineRule="exact"/>
        <w:rPr>
          <w:sz w:val="20"/>
          <w:szCs w:val="20"/>
          <w:color w:val="auto"/>
        </w:rPr>
      </w:pPr>
    </w:p>
    <w:p>
      <w:pPr>
        <w:ind w:right="79"/>
        <w:spacing w:after="0" w:line="274" w:lineRule="auto"/>
        <w:rPr>
          <w:sz w:val="20"/>
          <w:szCs w:val="20"/>
          <w:color w:val="auto"/>
        </w:rPr>
      </w:pPr>
      <w:r>
        <w:rPr>
          <w:rFonts w:ascii="Arial" w:cs="Arial" w:eastAsia="Arial" w:hAnsi="Arial"/>
          <w:sz w:val="17"/>
          <w:szCs w:val="17"/>
          <w:color w:val="auto"/>
        </w:rPr>
        <w:t>Succession planning for senior management positions, which facilitates continuity of leadership over the long term, is critical to our success and important at all levels within our organization. Our Board’s involvement in leadership development and succession planning is systematic, strategic, and continuous. The PCC oversees the development and retention of senior management talent while also developing a long-term succession and development plan for our CEO. Additionally, the Board has contingency plans for emergencies such as the death or disability of the CEO.</w:t>
      </w:r>
    </w:p>
    <w:p>
      <w:pPr>
        <w:spacing w:after="0" w:line="72" w:lineRule="exact"/>
        <w:rPr>
          <w:sz w:val="20"/>
          <w:szCs w:val="20"/>
          <w:color w:val="auto"/>
        </w:rPr>
      </w:pPr>
    </w:p>
    <w:p>
      <w:pPr>
        <w:ind w:right="19"/>
        <w:spacing w:after="0" w:line="276" w:lineRule="auto"/>
        <w:rPr>
          <w:sz w:val="20"/>
          <w:szCs w:val="20"/>
          <w:color w:val="auto"/>
        </w:rPr>
      </w:pPr>
      <w:r>
        <w:rPr>
          <w:rFonts w:ascii="Arial" w:cs="Arial" w:eastAsia="Arial" w:hAnsi="Arial"/>
          <w:sz w:val="17"/>
          <w:szCs w:val="17"/>
          <w:color w:val="auto"/>
        </w:rPr>
        <w:t>The PCC, together with the CEO, regularly reviews senior management talent, including readiness to take on additional leadership roles and developmental opportunities needed to prepare leaders for greater responsibilities. The CEO also provides a regular review to the PCC of the executive leadership team. While the PCC has the primary responsibility to develop succession plans for the CEO position, it annually reports to the Board and decisions are made with input from the Board. Potential leaders interact with Board members through formal presentations, in-market reviews, and informal settings. More broadly, the Board is updated on human capital matters for the overall workforce, including recruiting, employee engagement, and development programs.</w:t>
      </w:r>
    </w:p>
    <w:p>
      <w:pPr>
        <w:sectPr>
          <w:pgSz w:w="11900" w:h="16838" w:orient="portrait"/>
          <w:cols w:equalWidth="0" w:num="1">
            <w:col w:w="9039"/>
          </w:cols>
          <w:pgMar w:left="1420" w:top="158" w:right="1440"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2594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10375" cy="325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71742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10375" cy="7174230"/>
                    </a:xfrm>
                    <a:prstGeom prst="rect">
                      <a:avLst/>
                    </a:prstGeom>
                    <a:noFill/>
                  </pic:spPr>
                </pic:pic>
              </a:graphicData>
            </a:graphic>
          </wp:anchor>
        </w:drawing>
      </w:r>
    </w:p>
    <w:p>
      <w:pPr>
        <w:sectPr>
          <w:pgSz w:w="11900" w:h="16883" w:orient="portrait"/>
          <w:cols w:equalWidth="0" w:num="1">
            <w:col w:w="9039"/>
          </w:cols>
          <w:pgMar w:left="142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39"/>
        <w:spacing w:after="0" w:line="310" w:lineRule="auto"/>
        <w:rPr>
          <w:sz w:val="20"/>
          <w:szCs w:val="20"/>
          <w:color w:val="auto"/>
        </w:rPr>
      </w:pPr>
      <w:r>
        <w:rPr>
          <w:rFonts w:ascii="Arial" w:cs="Arial" w:eastAsia="Arial" w:hAnsi="Arial"/>
          <w:sz w:val="44"/>
          <w:szCs w:val="44"/>
          <w:b w:val="1"/>
          <w:bCs w:val="1"/>
          <w:color w:val="582C83"/>
        </w:rPr>
        <w:t>OUR DISTINCTIVE APPROACH TO ENVIRONMENTAL AND SOCIAL ISSUES</w:t>
      </w:r>
    </w:p>
    <w:p>
      <w:pPr>
        <w:spacing w:after="0" w:line="200" w:lineRule="exact"/>
        <w:rPr>
          <w:sz w:val="20"/>
          <w:szCs w:val="20"/>
          <w:color w:val="auto"/>
        </w:rPr>
      </w:pPr>
    </w:p>
    <w:p>
      <w:pPr>
        <w:spacing w:after="0" w:line="382" w:lineRule="exact"/>
        <w:rPr>
          <w:sz w:val="20"/>
          <w:szCs w:val="20"/>
          <w:color w:val="auto"/>
        </w:rPr>
      </w:pPr>
    </w:p>
    <w:p>
      <w:pPr>
        <w:ind w:right="299"/>
        <w:spacing w:after="0" w:line="274" w:lineRule="auto"/>
        <w:rPr>
          <w:sz w:val="20"/>
          <w:szCs w:val="20"/>
          <w:color w:val="auto"/>
        </w:rPr>
      </w:pPr>
      <w:r>
        <w:rPr>
          <w:rFonts w:ascii="Arial" w:cs="Arial" w:eastAsia="Arial" w:hAnsi="Arial"/>
          <w:sz w:val="17"/>
          <w:szCs w:val="17"/>
          <w:color w:val="auto"/>
        </w:rPr>
        <w:t>Snacking Made Right is the lens through which we determine our sustainability priorities to deliver on our mission of leading the future of snacking. We have a clear strategic approach to making snacking right, so we can drive innovative, more sustainable business growth.</w:t>
      </w:r>
    </w:p>
    <w:p>
      <w:pPr>
        <w:spacing w:after="0" w:line="60" w:lineRule="exact"/>
        <w:rPr>
          <w:sz w:val="20"/>
          <w:szCs w:val="20"/>
          <w:color w:val="auto"/>
        </w:rPr>
      </w:pPr>
    </w:p>
    <w:p>
      <w:pPr>
        <w:ind w:right="19"/>
        <w:spacing w:after="0" w:line="279" w:lineRule="auto"/>
        <w:rPr>
          <w:sz w:val="20"/>
          <w:szCs w:val="20"/>
          <w:color w:val="auto"/>
        </w:rPr>
      </w:pPr>
      <w:r>
        <w:rPr>
          <w:rFonts w:ascii="Arial" w:cs="Arial" w:eastAsia="Arial" w:hAnsi="Arial"/>
          <w:sz w:val="17"/>
          <w:szCs w:val="17"/>
          <w:color w:val="auto"/>
        </w:rPr>
        <w:t>Mondelēz International is committed to creating a positive impact on the world and the people our business touches while driving business performance. With a strong foundation of beloved iconic brands, stakeholder partnerships, and purposeful signature programs, we’re well-positioned to lead the future of snacking. We focus on key areas where we believe we can deliver greater long-term positive impact, which is why we continue to focus significant efforts to drive progress against our core initiatives for more sustainable and mindful snacking. Our strategy and ambitions in these key focus areas are expected to support our growth around the world and are underpinned by our focus on promoting a culture of safety, quality, and inclusivity.</w:t>
      </w:r>
    </w:p>
    <w:p>
      <w:pPr>
        <w:spacing w:after="0" w:line="314"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256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9"/>
          <w:szCs w:val="29"/>
          <w:b w:val="1"/>
          <w:bCs w:val="1"/>
          <w:color w:val="auto"/>
        </w:rPr>
        <w:t xml:space="preserve"> OUR STRATEGIC FOCUS AREAS</w:t>
      </w:r>
    </w:p>
    <w:p>
      <w:pPr>
        <w:spacing w:after="0" w:line="191" w:lineRule="exact"/>
        <w:rPr>
          <w:sz w:val="20"/>
          <w:szCs w:val="20"/>
          <w:color w:val="auto"/>
        </w:rPr>
      </w:pPr>
    </w:p>
    <w:p>
      <w:pPr>
        <w:ind w:right="139"/>
        <w:spacing w:after="0" w:line="317" w:lineRule="auto"/>
        <w:rPr>
          <w:sz w:val="20"/>
          <w:szCs w:val="20"/>
          <w:color w:val="auto"/>
        </w:rPr>
      </w:pPr>
      <w:r>
        <w:rPr>
          <w:rFonts w:ascii="Arial" w:cs="Arial" w:eastAsia="Arial" w:hAnsi="Arial"/>
          <w:sz w:val="17"/>
          <w:szCs w:val="17"/>
          <w:color w:val="auto"/>
        </w:rPr>
        <w:t>We have identified certain sustainability-related strategic focus areas that we believe are significant to building a more sustainable snacking company.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PLANET</w:t>
      </w:r>
    </w:p>
    <w:p>
      <w:pPr>
        <w:spacing w:after="0" w:line="114" w:lineRule="exact"/>
        <w:rPr>
          <w:sz w:val="20"/>
          <w:szCs w:val="20"/>
          <w:color w:val="auto"/>
        </w:rPr>
      </w:pPr>
    </w:p>
    <w:p>
      <w:pPr>
        <w:ind w:right="259"/>
        <w:spacing w:after="0" w:line="291" w:lineRule="auto"/>
        <w:rPr>
          <w:sz w:val="20"/>
          <w:szCs w:val="20"/>
          <w:color w:val="auto"/>
        </w:rPr>
      </w:pPr>
      <w:r>
        <w:rPr>
          <w:rFonts w:ascii="Arial" w:cs="Arial" w:eastAsia="Arial" w:hAnsi="Arial"/>
          <w:sz w:val="17"/>
          <w:szCs w:val="17"/>
          <w:color w:val="auto"/>
        </w:rPr>
        <w:t>We focus on more sustainable sourcing of key ingredients, reducing our end-to-end environmental impact, and innovating our processes and packaging to reduce waste, promote recycling, meet consumer demands, and support future legal compliance.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w:t>
      </w:r>
    </w:p>
    <w:p>
      <w:pPr>
        <w:spacing w:after="0" w:line="114" w:lineRule="exact"/>
        <w:rPr>
          <w:sz w:val="20"/>
          <w:szCs w:val="20"/>
          <w:color w:val="auto"/>
        </w:rPr>
      </w:pPr>
    </w:p>
    <w:p>
      <w:pPr>
        <w:ind w:right="219"/>
        <w:spacing w:after="0" w:line="291" w:lineRule="auto"/>
        <w:rPr>
          <w:sz w:val="20"/>
          <w:szCs w:val="20"/>
          <w:color w:val="auto"/>
        </w:rPr>
      </w:pPr>
      <w:r>
        <w:rPr>
          <w:rFonts w:ascii="Arial" w:cs="Arial" w:eastAsia="Arial" w:hAnsi="Arial"/>
          <w:sz w:val="17"/>
          <w:szCs w:val="17"/>
          <w:color w:val="auto"/>
        </w:rPr>
        <w:t>We believe the strength of our workforce is one of the significant contributors to our success as a purpose-led, global company and our focus includes promoting human rights across our value chain and championing consumer and colleague well-being and community.</w:t>
      </w:r>
    </w:p>
    <w:p>
      <w:pPr>
        <w:spacing w:after="0" w:line="179" w:lineRule="exact"/>
        <w:rPr>
          <w:sz w:val="20"/>
          <w:szCs w:val="20"/>
          <w:color w:val="auto"/>
        </w:rPr>
      </w:pPr>
    </w:p>
    <w:tbl>
      <w:tblPr>
        <w:tblLayout w:type="fixed"/>
        <w:tblInd w:w="280" w:type="dxa"/>
        <w:tblCellMar>
          <w:top w:w="0" w:type="dxa"/>
          <w:left w:w="0" w:type="dxa"/>
          <w:bottom w:w="0" w:type="dxa"/>
          <w:right w:w="0" w:type="dxa"/>
        </w:tblCellMar>
      </w:tblPr>
      <w:tr>
        <w:trPr>
          <w:trHeight w:val="176"/>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rPr>
              <w:t>Ingredients</w:t>
            </w:r>
          </w:p>
        </w:tc>
        <w:tc>
          <w:tcPr>
            <w:tcW w:w="11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Climate</w:t>
            </w:r>
          </w:p>
        </w:tc>
        <w:tc>
          <w:tcPr>
            <w:tcW w:w="12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Packaging</w:t>
            </w:r>
          </w:p>
        </w:tc>
        <w:tc>
          <w:tcPr>
            <w:tcW w:w="13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Social Impact</w:t>
            </w:r>
          </w:p>
        </w:tc>
        <w:tc>
          <w:tcPr>
            <w:tcW w:w="1280" w:type="dxa"/>
            <w:vAlign w:val="bottom"/>
          </w:tcPr>
          <w:p>
            <w:pPr>
              <w:jc w:val="center"/>
              <w:ind w:right="8"/>
              <w:spacing w:after="0"/>
              <w:rPr>
                <w:sz w:val="20"/>
                <w:szCs w:val="20"/>
                <w:color w:val="auto"/>
              </w:rPr>
            </w:pPr>
            <w:r>
              <w:rPr>
                <w:rFonts w:ascii="Arial" w:cs="Arial" w:eastAsia="Arial" w:hAnsi="Arial"/>
                <w:sz w:val="14"/>
                <w:szCs w:val="14"/>
                <w:b w:val="1"/>
                <w:bCs w:val="1"/>
                <w:color w:val="auto"/>
              </w:rPr>
              <w:t>Workplace</w:t>
            </w:r>
          </w:p>
        </w:tc>
        <w:tc>
          <w:tcPr>
            <w:tcW w:w="1280" w:type="dxa"/>
            <w:vAlign w:val="bottom"/>
          </w:tcPr>
          <w:p>
            <w:pPr>
              <w:ind w:left="340"/>
              <w:spacing w:after="0"/>
              <w:rPr>
                <w:sz w:val="20"/>
                <w:szCs w:val="20"/>
                <w:color w:val="auto"/>
              </w:rPr>
            </w:pPr>
            <w:r>
              <w:rPr>
                <w:rFonts w:ascii="Arial" w:cs="Arial" w:eastAsia="Arial" w:hAnsi="Arial"/>
                <w:sz w:val="14"/>
                <w:szCs w:val="14"/>
                <w:b w:val="1"/>
                <w:bCs w:val="1"/>
                <w:color w:val="auto"/>
              </w:rPr>
              <w:t>Consumer</w:t>
            </w:r>
          </w:p>
        </w:tc>
        <w:tc>
          <w:tcPr>
            <w:tcW w:w="1300" w:type="dxa"/>
            <w:vAlign w:val="bottom"/>
          </w:tcPr>
          <w:p>
            <w:pPr>
              <w:jc w:val="center"/>
              <w:ind w:left="148"/>
              <w:spacing w:after="0"/>
              <w:rPr>
                <w:sz w:val="20"/>
                <w:szCs w:val="20"/>
                <w:color w:val="auto"/>
              </w:rPr>
            </w:pPr>
            <w:r>
              <w:rPr>
                <w:rFonts w:ascii="Arial" w:cs="Arial" w:eastAsia="Arial" w:hAnsi="Arial"/>
                <w:sz w:val="14"/>
                <w:szCs w:val="14"/>
                <w:b w:val="1"/>
                <w:bCs w:val="1"/>
                <w:color w:val="auto"/>
              </w:rPr>
              <w:t>Colleague Well-</w:t>
            </w:r>
          </w:p>
        </w:tc>
        <w:tc>
          <w:tcPr>
            <w:tcW w:w="0" w:type="dxa"/>
            <w:vAlign w:val="bottom"/>
          </w:tcPr>
          <w:p>
            <w:pPr>
              <w:spacing w:after="0"/>
              <w:rPr>
                <w:sz w:val="1"/>
                <w:szCs w:val="1"/>
                <w:color w:val="auto"/>
              </w:rPr>
            </w:pPr>
          </w:p>
        </w:tc>
      </w:tr>
      <w:tr>
        <w:trPr>
          <w:trHeight w:val="115"/>
        </w:trPr>
        <w:tc>
          <w:tcPr>
            <w:tcW w:w="11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2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Culture</w:t>
            </w:r>
          </w:p>
        </w:tc>
        <w:tc>
          <w:tcPr>
            <w:tcW w:w="12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Well-Being</w:t>
            </w:r>
          </w:p>
        </w:tc>
        <w:tc>
          <w:tcPr>
            <w:tcW w:w="130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rPr>
              <w:t>Being</w:t>
            </w:r>
          </w:p>
        </w:tc>
        <w:tc>
          <w:tcPr>
            <w:tcW w:w="0" w:type="dxa"/>
            <w:vAlign w:val="bottom"/>
          </w:tcPr>
          <w:p>
            <w:pPr>
              <w:spacing w:after="0"/>
              <w:rPr>
                <w:sz w:val="1"/>
                <w:szCs w:val="1"/>
                <w:color w:val="auto"/>
              </w:rPr>
            </w:pPr>
          </w:p>
        </w:tc>
      </w:tr>
      <w:tr>
        <w:trPr>
          <w:trHeight w:val="81"/>
        </w:trPr>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80" w:type="dxa"/>
            <w:vAlign w:val="bottom"/>
          </w:tcPr>
          <w:p>
            <w:pPr>
              <w:jc w:val="center"/>
              <w:ind w:right="48"/>
              <w:spacing w:after="0"/>
              <w:rPr>
                <w:sz w:val="20"/>
                <w:szCs w:val="20"/>
                <w:color w:val="auto"/>
              </w:rPr>
            </w:pPr>
            <w:r>
              <w:rPr>
                <w:rFonts w:ascii="Arial" w:cs="Arial" w:eastAsia="Arial" w:hAnsi="Arial"/>
                <w:sz w:val="14"/>
                <w:szCs w:val="14"/>
                <w:color w:val="auto"/>
              </w:rPr>
              <w:t>Develop signature</w:t>
            </w:r>
          </w:p>
        </w:tc>
        <w:tc>
          <w:tcPr>
            <w:tcW w:w="1200" w:type="dxa"/>
            <w:vAlign w:val="bottom"/>
          </w:tcPr>
          <w:p>
            <w:pPr>
              <w:jc w:val="center"/>
              <w:spacing w:after="0"/>
              <w:rPr>
                <w:sz w:val="20"/>
                <w:szCs w:val="20"/>
                <w:color w:val="auto"/>
              </w:rPr>
            </w:pPr>
            <w:r>
              <w:rPr>
                <w:rFonts w:ascii="Arial" w:cs="Arial" w:eastAsia="Arial" w:hAnsi="Arial"/>
                <w:sz w:val="14"/>
                <w:szCs w:val="14"/>
                <w:color w:val="auto"/>
              </w:rPr>
              <w:t>Help address</w:t>
            </w:r>
          </w:p>
        </w:tc>
        <w:tc>
          <w:tcPr>
            <w:tcW w:w="1240" w:type="dxa"/>
            <w:vAlign w:val="bottom"/>
          </w:tcPr>
          <w:p>
            <w:pPr>
              <w:jc w:val="center"/>
              <w:spacing w:after="0"/>
              <w:rPr>
                <w:sz w:val="20"/>
                <w:szCs w:val="20"/>
                <w:color w:val="auto"/>
              </w:rPr>
            </w:pPr>
            <w:r>
              <w:rPr>
                <w:rFonts w:ascii="Arial" w:cs="Arial" w:eastAsia="Arial" w:hAnsi="Arial"/>
                <w:sz w:val="14"/>
                <w:szCs w:val="14"/>
                <w:color w:val="auto"/>
              </w:rPr>
              <w:t>Aim for</w:t>
            </w:r>
          </w:p>
        </w:tc>
        <w:tc>
          <w:tcPr>
            <w:tcW w:w="1260" w:type="dxa"/>
            <w:vAlign w:val="bottom"/>
          </w:tcPr>
          <w:p>
            <w:pPr>
              <w:jc w:val="center"/>
              <w:spacing w:after="0"/>
              <w:rPr>
                <w:sz w:val="20"/>
                <w:szCs w:val="20"/>
                <w:color w:val="auto"/>
              </w:rPr>
            </w:pPr>
            <w:r>
              <w:rPr>
                <w:rFonts w:ascii="Arial" w:cs="Arial" w:eastAsia="Arial" w:hAnsi="Arial"/>
                <w:sz w:val="14"/>
                <w:szCs w:val="14"/>
                <w:color w:val="auto"/>
              </w:rPr>
              <w:t>Promote human</w:t>
            </w:r>
          </w:p>
        </w:tc>
        <w:tc>
          <w:tcPr>
            <w:tcW w:w="1300" w:type="dxa"/>
            <w:vAlign w:val="bottom"/>
          </w:tcPr>
          <w:p>
            <w:pPr>
              <w:jc w:val="center"/>
              <w:spacing w:after="0"/>
              <w:rPr>
                <w:sz w:val="20"/>
                <w:szCs w:val="20"/>
                <w:color w:val="auto"/>
              </w:rPr>
            </w:pPr>
            <w:r>
              <w:rPr>
                <w:rFonts w:ascii="Arial" w:cs="Arial" w:eastAsia="Arial" w:hAnsi="Arial"/>
                <w:sz w:val="14"/>
                <w:szCs w:val="14"/>
                <w:color w:val="auto"/>
              </w:rPr>
              <w:t>Build a winning</w:t>
            </w:r>
          </w:p>
        </w:tc>
        <w:tc>
          <w:tcPr>
            <w:tcW w:w="1400" w:type="dxa"/>
            <w:vAlign w:val="bottom"/>
          </w:tcPr>
          <w:p>
            <w:pPr>
              <w:jc w:val="center"/>
              <w:spacing w:after="0"/>
              <w:rPr>
                <w:sz w:val="20"/>
                <w:szCs w:val="20"/>
                <w:color w:val="auto"/>
              </w:rPr>
            </w:pPr>
            <w:r>
              <w:rPr>
                <w:rFonts w:ascii="Arial" w:cs="Arial" w:eastAsia="Arial" w:hAnsi="Arial"/>
                <w:sz w:val="14"/>
                <w:szCs w:val="14"/>
                <w:color w:val="auto"/>
              </w:rPr>
              <w:t>Aim to empower</w:t>
            </w:r>
          </w:p>
        </w:tc>
        <w:tc>
          <w:tcPr>
            <w:tcW w:w="1220" w:type="dxa"/>
            <w:vAlign w:val="bottom"/>
          </w:tcPr>
          <w:p>
            <w:pPr>
              <w:jc w:val="center"/>
              <w:ind w:left="28"/>
              <w:spacing w:after="0"/>
              <w:rPr>
                <w:sz w:val="20"/>
                <w:szCs w:val="20"/>
                <w:color w:val="auto"/>
              </w:rPr>
            </w:pPr>
            <w:r>
              <w:rPr>
                <w:rFonts w:ascii="Arial" w:cs="Arial" w:eastAsia="Arial" w:hAnsi="Arial"/>
                <w:sz w:val="14"/>
                <w:szCs w:val="14"/>
                <w:color w:val="auto"/>
              </w:rPr>
              <w:t>Build a culture</w:t>
            </w:r>
          </w:p>
        </w:tc>
      </w:tr>
      <w:tr>
        <w:trPr>
          <w:trHeight w:val="148"/>
        </w:trPr>
        <w:tc>
          <w:tcPr>
            <w:tcW w:w="128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sourcing</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rPr>
              <w:t>climate risk</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reducing and</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rPr>
              <w:t>rights across</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growth culture</w:t>
            </w: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rPr>
              <w:t>consumers with</w:t>
            </w:r>
          </w:p>
        </w:tc>
        <w:tc>
          <w:tcPr>
            <w:tcW w:w="1220" w:type="dxa"/>
            <w:vAlign w:val="bottom"/>
          </w:tcPr>
          <w:p>
            <w:pPr>
              <w:jc w:val="center"/>
              <w:ind w:left="48"/>
              <w:spacing w:after="0" w:line="149" w:lineRule="exact"/>
              <w:rPr>
                <w:sz w:val="20"/>
                <w:szCs w:val="20"/>
                <w:color w:val="auto"/>
              </w:rPr>
            </w:pPr>
            <w:r>
              <w:rPr>
                <w:rFonts w:ascii="Arial" w:cs="Arial" w:eastAsia="Arial" w:hAnsi="Arial"/>
                <w:sz w:val="14"/>
                <w:szCs w:val="14"/>
                <w:color w:val="auto"/>
              </w:rPr>
              <w:t>that focuses on</w:t>
            </w:r>
          </w:p>
        </w:tc>
      </w:tr>
      <w:tr>
        <w:trPr>
          <w:trHeight w:val="148"/>
        </w:trPr>
        <w:tc>
          <w:tcPr>
            <w:tcW w:w="128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programs across</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rPr>
              <w:t>through</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evolving</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rPr>
              <w:t>our value chain</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championing</w:t>
            </w: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rPr>
              <w:t>contemporary</w:t>
            </w:r>
          </w:p>
        </w:tc>
        <w:tc>
          <w:tcPr>
            <w:tcW w:w="1220" w:type="dxa"/>
            <w:vAlign w:val="bottom"/>
          </w:tcPr>
          <w:p>
            <w:pPr>
              <w:jc w:val="center"/>
              <w:ind w:left="48"/>
              <w:spacing w:after="0" w:line="149" w:lineRule="exact"/>
              <w:rPr>
                <w:sz w:val="20"/>
                <w:szCs w:val="20"/>
                <w:color w:val="auto"/>
              </w:rPr>
            </w:pPr>
            <w:r>
              <w:rPr>
                <w:rFonts w:ascii="Arial" w:cs="Arial" w:eastAsia="Arial" w:hAnsi="Arial"/>
                <w:sz w:val="14"/>
                <w:szCs w:val="14"/>
                <w:color w:val="auto"/>
              </w:rPr>
              <w:t>the safety,</w:t>
            </w:r>
          </w:p>
        </w:tc>
      </w:tr>
      <w:tr>
        <w:trPr>
          <w:trHeight w:val="162"/>
        </w:trPr>
        <w:tc>
          <w:tcPr>
            <w:tcW w:w="1280" w:type="dxa"/>
            <w:vAlign w:val="bottom"/>
          </w:tcPr>
          <w:p>
            <w:pPr>
              <w:jc w:val="center"/>
              <w:ind w:right="48"/>
              <w:spacing w:after="0"/>
              <w:rPr>
                <w:sz w:val="20"/>
                <w:szCs w:val="20"/>
                <w:color w:val="auto"/>
              </w:rPr>
            </w:pPr>
            <w:r>
              <w:rPr>
                <w:rFonts w:ascii="Arial" w:cs="Arial" w:eastAsia="Arial" w:hAnsi="Arial"/>
                <w:sz w:val="14"/>
                <w:szCs w:val="14"/>
                <w:color w:val="auto"/>
              </w:rPr>
              <w:t>key raw materials,</w:t>
            </w:r>
          </w:p>
        </w:tc>
        <w:tc>
          <w:tcPr>
            <w:tcW w:w="1200" w:type="dxa"/>
            <w:vAlign w:val="bottom"/>
          </w:tcPr>
          <w:p>
            <w:pPr>
              <w:jc w:val="center"/>
              <w:spacing w:after="0"/>
              <w:rPr>
                <w:sz w:val="20"/>
                <w:szCs w:val="20"/>
                <w:color w:val="auto"/>
              </w:rPr>
            </w:pPr>
            <w:r>
              <w:rPr>
                <w:rFonts w:ascii="Arial" w:cs="Arial" w:eastAsia="Arial" w:hAnsi="Arial"/>
                <w:sz w:val="14"/>
                <w:szCs w:val="14"/>
                <w:color w:val="auto"/>
              </w:rPr>
              <w:t>science-based</w:t>
            </w:r>
          </w:p>
        </w:tc>
        <w:tc>
          <w:tcPr>
            <w:tcW w:w="1240" w:type="dxa"/>
            <w:vAlign w:val="bottom"/>
          </w:tcPr>
          <w:p>
            <w:pPr>
              <w:jc w:val="center"/>
              <w:spacing w:after="0"/>
              <w:rPr>
                <w:sz w:val="20"/>
                <w:szCs w:val="20"/>
                <w:color w:val="auto"/>
              </w:rPr>
            </w:pPr>
            <w:r>
              <w:rPr>
                <w:rFonts w:ascii="Arial" w:cs="Arial" w:eastAsia="Arial" w:hAnsi="Arial"/>
                <w:sz w:val="14"/>
                <w:szCs w:val="14"/>
                <w:color w:val="auto"/>
              </w:rPr>
              <w:t>packaging and</w:t>
            </w:r>
          </w:p>
        </w:tc>
        <w:tc>
          <w:tcPr>
            <w:tcW w:w="1260" w:type="dxa"/>
            <w:vAlign w:val="bottom"/>
          </w:tcPr>
          <w:p>
            <w:pPr>
              <w:jc w:val="center"/>
              <w:spacing w:after="0"/>
              <w:rPr>
                <w:sz w:val="20"/>
                <w:szCs w:val="20"/>
                <w:color w:val="auto"/>
              </w:rPr>
            </w:pPr>
            <w:r>
              <w:rPr>
                <w:rFonts w:ascii="Arial" w:cs="Arial" w:eastAsia="Arial" w:hAnsi="Arial"/>
                <w:sz w:val="14"/>
                <w:szCs w:val="14"/>
                <w:color w:val="auto"/>
              </w:rPr>
              <w:t>and help to</w:t>
            </w:r>
          </w:p>
        </w:tc>
        <w:tc>
          <w:tcPr>
            <w:tcW w:w="1300" w:type="dxa"/>
            <w:vAlign w:val="bottom"/>
          </w:tcPr>
          <w:p>
            <w:pPr>
              <w:jc w:val="center"/>
              <w:spacing w:after="0"/>
              <w:rPr>
                <w:sz w:val="20"/>
                <w:szCs w:val="20"/>
                <w:color w:val="auto"/>
              </w:rPr>
            </w:pPr>
            <w:r>
              <w:rPr>
                <w:rFonts w:ascii="Arial" w:cs="Arial" w:eastAsia="Arial" w:hAnsi="Arial"/>
                <w:sz w:val="14"/>
                <w:szCs w:val="14"/>
                <w:color w:val="auto"/>
              </w:rPr>
              <w:t>culture and</w:t>
            </w:r>
          </w:p>
        </w:tc>
        <w:tc>
          <w:tcPr>
            <w:tcW w:w="1400" w:type="dxa"/>
            <w:vAlign w:val="bottom"/>
          </w:tcPr>
          <w:p>
            <w:pPr>
              <w:jc w:val="center"/>
              <w:spacing w:after="0"/>
              <w:rPr>
                <w:sz w:val="20"/>
                <w:szCs w:val="20"/>
                <w:color w:val="auto"/>
              </w:rPr>
            </w:pPr>
            <w:r>
              <w:rPr>
                <w:rFonts w:ascii="Arial" w:cs="Arial" w:eastAsia="Arial" w:hAnsi="Arial"/>
                <w:sz w:val="14"/>
                <w:szCs w:val="14"/>
                <w:color w:val="auto"/>
              </w:rPr>
              <w:t>well-being options</w:t>
            </w:r>
          </w:p>
        </w:tc>
        <w:tc>
          <w:tcPr>
            <w:tcW w:w="1220" w:type="dxa"/>
            <w:vAlign w:val="bottom"/>
          </w:tcPr>
          <w:p>
            <w:pPr>
              <w:jc w:val="center"/>
              <w:ind w:left="28"/>
              <w:spacing w:after="0"/>
              <w:rPr>
                <w:sz w:val="20"/>
                <w:szCs w:val="20"/>
                <w:color w:val="auto"/>
              </w:rPr>
            </w:pPr>
            <w:r>
              <w:rPr>
                <w:rFonts w:ascii="Arial" w:cs="Arial" w:eastAsia="Arial" w:hAnsi="Arial"/>
                <w:sz w:val="14"/>
                <w:szCs w:val="14"/>
                <w:color w:val="auto"/>
              </w:rPr>
              <w:t>physical, and</w:t>
            </w:r>
          </w:p>
        </w:tc>
      </w:tr>
      <w:tr>
        <w:trPr>
          <w:trHeight w:val="148"/>
        </w:trPr>
        <w:tc>
          <w:tcPr>
            <w:tcW w:w="128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including cocoa,</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rPr>
              <w:t>targets, using</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improving</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rPr>
              <w:t>enable</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employee</w:t>
            </w: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rPr>
              <w:t>and choices,</w:t>
            </w:r>
          </w:p>
        </w:tc>
        <w:tc>
          <w:tcPr>
            <w:tcW w:w="12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mental well-being</w:t>
            </w:r>
          </w:p>
        </w:tc>
      </w:tr>
      <w:tr>
        <w:trPr>
          <w:trHeight w:val="162"/>
        </w:trPr>
        <w:tc>
          <w:tcPr>
            <w:tcW w:w="1280" w:type="dxa"/>
            <w:vAlign w:val="bottom"/>
          </w:tcPr>
          <w:p>
            <w:pPr>
              <w:jc w:val="center"/>
              <w:ind w:right="28"/>
              <w:spacing w:after="0"/>
              <w:rPr>
                <w:sz w:val="20"/>
                <w:szCs w:val="20"/>
                <w:color w:val="auto"/>
              </w:rPr>
            </w:pPr>
            <w:r>
              <w:rPr>
                <w:rFonts w:ascii="Arial" w:cs="Arial" w:eastAsia="Arial" w:hAnsi="Arial"/>
                <w:sz w:val="14"/>
                <w:szCs w:val="14"/>
                <w:color w:val="auto"/>
              </w:rPr>
              <w:t>wheat, and palm</w:t>
            </w:r>
          </w:p>
        </w:tc>
        <w:tc>
          <w:tcPr>
            <w:tcW w:w="1200" w:type="dxa"/>
            <w:vAlign w:val="bottom"/>
          </w:tcPr>
          <w:p>
            <w:pPr>
              <w:jc w:val="center"/>
              <w:spacing w:after="0"/>
              <w:rPr>
                <w:sz w:val="20"/>
                <w:szCs w:val="20"/>
                <w:color w:val="auto"/>
              </w:rPr>
            </w:pPr>
            <w:r>
              <w:rPr>
                <w:rFonts w:ascii="Arial" w:cs="Arial" w:eastAsia="Arial" w:hAnsi="Arial"/>
                <w:sz w:val="14"/>
                <w:szCs w:val="14"/>
                <w:color w:val="auto"/>
              </w:rPr>
              <w:t>natural</w:t>
            </w:r>
          </w:p>
        </w:tc>
        <w:tc>
          <w:tcPr>
            <w:tcW w:w="1240" w:type="dxa"/>
            <w:vAlign w:val="bottom"/>
          </w:tcPr>
          <w:p>
            <w:pPr>
              <w:jc w:val="center"/>
              <w:spacing w:after="0"/>
              <w:rPr>
                <w:sz w:val="20"/>
                <w:szCs w:val="20"/>
                <w:color w:val="auto"/>
              </w:rPr>
            </w:pPr>
            <w:r>
              <w:rPr>
                <w:rFonts w:ascii="Arial" w:cs="Arial" w:eastAsia="Arial" w:hAnsi="Arial"/>
                <w:sz w:val="14"/>
                <w:szCs w:val="14"/>
                <w:color w:val="auto"/>
              </w:rPr>
              <w:t>systems to</w:t>
            </w:r>
          </w:p>
        </w:tc>
        <w:tc>
          <w:tcPr>
            <w:tcW w:w="1260" w:type="dxa"/>
            <w:vAlign w:val="bottom"/>
          </w:tcPr>
          <w:p>
            <w:pPr>
              <w:jc w:val="center"/>
              <w:spacing w:after="0"/>
              <w:rPr>
                <w:sz w:val="20"/>
                <w:szCs w:val="20"/>
                <w:color w:val="auto"/>
              </w:rPr>
            </w:pPr>
            <w:r>
              <w:rPr>
                <w:rFonts w:ascii="Arial" w:cs="Arial" w:eastAsia="Arial" w:hAnsi="Arial"/>
                <w:sz w:val="14"/>
                <w:szCs w:val="14"/>
                <w:color w:val="auto"/>
              </w:rPr>
              <w:t>empowered</w:t>
            </w:r>
          </w:p>
        </w:tc>
        <w:tc>
          <w:tcPr>
            <w:tcW w:w="1300" w:type="dxa"/>
            <w:vAlign w:val="bottom"/>
          </w:tcPr>
          <w:p>
            <w:pPr>
              <w:jc w:val="center"/>
              <w:spacing w:after="0"/>
              <w:rPr>
                <w:sz w:val="20"/>
                <w:szCs w:val="20"/>
                <w:color w:val="auto"/>
              </w:rPr>
            </w:pPr>
            <w:r>
              <w:rPr>
                <w:rFonts w:ascii="Arial" w:cs="Arial" w:eastAsia="Arial" w:hAnsi="Arial"/>
                <w:sz w:val="14"/>
                <w:szCs w:val="14"/>
                <w:color w:val="auto"/>
              </w:rPr>
              <w:t>engagement for</w:t>
            </w:r>
          </w:p>
        </w:tc>
        <w:tc>
          <w:tcPr>
            <w:tcW w:w="1400" w:type="dxa"/>
            <w:vAlign w:val="bottom"/>
          </w:tcPr>
          <w:p>
            <w:pPr>
              <w:jc w:val="center"/>
              <w:spacing w:after="0"/>
              <w:rPr>
                <w:sz w:val="20"/>
                <w:szCs w:val="20"/>
                <w:color w:val="auto"/>
              </w:rPr>
            </w:pPr>
            <w:r>
              <w:rPr>
                <w:rFonts w:ascii="Arial" w:cs="Arial" w:eastAsia="Arial" w:hAnsi="Arial"/>
                <w:sz w:val="14"/>
                <w:szCs w:val="14"/>
                <w:color w:val="auto"/>
              </w:rPr>
              <w:t>Mindful Snacking</w:t>
            </w:r>
          </w:p>
        </w:tc>
        <w:tc>
          <w:tcPr>
            <w:tcW w:w="1220" w:type="dxa"/>
            <w:vAlign w:val="bottom"/>
          </w:tcPr>
          <w:p>
            <w:pPr>
              <w:jc w:val="center"/>
              <w:ind w:left="28"/>
              <w:spacing w:after="0"/>
              <w:rPr>
                <w:sz w:val="20"/>
                <w:szCs w:val="20"/>
                <w:color w:val="auto"/>
              </w:rPr>
            </w:pPr>
            <w:r>
              <w:rPr>
                <w:rFonts w:ascii="Arial" w:cs="Arial" w:eastAsia="Arial" w:hAnsi="Arial"/>
                <w:sz w:val="14"/>
                <w:szCs w:val="14"/>
                <w:color w:val="auto"/>
              </w:rPr>
              <w:t>of our</w:t>
            </w:r>
          </w:p>
        </w:tc>
      </w:tr>
      <w:tr>
        <w:trPr>
          <w:trHeight w:val="148"/>
        </w:trPr>
        <w:tc>
          <w:tcPr>
            <w:tcW w:w="128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oil, to help build</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rPr>
              <w:t>resources end-</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support our</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rPr>
              <w:t>and inclusive</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our colleagues</w:t>
            </w: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rPr>
              <w:t>habits, and</w:t>
            </w:r>
          </w:p>
        </w:tc>
        <w:tc>
          <w:tcPr>
            <w:tcW w:w="12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colleagues.</w:t>
            </w:r>
          </w:p>
        </w:tc>
      </w:tr>
      <w:tr>
        <w:trPr>
          <w:trHeight w:val="190"/>
        </w:trPr>
        <w:tc>
          <w:tcPr>
            <w:tcW w:w="1280" w:type="dxa"/>
            <w:vAlign w:val="bottom"/>
          </w:tcPr>
          <w:p>
            <w:pPr>
              <w:jc w:val="center"/>
              <w:ind w:right="28"/>
              <w:spacing w:after="0"/>
              <w:rPr>
                <w:sz w:val="20"/>
                <w:szCs w:val="20"/>
                <w:color w:val="auto"/>
              </w:rPr>
            </w:pPr>
            <w:r>
              <w:rPr>
                <w:rFonts w:ascii="Arial" w:cs="Arial" w:eastAsia="Arial" w:hAnsi="Arial"/>
                <w:sz w:val="14"/>
                <w:szCs w:val="14"/>
                <w:color w:val="auto"/>
              </w:rPr>
              <w:t>greater</w:t>
            </w:r>
          </w:p>
        </w:tc>
        <w:tc>
          <w:tcPr>
            <w:tcW w:w="1200" w:type="dxa"/>
            <w:vAlign w:val="bottom"/>
          </w:tcPr>
          <w:p>
            <w:pPr>
              <w:jc w:val="center"/>
              <w:spacing w:after="0"/>
              <w:rPr>
                <w:sz w:val="20"/>
                <w:szCs w:val="20"/>
                <w:color w:val="auto"/>
              </w:rPr>
            </w:pPr>
            <w:r>
              <w:rPr>
                <w:rFonts w:ascii="Arial" w:cs="Arial" w:eastAsia="Arial" w:hAnsi="Arial"/>
                <w:sz w:val="14"/>
                <w:szCs w:val="14"/>
                <w:color w:val="auto"/>
              </w:rPr>
              <w:t>to-end more</w:t>
            </w:r>
          </w:p>
        </w:tc>
        <w:tc>
          <w:tcPr>
            <w:tcW w:w="1240" w:type="dxa"/>
            <w:vAlign w:val="bottom"/>
          </w:tcPr>
          <w:p>
            <w:pPr>
              <w:jc w:val="center"/>
              <w:spacing w:after="0"/>
              <w:rPr>
                <w:sz w:val="20"/>
                <w:szCs w:val="20"/>
                <w:color w:val="auto"/>
              </w:rPr>
            </w:pPr>
            <w:r>
              <w:rPr>
                <w:rFonts w:ascii="Arial" w:cs="Arial" w:eastAsia="Arial" w:hAnsi="Arial"/>
                <w:sz w:val="14"/>
                <w:szCs w:val="14"/>
                <w:color w:val="auto"/>
              </w:rPr>
              <w:t>vision of a more</w:t>
            </w:r>
          </w:p>
        </w:tc>
        <w:tc>
          <w:tcPr>
            <w:tcW w:w="1260" w:type="dxa"/>
            <w:vAlign w:val="bottom"/>
          </w:tcPr>
          <w:p>
            <w:pPr>
              <w:jc w:val="center"/>
              <w:spacing w:after="0"/>
              <w:rPr>
                <w:sz w:val="20"/>
                <w:szCs w:val="20"/>
                <w:color w:val="auto"/>
              </w:rPr>
            </w:pPr>
            <w:r>
              <w:rPr>
                <w:rFonts w:ascii="Arial" w:cs="Arial" w:eastAsia="Arial" w:hAnsi="Arial"/>
                <w:sz w:val="14"/>
                <w:szCs w:val="14"/>
                <w:color w:val="auto"/>
              </w:rPr>
              <w:t>communities.</w:t>
            </w:r>
          </w:p>
        </w:tc>
        <w:tc>
          <w:tcPr>
            <w:tcW w:w="1300" w:type="dxa"/>
            <w:vAlign w:val="bottom"/>
          </w:tcPr>
          <w:p>
            <w:pPr>
              <w:jc w:val="center"/>
              <w:spacing w:after="0"/>
              <w:rPr>
                <w:sz w:val="20"/>
                <w:szCs w:val="20"/>
                <w:color w:val="auto"/>
              </w:rPr>
            </w:pPr>
            <w:r>
              <w:rPr>
                <w:rFonts w:ascii="Arial" w:cs="Arial" w:eastAsia="Arial" w:hAnsi="Arial"/>
                <w:sz w:val="14"/>
                <w:szCs w:val="14"/>
                <w:color w:val="auto"/>
              </w:rPr>
              <w:t>and the</w:t>
            </w:r>
          </w:p>
        </w:tc>
        <w:tc>
          <w:tcPr>
            <w:tcW w:w="1400" w:type="dxa"/>
            <w:vAlign w:val="bottom"/>
          </w:tcPr>
          <w:p>
            <w:pPr>
              <w:jc w:val="center"/>
              <w:spacing w:after="0"/>
              <w:rPr>
                <w:sz w:val="20"/>
                <w:szCs w:val="20"/>
                <w:color w:val="auto"/>
              </w:rPr>
            </w:pPr>
            <w:r>
              <w:rPr>
                <w:rFonts w:ascii="Arial" w:cs="Arial" w:eastAsia="Arial" w:hAnsi="Arial"/>
                <w:sz w:val="14"/>
                <w:szCs w:val="14"/>
                <w:color w:val="auto"/>
              </w:rPr>
              <w:t>portion control.</w:t>
            </w:r>
          </w:p>
        </w:tc>
        <w:tc>
          <w:tcPr>
            <w:tcW w:w="1220" w:type="dxa"/>
            <w:vAlign w:val="bottom"/>
          </w:tcPr>
          <w:p>
            <w:pPr>
              <w:spacing w:after="0"/>
              <w:rPr>
                <w:sz w:val="16"/>
                <w:szCs w:val="16"/>
                <w:color w:val="auto"/>
              </w:rPr>
            </w:pPr>
          </w:p>
        </w:tc>
      </w:tr>
    </w:tbl>
    <w:p>
      <w:pPr>
        <w:sectPr>
          <w:pgSz w:w="11900" w:h="16883" w:orient="portrait"/>
          <w:cols w:equalWidth="0" w:num="1">
            <w:col w:w="9039"/>
          </w:cols>
          <w:pgMar w:left="1420" w:top="1440" w:right="1440" w:bottom="0" w:gutter="0" w:footer="0" w:header="0"/>
          <w:type w:val="continuous"/>
        </w:sectPr>
      </w:pPr>
    </w:p>
    <w:bookmarkStart w:id="50" w:name="page51"/>
    <w:bookmarkEnd w:id="50"/>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300" w:type="dxa"/>
            <w:vAlign w:val="bottom"/>
          </w:tcPr>
          <w:p>
            <w:pPr>
              <w:jc w:val="center"/>
              <w:ind w:right="48"/>
              <w:spacing w:after="0"/>
              <w:rPr>
                <w:sz w:val="20"/>
                <w:szCs w:val="20"/>
                <w:color w:val="auto"/>
              </w:rPr>
            </w:pPr>
            <w:r>
              <w:rPr>
                <w:rFonts w:ascii="Arial" w:cs="Arial" w:eastAsia="Arial" w:hAnsi="Arial"/>
                <w:sz w:val="14"/>
                <w:szCs w:val="14"/>
                <w:color w:val="auto"/>
              </w:rPr>
              <w:t>end-to-end</w:t>
            </w:r>
          </w:p>
        </w:tc>
        <w:tc>
          <w:tcPr>
            <w:tcW w:w="1200" w:type="dxa"/>
            <w:vAlign w:val="bottom"/>
          </w:tcPr>
          <w:p>
            <w:pPr>
              <w:jc w:val="center"/>
              <w:spacing w:after="0"/>
              <w:rPr>
                <w:sz w:val="20"/>
                <w:szCs w:val="20"/>
                <w:color w:val="auto"/>
              </w:rPr>
            </w:pPr>
            <w:r>
              <w:rPr>
                <w:rFonts w:ascii="Arial" w:cs="Arial" w:eastAsia="Arial" w:hAnsi="Arial"/>
                <w:sz w:val="14"/>
                <w:szCs w:val="14"/>
                <w:color w:val="auto"/>
              </w:rPr>
              <w:t>efficiently and</w:t>
            </w:r>
          </w:p>
        </w:tc>
        <w:tc>
          <w:tcPr>
            <w:tcW w:w="1780" w:type="dxa"/>
            <w:vAlign w:val="bottom"/>
          </w:tcPr>
          <w:p>
            <w:pPr>
              <w:jc w:val="right"/>
              <w:ind w:right="713"/>
              <w:spacing w:after="0"/>
              <w:rPr>
                <w:sz w:val="20"/>
                <w:szCs w:val="20"/>
                <w:color w:val="auto"/>
              </w:rPr>
            </w:pPr>
            <w:r>
              <w:rPr>
                <w:rFonts w:ascii="Arial" w:cs="Arial" w:eastAsia="Arial" w:hAnsi="Arial"/>
                <w:sz w:val="14"/>
                <w:szCs w:val="14"/>
                <w:color w:val="auto"/>
              </w:rPr>
              <w:t>circular pack</w:t>
            </w:r>
          </w:p>
        </w:tc>
        <w:tc>
          <w:tcPr>
            <w:tcW w:w="1920" w:type="dxa"/>
            <w:vAlign w:val="bottom"/>
          </w:tcPr>
          <w:p>
            <w:pPr>
              <w:jc w:val="center"/>
              <w:ind w:left="688"/>
              <w:spacing w:after="0"/>
              <w:rPr>
                <w:sz w:val="20"/>
                <w:szCs w:val="20"/>
                <w:color w:val="auto"/>
              </w:rPr>
            </w:pPr>
            <w:r>
              <w:rPr>
                <w:rFonts w:ascii="Arial" w:cs="Arial" w:eastAsia="Arial" w:hAnsi="Arial"/>
                <w:sz w:val="14"/>
                <w:szCs w:val="14"/>
                <w:color w:val="auto"/>
              </w:rPr>
              <w:t>communities our</w:t>
            </w:r>
          </w:p>
        </w:tc>
        <w:tc>
          <w:tcPr>
            <w:tcW w:w="0" w:type="dxa"/>
            <w:vAlign w:val="bottom"/>
          </w:tcPr>
          <w:p>
            <w:pPr>
              <w:spacing w:after="0"/>
              <w:rPr>
                <w:sz w:val="1"/>
                <w:szCs w:val="1"/>
                <w:color w:val="auto"/>
              </w:rPr>
            </w:pPr>
          </w:p>
        </w:tc>
      </w:tr>
      <w:tr>
        <w:trPr>
          <w:trHeight w:val="54"/>
        </w:trPr>
        <w:tc>
          <w:tcPr>
            <w:tcW w:w="1300" w:type="dxa"/>
            <w:vAlign w:val="bottom"/>
            <w:vMerge w:val="restart"/>
          </w:tcPr>
          <w:p>
            <w:pPr>
              <w:jc w:val="center"/>
              <w:ind w:right="68"/>
              <w:spacing w:after="0" w:line="127" w:lineRule="exact"/>
              <w:rPr>
                <w:sz w:val="20"/>
                <w:szCs w:val="20"/>
                <w:color w:val="auto"/>
              </w:rPr>
            </w:pPr>
            <w:r>
              <w:rPr>
                <w:rFonts w:ascii="Arial" w:cs="Arial" w:eastAsia="Arial" w:hAnsi="Arial"/>
                <w:sz w:val="14"/>
                <w:szCs w:val="14"/>
                <w:color w:val="auto"/>
              </w:rPr>
              <w:t>resilience in these</w:t>
            </w:r>
          </w:p>
        </w:tc>
        <w:tc>
          <w:tcPr>
            <w:tcW w:w="1200" w:type="dxa"/>
            <w:vAlign w:val="bottom"/>
            <w:vMerge w:val="restart"/>
          </w:tcPr>
          <w:p>
            <w:pPr>
              <w:jc w:val="center"/>
              <w:spacing w:after="0" w:line="127" w:lineRule="exact"/>
              <w:rPr>
                <w:sz w:val="20"/>
                <w:szCs w:val="20"/>
                <w:color w:val="auto"/>
              </w:rPr>
            </w:pPr>
            <w:r>
              <w:rPr>
                <w:rFonts w:ascii="Arial" w:cs="Arial" w:eastAsia="Arial" w:hAnsi="Arial"/>
                <w:sz w:val="14"/>
                <w:szCs w:val="14"/>
                <w:color w:val="auto"/>
              </w:rPr>
              <w:t>renewably.</w:t>
            </w:r>
          </w:p>
        </w:tc>
        <w:tc>
          <w:tcPr>
            <w:tcW w:w="1780" w:type="dxa"/>
            <w:vAlign w:val="bottom"/>
          </w:tcPr>
          <w:p>
            <w:pPr>
              <w:jc w:val="right"/>
              <w:ind w:right="813"/>
              <w:spacing w:after="0" w:line="54" w:lineRule="exact"/>
              <w:rPr>
                <w:sz w:val="20"/>
                <w:szCs w:val="20"/>
                <w:color w:val="auto"/>
              </w:rPr>
            </w:pPr>
            <w:r>
              <w:rPr>
                <w:rFonts w:ascii="Arial" w:cs="Arial" w:eastAsia="Arial" w:hAnsi="Arial"/>
                <w:sz w:val="6"/>
                <w:szCs w:val="6"/>
                <w:color w:val="auto"/>
              </w:rPr>
              <w:t>.</w:t>
            </w:r>
          </w:p>
        </w:tc>
        <w:tc>
          <w:tcPr>
            <w:tcW w:w="1920" w:type="dxa"/>
            <w:vAlign w:val="bottom"/>
            <w:vMerge w:val="restart"/>
          </w:tcPr>
          <w:p>
            <w:pPr>
              <w:jc w:val="center"/>
              <w:ind w:left="688"/>
              <w:spacing w:after="0" w:line="127" w:lineRule="exact"/>
              <w:rPr>
                <w:sz w:val="20"/>
                <w:szCs w:val="20"/>
                <w:color w:val="auto"/>
              </w:rPr>
            </w:pPr>
            <w:r>
              <w:rPr>
                <w:rFonts w:ascii="Arial" w:cs="Arial" w:eastAsia="Arial" w:hAnsi="Arial"/>
                <w:sz w:val="14"/>
                <w:szCs w:val="14"/>
                <w:color w:val="auto"/>
              </w:rPr>
              <w:t>business touches.</w:t>
            </w:r>
          </w:p>
        </w:tc>
        <w:tc>
          <w:tcPr>
            <w:tcW w:w="0" w:type="dxa"/>
            <w:vAlign w:val="bottom"/>
          </w:tcPr>
          <w:p>
            <w:pPr>
              <w:spacing w:after="0"/>
              <w:rPr>
                <w:sz w:val="1"/>
                <w:szCs w:val="1"/>
                <w:color w:val="auto"/>
              </w:rPr>
            </w:pPr>
          </w:p>
        </w:tc>
      </w:tr>
      <w:tr>
        <w:trPr>
          <w:trHeight w:val="72"/>
        </w:trPr>
        <w:tc>
          <w:tcPr>
            <w:tcW w:w="13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780" w:type="dxa"/>
            <w:vAlign w:val="bottom"/>
          </w:tcPr>
          <w:p>
            <w:pPr>
              <w:jc w:val="right"/>
              <w:ind w:right="853"/>
              <w:spacing w:after="0" w:line="73" w:lineRule="exact"/>
              <w:rPr>
                <w:sz w:val="20"/>
                <w:szCs w:val="20"/>
                <w:color w:val="auto"/>
              </w:rPr>
            </w:pPr>
            <w:r>
              <w:rPr>
                <w:rFonts w:ascii="Arial" w:cs="Arial" w:eastAsia="Arial" w:hAnsi="Arial"/>
                <w:sz w:val="8"/>
                <w:szCs w:val="8"/>
                <w:color w:val="auto"/>
              </w:rPr>
              <w:t>economy</w:t>
            </w: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-156845</wp:posOffset>
            </wp:positionV>
            <wp:extent cx="6810375" cy="16821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10375" cy="168211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color w:val="auto"/>
        </w:rPr>
        <w:t>supply chains.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56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7515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10375" cy="875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39"/>
        <w:spacing w:after="0"/>
        <w:rPr>
          <w:sz w:val="20"/>
          <w:szCs w:val="20"/>
          <w:color w:val="auto"/>
        </w:rPr>
      </w:pPr>
      <w:r>
        <w:rPr>
          <w:rFonts w:ascii="Arial" w:cs="Arial" w:eastAsia="Arial" w:hAnsi="Arial"/>
          <w:sz w:val="22"/>
          <w:szCs w:val="22"/>
          <w:b w:val="1"/>
          <w:bCs w:val="1"/>
          <w:color w:val="auto"/>
        </w:rPr>
        <w:t>OUR DISTINCTIVE APPROACH TO ENVIRONMENTAL AND SOCIAL ISSUES</w:t>
      </w:r>
    </w:p>
    <w:p>
      <w:pPr>
        <w:spacing w:after="0" w:line="37" w:lineRule="exact"/>
        <w:rPr>
          <w:sz w:val="20"/>
          <w:szCs w:val="20"/>
          <w:color w:val="auto"/>
        </w:rPr>
      </w:pPr>
    </w:p>
    <w:p>
      <w:pPr>
        <w:jc w:val="right"/>
        <w:ind w:right="39"/>
        <w:spacing w:after="0"/>
        <w:rPr>
          <w:sz w:val="20"/>
          <w:szCs w:val="20"/>
          <w:color w:val="auto"/>
        </w:rPr>
      </w:pPr>
      <w:r>
        <w:rPr>
          <w:rFonts w:ascii="Arial" w:cs="Arial" w:eastAsia="Arial" w:hAnsi="Arial"/>
          <w:sz w:val="14"/>
          <w:szCs w:val="14"/>
          <w:color w:val="auto"/>
        </w:rPr>
        <w:t>Board Oversight and Governance of Sustainability</w:t>
      </w: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BOARD OVERSIGHT AND GOVERNANCE</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29"/>
          <w:szCs w:val="29"/>
          <w:b w:val="1"/>
          <w:bCs w:val="1"/>
          <w:color w:val="auto"/>
        </w:rPr>
        <w:t>OF SUSTAINABILITY</w:t>
      </w:r>
    </w:p>
    <w:p>
      <w:pPr>
        <w:spacing w:after="0" w:line="111" w:lineRule="exact"/>
        <w:rPr>
          <w:sz w:val="20"/>
          <w:szCs w:val="20"/>
          <w:color w:val="auto"/>
        </w:rPr>
      </w:pPr>
    </w:p>
    <w:p>
      <w:pPr>
        <w:ind w:right="59"/>
        <w:spacing w:after="0" w:line="259" w:lineRule="auto"/>
        <w:rPr>
          <w:sz w:val="20"/>
          <w:szCs w:val="20"/>
          <w:color w:val="auto"/>
        </w:rPr>
      </w:pPr>
      <w:r>
        <w:rPr>
          <w:rFonts w:ascii="Arial" w:cs="Arial" w:eastAsia="Arial" w:hAnsi="Arial"/>
          <w:sz w:val="18"/>
          <w:szCs w:val="18"/>
          <w:color w:val="auto"/>
        </w:rPr>
        <w:t>Mondelēz International prioritizes strong governance as a foundation for our sustainability efforts and commitment to Snacking Made Right. We have a comprehensive governance structure focused on transparency, accountability, and embedding sustainability principles throughout our operations. This approach includes addressing climate risk, promoting human rights, and promoting ethical business practices across the supply chain.</w:t>
      </w:r>
    </w:p>
    <w:p>
      <w:pPr>
        <w:spacing w:after="0" w:line="71" w:lineRule="exact"/>
        <w:rPr>
          <w:sz w:val="20"/>
          <w:szCs w:val="20"/>
          <w:color w:val="auto"/>
        </w:rPr>
      </w:pPr>
    </w:p>
    <w:p>
      <w:pPr>
        <w:ind w:right="259"/>
        <w:spacing w:after="0" w:line="279" w:lineRule="auto"/>
        <w:rPr>
          <w:sz w:val="20"/>
          <w:szCs w:val="20"/>
          <w:color w:val="auto"/>
        </w:rPr>
      </w:pPr>
      <w:r>
        <w:rPr>
          <w:rFonts w:ascii="Arial" w:cs="Arial" w:eastAsia="Arial" w:hAnsi="Arial"/>
          <w:sz w:val="18"/>
          <w:szCs w:val="18"/>
          <w:color w:val="auto"/>
        </w:rPr>
        <w:t>Our comprehensive governance structure provides strong oversight of our sustainability efforts. Our Board of Directors oversees our sustainability-related risks, strategy, progress, alignment with Purpose, stakeholder interests, and strategic risks and opportunities. It also reviews progress and challenges on evolving our growth culture. Specific responsibilities are delegated to our Board committees, which are composed solely of independent directors.</w:t>
      </w:r>
    </w:p>
    <w:p>
      <w:pPr>
        <w:spacing w:after="0" w:line="79" w:lineRule="exact"/>
        <w:rPr>
          <w:sz w:val="20"/>
          <w:szCs w:val="20"/>
          <w:color w:val="auto"/>
        </w:rPr>
      </w:pPr>
    </w:p>
    <w:p>
      <w:pPr>
        <w:ind w:right="699"/>
        <w:spacing w:after="0" w:line="284" w:lineRule="auto"/>
        <w:rPr>
          <w:sz w:val="20"/>
          <w:szCs w:val="20"/>
          <w:color w:val="auto"/>
        </w:rPr>
      </w:pPr>
      <w:r>
        <w:rPr>
          <w:rFonts w:ascii="Arial" w:cs="Arial" w:eastAsia="Arial" w:hAnsi="Arial"/>
          <w:sz w:val="18"/>
          <w:szCs w:val="18"/>
          <w:b w:val="1"/>
          <w:bCs w:val="1"/>
          <w:color w:val="auto"/>
        </w:rPr>
        <w:t xml:space="preserve">Board Oversight: </w:t>
      </w:r>
      <w:r>
        <w:rPr>
          <w:rFonts w:ascii="Arial" w:cs="Arial" w:eastAsia="Arial" w:hAnsi="Arial"/>
          <w:sz w:val="18"/>
          <w:szCs w:val="18"/>
          <w:color w:val="auto"/>
        </w:rPr>
        <w:t>Our Board oversees our sustainability-related risks, strategy, progress, alignment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stakeholder interests, and strategic risks and opportunities, including reviewing progress and challenges on evolving our growth culture.</w:t>
      </w:r>
    </w:p>
    <w:p>
      <w:pPr>
        <w:spacing w:after="0" w:line="75" w:lineRule="exact"/>
        <w:rPr>
          <w:sz w:val="20"/>
          <w:szCs w:val="20"/>
          <w:color w:val="auto"/>
        </w:rPr>
      </w:pPr>
    </w:p>
    <w:p>
      <w:pPr>
        <w:ind w:right="99"/>
        <w:spacing w:after="0" w:line="303" w:lineRule="auto"/>
        <w:rPr>
          <w:sz w:val="20"/>
          <w:szCs w:val="20"/>
          <w:color w:val="auto"/>
        </w:rPr>
      </w:pPr>
      <w:r>
        <w:rPr>
          <w:rFonts w:ascii="Arial" w:cs="Arial" w:eastAsia="Arial" w:hAnsi="Arial"/>
          <w:sz w:val="18"/>
          <w:szCs w:val="18"/>
          <w:b w:val="1"/>
          <w:bCs w:val="1"/>
          <w:color w:val="auto"/>
        </w:rPr>
        <w:t xml:space="preserve">Board Committee Responsibilities: </w:t>
      </w:r>
      <w:r>
        <w:rPr>
          <w:rFonts w:ascii="Arial" w:cs="Arial" w:eastAsia="Arial" w:hAnsi="Arial"/>
          <w:sz w:val="18"/>
          <w:szCs w:val="18"/>
          <w:color w:val="auto"/>
        </w:rPr>
        <w:t>Specific responsibilities are delegated to our Board committees,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composed solely of independent directors.</w:t>
      </w:r>
    </w:p>
    <w:p>
      <w:pPr>
        <w:spacing w:after="0" w:line="41" w:lineRule="exact"/>
        <w:rPr>
          <w:sz w:val="20"/>
          <w:szCs w:val="20"/>
          <w:color w:val="auto"/>
        </w:rPr>
      </w:pPr>
    </w:p>
    <w:p>
      <w:pPr>
        <w:ind w:left="140" w:right="299" w:hanging="133"/>
        <w:spacing w:after="0" w:line="266" w:lineRule="auto"/>
        <w:tabs>
          <w:tab w:leader="none" w:pos="140" w:val="left"/>
        </w:tabs>
        <w:numPr>
          <w:ilvl w:val="0"/>
          <w:numId w:val="72"/>
        </w:numPr>
        <w:rPr>
          <w:rFonts w:ascii="Arial" w:cs="Arial" w:eastAsia="Arial" w:hAnsi="Arial"/>
          <w:sz w:val="17"/>
          <w:szCs w:val="17"/>
          <w:color w:val="582C83"/>
        </w:rPr>
      </w:pPr>
      <w:r>
        <w:rPr>
          <w:rFonts w:ascii="Arial" w:cs="Arial" w:eastAsia="Arial" w:hAnsi="Arial"/>
          <w:sz w:val="17"/>
          <w:szCs w:val="17"/>
          <w:b w:val="1"/>
          <w:bCs w:val="1"/>
          <w:color w:val="auto"/>
        </w:rPr>
        <w:t xml:space="preserve">Governance Committee </w:t>
      </w:r>
      <w:r>
        <w:rPr>
          <w:rFonts w:ascii="Arial" w:cs="Arial" w:eastAsia="Arial" w:hAnsi="Arial"/>
          <w:sz w:val="17"/>
          <w:szCs w:val="17"/>
          <w:color w:val="auto"/>
        </w:rPr>
        <w:t>oversees our sustainability policies and programs related to corporate citizenship, social</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responsibility, and public policy issues that are significant to us. These issues include sustainability; food policy, labeling, marketing, and packaging; philanthropic and political activities and contributions; and the Board’s sustainability education and capabilities.</w:t>
      </w:r>
    </w:p>
    <w:p>
      <w:pPr>
        <w:spacing w:after="0" w:line="24" w:lineRule="exact"/>
        <w:rPr>
          <w:rFonts w:ascii="Arial" w:cs="Arial" w:eastAsia="Arial" w:hAnsi="Arial"/>
          <w:sz w:val="17"/>
          <w:szCs w:val="17"/>
          <w:color w:val="582C83"/>
        </w:rPr>
      </w:pPr>
    </w:p>
    <w:p>
      <w:pPr>
        <w:ind w:left="140" w:right="139" w:hanging="133"/>
        <w:spacing w:after="0" w:line="291" w:lineRule="auto"/>
        <w:tabs>
          <w:tab w:leader="none" w:pos="140" w:val="left"/>
        </w:tabs>
        <w:numPr>
          <w:ilvl w:val="0"/>
          <w:numId w:val="72"/>
        </w:numPr>
        <w:rPr>
          <w:rFonts w:ascii="Arial" w:cs="Arial" w:eastAsia="Arial" w:hAnsi="Arial"/>
          <w:sz w:val="17"/>
          <w:szCs w:val="17"/>
          <w:color w:val="582C83"/>
        </w:rPr>
      </w:pPr>
      <w:r>
        <w:rPr>
          <w:rFonts w:ascii="Arial" w:cs="Arial" w:eastAsia="Arial" w:hAnsi="Arial"/>
          <w:sz w:val="17"/>
          <w:szCs w:val="17"/>
          <w:b w:val="1"/>
          <w:bCs w:val="1"/>
          <w:color w:val="auto"/>
        </w:rPr>
        <w:t xml:space="preserve">PCC </w:t>
      </w:r>
      <w:r>
        <w:rPr>
          <w:rFonts w:ascii="Arial" w:cs="Arial" w:eastAsia="Arial" w:hAnsi="Arial"/>
          <w:sz w:val="17"/>
          <w:szCs w:val="17"/>
          <w:color w:val="auto"/>
        </w:rPr>
        <w:t>oversees our growth culture priorities, as well as workplace safety, employee wellness, pay equity, talent-sourcing strategies, talent management and development programs, and sustainability and culture related SPI goals for incentive plans.</w:t>
      </w:r>
    </w:p>
    <w:p>
      <w:pPr>
        <w:spacing w:after="0" w:line="4" w:lineRule="exact"/>
        <w:rPr>
          <w:rFonts w:ascii="Arial" w:cs="Arial" w:eastAsia="Arial" w:hAnsi="Arial"/>
          <w:sz w:val="17"/>
          <w:szCs w:val="17"/>
          <w:color w:val="582C83"/>
        </w:rPr>
      </w:pPr>
    </w:p>
    <w:p>
      <w:pPr>
        <w:ind w:left="140" w:right="679" w:hanging="133"/>
        <w:spacing w:after="0" w:line="301" w:lineRule="auto"/>
        <w:tabs>
          <w:tab w:leader="none" w:pos="140" w:val="left"/>
        </w:tabs>
        <w:numPr>
          <w:ilvl w:val="0"/>
          <w:numId w:val="72"/>
        </w:numPr>
        <w:rPr>
          <w:rFonts w:ascii="Arial" w:cs="Arial" w:eastAsia="Arial" w:hAnsi="Arial"/>
          <w:sz w:val="17"/>
          <w:szCs w:val="17"/>
          <w:color w:val="582C83"/>
        </w:rPr>
      </w:pPr>
      <w:r>
        <w:rPr>
          <w:rFonts w:ascii="Arial" w:cs="Arial" w:eastAsia="Arial" w:hAnsi="Arial"/>
          <w:sz w:val="17"/>
          <w:szCs w:val="17"/>
          <w:b w:val="1"/>
          <w:bCs w:val="1"/>
          <w:color w:val="auto"/>
        </w:rPr>
        <w:t xml:space="preserve">Audit Committee </w:t>
      </w:r>
      <w:r>
        <w:rPr>
          <w:rFonts w:ascii="Arial" w:cs="Arial" w:eastAsia="Arial" w:hAnsi="Arial"/>
          <w:sz w:val="17"/>
          <w:szCs w:val="17"/>
          <w:color w:val="auto"/>
        </w:rPr>
        <w:t>oversees our safety priorities, goals, and performance, as well as our sustainability-related</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 in SEC filings, including controls and assurance.</w:t>
      </w:r>
    </w:p>
    <w:p>
      <w:pPr>
        <w:spacing w:after="0" w:line="53" w:lineRule="exact"/>
        <w:rPr>
          <w:sz w:val="20"/>
          <w:szCs w:val="20"/>
          <w:color w:val="auto"/>
        </w:rPr>
      </w:pPr>
    </w:p>
    <w:p>
      <w:pPr>
        <w:ind w:right="99"/>
        <w:spacing w:after="0" w:line="275" w:lineRule="auto"/>
        <w:rPr>
          <w:sz w:val="20"/>
          <w:szCs w:val="20"/>
          <w:color w:val="auto"/>
        </w:rPr>
      </w:pPr>
      <w:r>
        <w:rPr>
          <w:rFonts w:ascii="Arial" w:cs="Arial" w:eastAsia="Arial" w:hAnsi="Arial"/>
          <w:sz w:val="18"/>
          <w:szCs w:val="18"/>
          <w:color w:val="auto"/>
        </w:rPr>
        <w:t>Management is responsible for the day-to-day management and oversight of our sustainability programming and strategy development, in addition to regular progress reviews. Our SVP, Chief Impact &amp; Sustainability Officer (“Chief Impact Officer”) leads our sustainability strategy development and oversees our sustainability strategy through implementation, as well as our long-term sustainability vision. Our Sustainability Huddle, chaired by our Chief Impact Officer, includes senior leaders from our key global functions and businesses and focuses on our sustainability-related strategies. Our Chief Impact Officer, our Chief Cocoa Officer and Chief Corporate &amp; Government Affairs Officer, and our EVP, Corporate &amp; Legal Affairs, General Counsel and Corporate Secretary regularly report on sustainability matters to the Board and the Governance Committee. Our local-first and consumer-centric business model means that business transformation requires a balance at a global scale and local operations to deliver progress against these goals.</w:t>
      </w:r>
    </w:p>
    <w:p>
      <w:pPr>
        <w:spacing w:after="0" w:line="85" w:lineRule="exact"/>
        <w:rPr>
          <w:sz w:val="20"/>
          <w:szCs w:val="20"/>
          <w:color w:val="auto"/>
        </w:rPr>
      </w:pPr>
    </w:p>
    <w:p>
      <w:pPr>
        <w:ind w:right="439"/>
        <w:spacing w:after="0" w:line="335" w:lineRule="auto"/>
        <w:rPr>
          <w:sz w:val="20"/>
          <w:szCs w:val="20"/>
          <w:color w:val="auto"/>
        </w:rPr>
      </w:pPr>
      <w:r>
        <w:rPr>
          <w:rFonts w:ascii="Arial" w:cs="Arial" w:eastAsia="Arial" w:hAnsi="Arial"/>
          <w:sz w:val="17"/>
          <w:szCs w:val="17"/>
          <w:color w:val="auto"/>
        </w:rPr>
        <w:t>We strive to take a disciplined approach to our sustainability initiatives and remain transparent and proactive about our progress. We track, report on, and hold management accountable for achieving our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57</w:t>
      </w:r>
    </w:p>
    <w:p>
      <w:pPr>
        <w:sectPr>
          <w:pgSz w:w="11900" w:h="16838" w:orient="portrait"/>
          <w:cols w:equalWidth="0" w:num="1">
            <w:col w:w="9039"/>
          </w:cols>
          <w:pgMar w:left="1420" w:top="100" w:right="1440" w:bottom="0" w:gutter="0" w:footer="0" w:header="0"/>
        </w:sectPr>
      </w:pPr>
    </w:p>
    <w:bookmarkStart w:id="51" w:name="page52"/>
    <w:bookmarkEnd w:id="51"/>
    <w:p>
      <w:pPr>
        <w:ind w:left="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054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10375" cy="9054465"/>
                    </a:xfrm>
                    <a:prstGeom prst="rect">
                      <a:avLst/>
                    </a:prstGeom>
                    <a:noFill/>
                  </pic:spPr>
                </pic:pic>
              </a:graphicData>
            </a:graphic>
          </wp:anchor>
        </w:drawing>
        <w:t>OUR DISTINCTIVE APPROACH TO ENVIRONMENTAL AND SOCIAL ISSUES</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Board Oversight and Governance of Sustainability</w:t>
      </w:r>
    </w:p>
    <w:p>
      <w:pPr>
        <w:spacing w:after="0" w:line="200" w:lineRule="exact"/>
        <w:rPr>
          <w:sz w:val="20"/>
          <w:szCs w:val="20"/>
          <w:color w:val="auto"/>
        </w:rPr>
      </w:pPr>
    </w:p>
    <w:p>
      <w:pPr>
        <w:spacing w:after="0" w:line="277" w:lineRule="exact"/>
        <w:rPr>
          <w:sz w:val="20"/>
          <w:szCs w:val="20"/>
          <w:color w:val="auto"/>
        </w:rPr>
      </w:pPr>
    </w:p>
    <w:p>
      <w:pPr>
        <w:ind w:right="39"/>
        <w:spacing w:after="0" w:line="279" w:lineRule="auto"/>
        <w:rPr>
          <w:sz w:val="20"/>
          <w:szCs w:val="20"/>
          <w:color w:val="auto"/>
        </w:rPr>
      </w:pPr>
      <w:r>
        <w:rPr>
          <w:rFonts w:ascii="Arial" w:cs="Arial" w:eastAsia="Arial" w:hAnsi="Arial"/>
          <w:sz w:val="18"/>
          <w:szCs w:val="18"/>
          <w:color w:val="auto"/>
        </w:rPr>
        <w:t>The management and monitoring of enterprise risks, including climate risks, is reviewed annually by the global Enterprise Risk Management (ERM) team, while the implementation of mitigation plans and the monitoring of risk KPIs are ongoing at the global, regional, or business level, where required. Based on the specific risk drivers and prioritization, we develop and implement our risk response strategies, which can be either mitigation (action plans), transfer (insurance), avoidance, or acceptance. We monitor performance against our risk response strategies using risk KPIs that are tracked by the respective risk owner and reported to the global ERM team.</w:t>
      </w:r>
    </w:p>
    <w:p>
      <w:pPr>
        <w:spacing w:after="0" w:line="68" w:lineRule="exact"/>
        <w:rPr>
          <w:sz w:val="20"/>
          <w:szCs w:val="20"/>
          <w:color w:val="auto"/>
        </w:rPr>
      </w:pPr>
    </w:p>
    <w:p>
      <w:pPr>
        <w:ind w:right="439"/>
        <w:spacing w:after="0" w:line="287" w:lineRule="auto"/>
        <w:rPr>
          <w:sz w:val="20"/>
          <w:szCs w:val="20"/>
          <w:color w:val="auto"/>
        </w:rPr>
      </w:pPr>
      <w:r>
        <w:rPr>
          <w:rFonts w:ascii="Arial" w:cs="Arial" w:eastAsia="Arial" w:hAnsi="Arial"/>
          <w:sz w:val="18"/>
          <w:szCs w:val="18"/>
          <w:color w:val="auto"/>
        </w:rPr>
        <w:t>The global ERM team is enhancing the integration of climate risk management into the overall ERM strategy and process.</w:t>
      </w:r>
    </w:p>
    <w:p>
      <w:pPr>
        <w:spacing w:after="0" w:line="286"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OUR GOALS</w:t>
      </w:r>
    </w:p>
    <w:p>
      <w:pPr>
        <w:spacing w:after="0" w:line="195" w:lineRule="exact"/>
        <w:rPr>
          <w:sz w:val="20"/>
          <w:szCs w:val="20"/>
          <w:color w:val="auto"/>
        </w:rPr>
      </w:pPr>
    </w:p>
    <w:p>
      <w:pPr>
        <w:ind w:right="79"/>
        <w:spacing w:after="0" w:line="303" w:lineRule="auto"/>
        <w:rPr>
          <w:sz w:val="20"/>
          <w:szCs w:val="20"/>
          <w:color w:val="auto"/>
        </w:rPr>
      </w:pPr>
      <w:r>
        <w:rPr>
          <w:rFonts w:ascii="Arial" w:cs="Arial" w:eastAsia="Arial" w:hAnsi="Arial"/>
          <w:sz w:val="18"/>
          <w:szCs w:val="18"/>
          <w:color w:val="auto"/>
        </w:rPr>
        <w:t>Our sustainability goals are part of our risk and strategic planning processes. Business leadership teams and our Board regularly review progress toward these programs and priorities.</w:t>
      </w:r>
    </w:p>
    <w:p>
      <w:pPr>
        <w:spacing w:after="0" w:line="58" w:lineRule="exact"/>
        <w:rPr>
          <w:sz w:val="20"/>
          <w:szCs w:val="20"/>
          <w:color w:val="auto"/>
        </w:rPr>
      </w:pPr>
    </w:p>
    <w:p>
      <w:pPr>
        <w:ind w:right="139"/>
        <w:spacing w:after="0" w:line="284" w:lineRule="auto"/>
        <w:rPr>
          <w:sz w:val="20"/>
          <w:szCs w:val="20"/>
          <w:color w:val="auto"/>
        </w:rPr>
      </w:pPr>
      <w:r>
        <w:rPr>
          <w:rFonts w:ascii="Arial" w:cs="Arial" w:eastAsia="Arial" w:hAnsi="Arial"/>
          <w:sz w:val="18"/>
          <w:szCs w:val="18"/>
          <w:color w:val="auto"/>
        </w:rPr>
        <w:t>Our goals include more sustainable sourcing of key ingredients, reducing our environmental footprint, promoting the rights of people across our value chain, and evolving our portfolio to offer a broader range of high-quality snacks addressing consumer needs while encouraging consumers to snack mindfully.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In 2025, we continued to make progress against these goals including:</w:t>
      </w:r>
    </w:p>
    <w:p>
      <w:pPr>
        <w:spacing w:after="0" w:line="127" w:lineRule="exact"/>
        <w:rPr>
          <w:sz w:val="20"/>
          <w:szCs w:val="20"/>
          <w:color w:val="auto"/>
        </w:rPr>
      </w:pPr>
    </w:p>
    <w:p>
      <w:pPr>
        <w:ind w:left="140" w:right="399" w:hanging="133"/>
        <w:spacing w:after="0" w:line="273" w:lineRule="auto"/>
        <w:tabs>
          <w:tab w:leader="none" w:pos="140" w:val="left"/>
        </w:tabs>
        <w:numPr>
          <w:ilvl w:val="0"/>
          <w:numId w:val="73"/>
        </w:numPr>
        <w:rPr>
          <w:rFonts w:ascii="Arial" w:cs="Arial" w:eastAsia="Arial" w:hAnsi="Arial"/>
          <w:sz w:val="17"/>
          <w:szCs w:val="17"/>
          <w:color w:val="582C83"/>
        </w:rPr>
      </w:pPr>
      <w:r>
        <w:rPr>
          <w:rFonts w:ascii="Arial" w:cs="Arial" w:eastAsia="Arial" w:hAnsi="Arial"/>
          <w:sz w:val="17"/>
          <w:szCs w:val="17"/>
          <w:color w:val="auto"/>
        </w:rPr>
        <w:t>We covered approximately 100% of Cocoa Life registered communities in West Africa (i.e., Ghana, Côte d’Ivoire, Nigeria, and Cameroon) by a Child Labor Monitoring and Remediation System.</w:t>
      </w:r>
    </w:p>
    <w:p>
      <w:pPr>
        <w:ind w:left="140" w:right="599" w:hanging="133"/>
        <w:spacing w:after="0" w:line="287" w:lineRule="auto"/>
        <w:tabs>
          <w:tab w:leader="none" w:pos="140" w:val="left"/>
        </w:tabs>
        <w:numPr>
          <w:ilvl w:val="0"/>
          <w:numId w:val="73"/>
        </w:numPr>
        <w:rPr>
          <w:rFonts w:ascii="Arial" w:cs="Arial" w:eastAsia="Arial" w:hAnsi="Arial"/>
          <w:sz w:val="17"/>
          <w:szCs w:val="17"/>
          <w:color w:val="582C83"/>
        </w:rPr>
      </w:pPr>
      <w:r>
        <w:rPr>
          <w:rFonts w:ascii="Arial" w:cs="Arial" w:eastAsia="Arial" w:hAnsi="Arial"/>
          <w:sz w:val="17"/>
          <w:szCs w:val="17"/>
          <w:color w:val="auto"/>
        </w:rPr>
        <w:t>Approximately 94% of our snacks revenue now comes from Mindful Portion Snacks – that is, snacks that are packaged in individually wrapped mindful portion serving sizes, or with clear mindful portion recommendations on pack.</w:t>
      </w:r>
    </w:p>
    <w:p>
      <w:pPr>
        <w:ind w:left="140" w:hanging="133"/>
        <w:spacing w:after="0"/>
        <w:tabs>
          <w:tab w:leader="none" w:pos="140" w:val="left"/>
        </w:tabs>
        <w:numPr>
          <w:ilvl w:val="0"/>
          <w:numId w:val="73"/>
        </w:numPr>
        <w:rPr>
          <w:rFonts w:ascii="Arial" w:cs="Arial" w:eastAsia="Arial" w:hAnsi="Arial"/>
          <w:sz w:val="17"/>
          <w:szCs w:val="17"/>
          <w:color w:val="582C83"/>
        </w:rPr>
      </w:pPr>
      <w:r>
        <w:rPr>
          <w:rFonts w:ascii="Arial" w:cs="Arial" w:eastAsia="Arial" w:hAnsi="Arial"/>
          <w:sz w:val="17"/>
          <w:szCs w:val="17"/>
          <w:color w:val="auto"/>
        </w:rPr>
        <w:t>We reduced carbon emissions across our manufacturing operations by about 45% vs. our baseline in 2018.</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73"/>
        </w:numPr>
        <w:rPr>
          <w:rFonts w:ascii="Arial" w:cs="Arial" w:eastAsia="Arial" w:hAnsi="Arial"/>
          <w:sz w:val="17"/>
          <w:szCs w:val="17"/>
          <w:color w:val="582C83"/>
        </w:rPr>
      </w:pPr>
      <w:r>
        <w:rPr>
          <w:rFonts w:ascii="Arial" w:cs="Arial" w:eastAsia="Arial" w:hAnsi="Arial"/>
          <w:sz w:val="17"/>
          <w:szCs w:val="17"/>
          <w:color w:val="auto"/>
        </w:rPr>
        <w:t>Approximately 96% of our packaging is designed to be recyclable.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58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13792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10375" cy="137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39"/>
        <w:spacing w:after="0"/>
        <w:rPr>
          <w:sz w:val="20"/>
          <w:szCs w:val="20"/>
          <w:color w:val="auto"/>
        </w:rPr>
      </w:pPr>
      <w:r>
        <w:rPr>
          <w:rFonts w:ascii="Arial" w:cs="Arial" w:eastAsia="Arial" w:hAnsi="Arial"/>
          <w:sz w:val="22"/>
          <w:szCs w:val="22"/>
          <w:b w:val="1"/>
          <w:bCs w:val="1"/>
          <w:color w:val="auto"/>
        </w:rPr>
        <w:t>OUR DISTINCTIVE APPROACH TO ENVIRONMENTAL AND SOCIAL ISSUES</w:t>
      </w:r>
    </w:p>
    <w:p>
      <w:pPr>
        <w:spacing w:after="0" w:line="37" w:lineRule="exact"/>
        <w:rPr>
          <w:sz w:val="20"/>
          <w:szCs w:val="20"/>
          <w:color w:val="auto"/>
        </w:rPr>
      </w:pPr>
    </w:p>
    <w:p>
      <w:pPr>
        <w:jc w:val="right"/>
        <w:ind w:right="39"/>
        <w:spacing w:after="0"/>
        <w:rPr>
          <w:sz w:val="20"/>
          <w:szCs w:val="20"/>
          <w:color w:val="auto"/>
        </w:rPr>
      </w:pPr>
      <w:r>
        <w:rPr>
          <w:rFonts w:ascii="Arial" w:cs="Arial" w:eastAsia="Arial" w:hAnsi="Arial"/>
          <w:sz w:val="14"/>
          <w:szCs w:val="14"/>
          <w:color w:val="auto"/>
        </w:rPr>
        <w:t>Sustainability Reporting</w:t>
      </w:r>
    </w:p>
    <w:p>
      <w:pPr>
        <w:sectPr>
          <w:pgSz w:w="11900" w:h="16838" w:orient="portrait"/>
          <w:cols w:equalWidth="0" w:num="1">
            <w:col w:w="9039"/>
          </w:cols>
          <w:pgMar w:left="1420" w:top="1110" w:right="1440" w:bottom="0" w:gutter="0" w:footer="0" w:header="0"/>
        </w:sectPr>
      </w:pP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25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8"/>
          <w:szCs w:val="28"/>
          <w:b w:val="1"/>
          <w:bCs w:val="1"/>
          <w:color w:val="auto"/>
        </w:rPr>
        <w:t xml:space="preserve"> SUSTAINABILITY REPORTING</w:t>
      </w:r>
    </w:p>
    <w:p>
      <w:pPr>
        <w:sectPr>
          <w:pgSz w:w="11900" w:h="16838" w:orient="portrait"/>
          <w:cols w:equalWidth="0" w:num="1">
            <w:col w:w="9039"/>
          </w:cols>
          <w:pgMar w:left="1420" w:top="1110" w:right="1440" w:bottom="0" w:gutter="0" w:footer="0" w:header="0"/>
          <w:type w:val="continuous"/>
        </w:sectPr>
      </w:pPr>
    </w:p>
    <w:bookmarkStart w:id="52" w:name="page53"/>
    <w:bookmarkEnd w:id="52"/>
    <w:p>
      <w:pPr>
        <w:ind w:right="119"/>
        <w:spacing w:after="0" w:line="27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4771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10375" cy="7477125"/>
                    </a:xfrm>
                    <a:prstGeom prst="rect">
                      <a:avLst/>
                    </a:prstGeom>
                    <a:noFill/>
                  </pic:spPr>
                </pic:pic>
              </a:graphicData>
            </a:graphic>
          </wp:anchor>
        </w:drawing>
        <w:t xml:space="preserve">We discuss our sustainability goals and programs in detail in our annual Snacking Made Right reports available on our website. We provide a sustainability data sheet and are aligned with the Sustainability Accounting Standards Board (SASB) and Task Force on Climate-Related Financial Disclosures (TCFD) reporting frameworks. We also provide our annual CDP Climate Change, Water Security, and Forests disclosure. We also provide information regarding our efforts to help address the systemic issue of child labor in the cocoa supply chain in our annual Human Rights Due Diligence &amp; Modern Slavery Report, which will be available on our website, </w:t>
      </w:r>
      <w:r>
        <w:rPr>
          <w:rFonts w:ascii="Arial" w:cs="Arial" w:eastAsia="Arial" w:hAnsi="Arial"/>
          <w:sz w:val="18"/>
          <w:szCs w:val="18"/>
          <w:b w:val="1"/>
          <w:bCs w:val="1"/>
          <w:i w:val="1"/>
          <w:iCs w:val="1"/>
          <w:color w:val="7030A0"/>
        </w:rPr>
        <w:t>www.mondelezinternational.com</w:t>
      </w:r>
      <w:r>
        <w:rPr>
          <w:rFonts w:ascii="Arial" w:cs="Arial" w:eastAsia="Arial" w:hAnsi="Arial"/>
          <w:sz w:val="18"/>
          <w:szCs w:val="18"/>
          <w:color w:val="auto"/>
        </w:rPr>
        <w:t>. We will continue to consider shareholder feedback as we align our sustainability reporting with evolving standards. We monitor investor voting policies and continue to evolve our practices and disclosures.</w:t>
      </w:r>
    </w:p>
    <w:p>
      <w:pPr>
        <w:spacing w:after="0" w:line="87" w:lineRule="exact"/>
        <w:rPr>
          <w:sz w:val="20"/>
          <w:szCs w:val="20"/>
          <w:color w:val="auto"/>
        </w:rPr>
      </w:pPr>
    </w:p>
    <w:p>
      <w:pPr>
        <w:ind w:right="159"/>
        <w:spacing w:after="0" w:line="272" w:lineRule="auto"/>
        <w:rPr>
          <w:sz w:val="20"/>
          <w:szCs w:val="20"/>
          <w:color w:val="auto"/>
        </w:rPr>
      </w:pPr>
      <w:r>
        <w:rPr>
          <w:rFonts w:ascii="Arial" w:cs="Arial" w:eastAsia="Arial" w:hAnsi="Arial"/>
          <w:sz w:val="18"/>
          <w:szCs w:val="18"/>
          <w:color w:val="auto"/>
        </w:rPr>
        <w:t>Our annual Snacking Made Right report is part of our wider ambition to provide transparent and measurable information for our stakeholders on our goals, policies, initiatives, and programs through sustainability reporting. To keep enhancing our reporting to meet evolving requirements around the world, in 2022 we enhanced our internal procedures and controls on Sustainability Reporting Standards. This process provides enhanced clarity for our reporting as we continue to focus on keeping our stakeholders informed of our ongoing journey to make snacking right. As part of this work, in 2025 we continued to monitor evolving regulation, such as the European Union Corporate Sustainability Reporting Directive (EU CSRD), in preparation for mandatory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reporting compliance.</w:t>
      </w:r>
    </w:p>
    <w:p>
      <w:pPr>
        <w:spacing w:after="0" w:line="121" w:lineRule="exact"/>
        <w:rPr>
          <w:sz w:val="20"/>
          <w:szCs w:val="20"/>
          <w:color w:val="auto"/>
        </w:rPr>
      </w:pPr>
    </w:p>
    <w:p>
      <w:pPr>
        <w:ind w:right="39"/>
        <w:spacing w:after="0" w:line="318" w:lineRule="auto"/>
        <w:rPr>
          <w:sz w:val="20"/>
          <w:szCs w:val="20"/>
          <w:color w:val="auto"/>
        </w:rPr>
      </w:pPr>
      <w:r>
        <w:rPr>
          <w:rFonts w:ascii="Arial" w:cs="Arial" w:eastAsia="Arial" w:hAnsi="Arial"/>
          <w:sz w:val="18"/>
          <w:szCs w:val="18"/>
          <w:color w:val="auto"/>
        </w:rPr>
        <w:t>Additional details about our sustainability goals, including the goals and progress reported above, are available in our annual Snacking Made Right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2956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10375" cy="295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619"/>
        <w:spacing w:after="0" w:line="298" w:lineRule="auto"/>
        <w:rPr>
          <w:sz w:val="20"/>
          <w:szCs w:val="20"/>
          <w:color w:val="auto"/>
        </w:rPr>
      </w:pPr>
      <w:r>
        <w:rPr>
          <w:rFonts w:ascii="Arial" w:cs="Arial" w:eastAsia="Arial" w:hAnsi="Arial"/>
          <w:sz w:val="45"/>
          <w:szCs w:val="45"/>
          <w:b w:val="1"/>
          <w:bCs w:val="1"/>
          <w:color w:val="582C83"/>
        </w:rPr>
        <w:t>COMPENSATION OF NON-EMPLOYEE DIRECTORS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256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9"/>
          <w:szCs w:val="29"/>
          <w:b w:val="1"/>
          <w:bCs w:val="1"/>
          <w:color w:val="auto"/>
        </w:rPr>
        <w:t xml:space="preserve"> REVIEW OF NON-EMPLOYEE DIRECTOR COMPENSATION</w:t>
      </w:r>
    </w:p>
    <w:p>
      <w:pPr>
        <w:spacing w:after="0" w:line="191" w:lineRule="exact"/>
        <w:rPr>
          <w:sz w:val="20"/>
          <w:szCs w:val="20"/>
          <w:color w:val="auto"/>
        </w:rPr>
      </w:pPr>
    </w:p>
    <w:p>
      <w:pPr>
        <w:ind w:right="819"/>
        <w:spacing w:after="0" w:line="301" w:lineRule="auto"/>
        <w:rPr>
          <w:sz w:val="20"/>
          <w:szCs w:val="20"/>
          <w:color w:val="auto"/>
        </w:rPr>
      </w:pPr>
      <w:r>
        <w:rPr>
          <w:rFonts w:ascii="Arial" w:cs="Arial" w:eastAsia="Arial" w:hAnsi="Arial"/>
          <w:sz w:val="17"/>
          <w:szCs w:val="17"/>
          <w:color w:val="auto"/>
        </w:rPr>
        <w:t>The PCC reviews non-employee director compensation annually to confirm that the compensation we offer is market-competitive. To support the PCC’s review, at the PCC’s request, Semler Brossy:</w:t>
      </w:r>
    </w:p>
    <w:p>
      <w:pPr>
        <w:spacing w:after="0" w:line="63" w:lineRule="exact"/>
        <w:rPr>
          <w:sz w:val="20"/>
          <w:szCs w:val="20"/>
          <w:color w:val="auto"/>
        </w:rPr>
      </w:pPr>
    </w:p>
    <w:p>
      <w:pPr>
        <w:ind w:left="140" w:hanging="133"/>
        <w:spacing w:after="0"/>
        <w:tabs>
          <w:tab w:leader="none" w:pos="140" w:val="left"/>
        </w:tabs>
        <w:numPr>
          <w:ilvl w:val="0"/>
          <w:numId w:val="74"/>
        </w:numPr>
        <w:rPr>
          <w:rFonts w:ascii="Arial" w:cs="Arial" w:eastAsia="Arial" w:hAnsi="Arial"/>
          <w:sz w:val="17"/>
          <w:szCs w:val="17"/>
          <w:color w:val="582C83"/>
        </w:rPr>
      </w:pPr>
      <w:r>
        <w:rPr>
          <w:rFonts w:ascii="Arial" w:cs="Arial" w:eastAsia="Arial" w:hAnsi="Arial"/>
          <w:sz w:val="17"/>
          <w:szCs w:val="17"/>
          <w:color w:val="auto"/>
        </w:rPr>
        <w:t>benchmarks our non-employee director compensation against our Compensation Survey Peer Group;</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74"/>
        </w:numPr>
        <w:rPr>
          <w:rFonts w:ascii="Arial" w:cs="Arial" w:eastAsia="Arial" w:hAnsi="Arial"/>
          <w:sz w:val="17"/>
          <w:szCs w:val="17"/>
          <w:color w:val="582C83"/>
        </w:rPr>
      </w:pPr>
      <w:r>
        <w:rPr>
          <w:rFonts w:ascii="Arial" w:cs="Arial" w:eastAsia="Arial" w:hAnsi="Arial"/>
          <w:sz w:val="17"/>
          <w:szCs w:val="17"/>
          <w:color w:val="auto"/>
        </w:rPr>
        <w:t>assesses the form and amount of our non-employee director compensation; and</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74"/>
        </w:numPr>
        <w:rPr>
          <w:rFonts w:ascii="Arial" w:cs="Arial" w:eastAsia="Arial" w:hAnsi="Arial"/>
          <w:sz w:val="17"/>
          <w:szCs w:val="17"/>
          <w:color w:val="582C83"/>
        </w:rPr>
      </w:pPr>
      <w:r>
        <w:rPr>
          <w:rFonts w:ascii="Arial" w:cs="Arial" w:eastAsia="Arial" w:hAnsi="Arial"/>
          <w:sz w:val="17"/>
          <w:szCs w:val="17"/>
          <w:color w:val="auto"/>
        </w:rPr>
        <w:t>provides the PCC with this data and an independent assessment of the appropriateness and competitiveness of our</w:t>
      </w:r>
    </w:p>
    <w:p>
      <w:pPr>
        <w:sectPr>
          <w:pgSz w:w="11900" w:h="16838" w:orient="portrait"/>
          <w:cols w:equalWidth="0" w:num="1">
            <w:col w:w="9039"/>
          </w:cols>
          <w:pgMar w:left="1420" w:top="148" w:right="1440" w:bottom="0" w:gutter="0" w:footer="0" w:header="0"/>
        </w:sectPr>
      </w:pPr>
    </w:p>
    <w:bookmarkStart w:id="53" w:name="page54"/>
    <w:bookmarkEnd w:id="53"/>
    <w:p>
      <w:pPr>
        <w:spacing w:after="0" w:line="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-100330</wp:posOffset>
            </wp:positionV>
            <wp:extent cx="6810375" cy="58997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10375" cy="5899785"/>
                    </a:xfrm>
                    <a:prstGeom prst="rect">
                      <a:avLst/>
                    </a:prstGeom>
                    <a:noFill/>
                  </pic:spPr>
                </pic:pic>
              </a:graphicData>
            </a:graphic>
          </wp:anchor>
        </w:drawing>
      </w:r>
    </w:p>
    <w:p>
      <w:pPr>
        <w:spacing w:after="0" w:line="10" w:lineRule="exact"/>
        <w:rPr>
          <w:sz w:val="20"/>
          <w:szCs w:val="20"/>
          <w:color w:val="auto"/>
        </w:rPr>
      </w:pPr>
    </w:p>
    <w:p>
      <w:pPr>
        <w:ind w:right="1019"/>
        <w:spacing w:after="0" w:line="306" w:lineRule="auto"/>
        <w:rPr>
          <w:sz w:val="20"/>
          <w:szCs w:val="20"/>
          <w:color w:val="auto"/>
        </w:rPr>
      </w:pPr>
      <w:r>
        <w:rPr>
          <w:rFonts w:ascii="Arial" w:cs="Arial" w:eastAsia="Arial" w:hAnsi="Arial"/>
          <w:sz w:val="17"/>
          <w:szCs w:val="17"/>
          <w:color w:val="auto"/>
        </w:rPr>
        <w:t>Executive officers do not play a role in determining or recommending the amount or form of non-employee director compensation.</w:t>
      </w:r>
    </w:p>
    <w:p>
      <w:pPr>
        <w:spacing w:after="0" w:line="46" w:lineRule="exact"/>
        <w:rPr>
          <w:sz w:val="20"/>
          <w:szCs w:val="20"/>
          <w:color w:val="auto"/>
        </w:rPr>
      </w:pPr>
    </w:p>
    <w:p>
      <w:pPr>
        <w:ind w:right="219"/>
        <w:spacing w:after="0" w:line="278" w:lineRule="auto"/>
        <w:rPr>
          <w:sz w:val="20"/>
          <w:szCs w:val="20"/>
          <w:color w:val="auto"/>
        </w:rPr>
      </w:pPr>
      <w:r>
        <w:rPr>
          <w:rFonts w:ascii="Arial" w:cs="Arial" w:eastAsia="Arial" w:hAnsi="Arial"/>
          <w:sz w:val="17"/>
          <w:szCs w:val="17"/>
          <w:color w:val="auto"/>
        </w:rPr>
        <w:t>Using Semler Brossy’s assessment, the PCC recommended no changes to the non-employee director compensation program in 2025, as the average total retainer pay, program structure, and pay mix are generally aligned with</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market.</w:t>
      </w:r>
    </w:p>
    <w:p>
      <w:pPr>
        <w:spacing w:after="0" w:line="364"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SUMMARY OF 2025 COMPENSATION ELEMENTS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Annual Compensation Elements</w:t>
            </w:r>
          </w:p>
        </w:tc>
        <w:tc>
          <w:tcPr>
            <w:tcW w:w="176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Amount ($)</w:t>
            </w:r>
          </w:p>
        </w:tc>
        <w:tc>
          <w:tcPr>
            <w:tcW w:w="3640" w:type="dxa"/>
            <w:vAlign w:val="bottom"/>
          </w:tcPr>
          <w:p>
            <w:pPr>
              <w:ind w:left="2820"/>
              <w:spacing w:after="0"/>
              <w:rPr>
                <w:sz w:val="20"/>
                <w:szCs w:val="20"/>
                <w:color w:val="auto"/>
              </w:rPr>
            </w:pPr>
            <w:r>
              <w:rPr>
                <w:rFonts w:ascii="Arial" w:cs="Arial" w:eastAsia="Arial" w:hAnsi="Arial"/>
                <w:sz w:val="14"/>
                <w:szCs w:val="14"/>
                <w:color w:val="auto"/>
                <w:w w:val="99"/>
              </w:rPr>
              <w:t>Annual Cash</w:t>
            </w:r>
          </w:p>
        </w:tc>
        <w:tc>
          <w:tcPr>
            <w:tcW w:w="0" w:type="dxa"/>
            <w:vAlign w:val="bottom"/>
          </w:tcPr>
          <w:p>
            <w:pPr>
              <w:spacing w:after="0"/>
              <w:rPr>
                <w:sz w:val="1"/>
                <w:szCs w:val="1"/>
                <w:color w:val="auto"/>
              </w:rPr>
            </w:pPr>
          </w:p>
        </w:tc>
      </w:tr>
      <w:tr>
        <w:trPr>
          <w:trHeight w:val="168"/>
        </w:trPr>
        <w:tc>
          <w:tcPr>
            <w:tcW w:w="3620" w:type="dxa"/>
            <w:vAlign w:val="bottom"/>
            <w:vMerge w:val="restart"/>
            <w:shd w:val="clear" w:color="auto" w:fill="E0DBEA"/>
          </w:tcPr>
          <w:p>
            <w:pPr>
              <w:ind w:left="60"/>
              <w:spacing w:after="0"/>
              <w:rPr>
                <w:sz w:val="20"/>
                <w:szCs w:val="20"/>
                <w:color w:val="auto"/>
              </w:rPr>
            </w:pPr>
            <w:r>
              <w:rPr>
                <w:rFonts w:ascii="Arial" w:cs="Arial" w:eastAsia="Arial" w:hAnsi="Arial"/>
                <w:sz w:val="14"/>
                <w:szCs w:val="14"/>
                <w:color w:val="auto"/>
              </w:rPr>
              <w:t>Annual Cash Retainer</w:t>
            </w:r>
          </w:p>
        </w:tc>
        <w:tc>
          <w:tcPr>
            <w:tcW w:w="1760" w:type="dxa"/>
            <w:vAlign w:val="bottom"/>
            <w:vMerge w:val="restart"/>
            <w:shd w:val="clear" w:color="auto" w:fill="E0DBEA"/>
          </w:tcPr>
          <w:p>
            <w:pPr>
              <w:jc w:val="right"/>
              <w:ind w:right="8"/>
              <w:spacing w:after="0"/>
              <w:rPr>
                <w:sz w:val="20"/>
                <w:szCs w:val="20"/>
                <w:color w:val="auto"/>
              </w:rPr>
            </w:pPr>
            <w:r>
              <w:rPr>
                <w:rFonts w:ascii="Arial" w:cs="Arial" w:eastAsia="Arial" w:hAnsi="Arial"/>
                <w:sz w:val="14"/>
                <w:szCs w:val="14"/>
                <w:color w:val="auto"/>
              </w:rPr>
              <w:t>115,000</w:t>
            </w:r>
          </w:p>
        </w:tc>
        <w:tc>
          <w:tcPr>
            <w:tcW w:w="3640" w:type="dxa"/>
            <w:vAlign w:val="bottom"/>
          </w:tcPr>
          <w:p>
            <w:pPr>
              <w:ind w:left="2820"/>
              <w:spacing w:after="0"/>
              <w:rPr>
                <w:sz w:val="20"/>
                <w:szCs w:val="20"/>
                <w:color w:val="auto"/>
              </w:rPr>
            </w:pPr>
            <w:r>
              <w:rPr>
                <w:rFonts w:ascii="Arial" w:cs="Arial" w:eastAsia="Arial" w:hAnsi="Arial"/>
                <w:sz w:val="14"/>
                <w:szCs w:val="14"/>
                <w:color w:val="auto"/>
              </w:rPr>
              <w:t>Retainer</w:t>
            </w:r>
          </w:p>
        </w:tc>
        <w:tc>
          <w:tcPr>
            <w:tcW w:w="0" w:type="dxa"/>
            <w:vAlign w:val="bottom"/>
          </w:tcPr>
          <w:p>
            <w:pPr>
              <w:spacing w:after="0"/>
              <w:rPr>
                <w:sz w:val="1"/>
                <w:szCs w:val="1"/>
                <w:color w:val="auto"/>
              </w:rPr>
            </w:pPr>
          </w:p>
        </w:tc>
      </w:tr>
      <w:tr>
        <w:trPr>
          <w:trHeight w:val="63"/>
        </w:trPr>
        <w:tc>
          <w:tcPr>
            <w:tcW w:w="3620" w:type="dxa"/>
            <w:vAlign w:val="bottom"/>
            <w:tcBorders>
              <w:bottom w:val="single" w:sz="8" w:color="582C83"/>
            </w:tcBorders>
            <w:vMerge w:val="continue"/>
            <w:shd w:val="clear" w:color="auto" w:fill="E0DBEA"/>
          </w:tcPr>
          <w:p>
            <w:pPr>
              <w:spacing w:after="0"/>
              <w:rPr>
                <w:sz w:val="5"/>
                <w:szCs w:val="5"/>
                <w:color w:val="auto"/>
              </w:rPr>
            </w:pPr>
          </w:p>
        </w:tc>
        <w:tc>
          <w:tcPr>
            <w:tcW w:w="1760" w:type="dxa"/>
            <w:vAlign w:val="bottom"/>
            <w:tcBorders>
              <w:bottom w:val="single" w:sz="8" w:color="582C83"/>
            </w:tcBorders>
            <w:vMerge w:val="continue"/>
            <w:shd w:val="clear" w:color="auto" w:fill="E0DBEA"/>
          </w:tcPr>
          <w:p>
            <w:pPr>
              <w:spacing w:after="0"/>
              <w:rPr>
                <w:sz w:val="5"/>
                <w:szCs w:val="5"/>
                <w:color w:val="auto"/>
              </w:rPr>
            </w:pPr>
          </w:p>
        </w:tc>
        <w:tc>
          <w:tcPr>
            <w:tcW w:w="3640" w:type="dxa"/>
            <w:vAlign w:val="bottom"/>
            <w:vMerge w:val="restart"/>
          </w:tcPr>
          <w:p>
            <w:pPr>
              <w:ind w:left="2820"/>
              <w:spacing w:after="0"/>
              <w:rPr>
                <w:sz w:val="20"/>
                <w:szCs w:val="20"/>
                <w:color w:val="auto"/>
              </w:rPr>
            </w:pPr>
            <w:r>
              <w:rPr>
                <w:rFonts w:ascii="Arial" w:cs="Arial" w:eastAsia="Arial" w:hAnsi="Arial"/>
                <w:sz w:val="14"/>
                <w:szCs w:val="14"/>
                <w:b w:val="1"/>
                <w:bCs w:val="1"/>
                <w:color w:val="auto"/>
              </w:rPr>
              <w:t>$115,000</w:t>
            </w:r>
          </w:p>
        </w:tc>
        <w:tc>
          <w:tcPr>
            <w:tcW w:w="0" w:type="dxa"/>
            <w:vAlign w:val="bottom"/>
          </w:tcPr>
          <w:p>
            <w:pPr>
              <w:spacing w:after="0"/>
              <w:rPr>
                <w:sz w:val="1"/>
                <w:szCs w:val="1"/>
                <w:color w:val="auto"/>
              </w:rPr>
            </w:pPr>
          </w:p>
        </w:tc>
      </w:tr>
      <w:tr>
        <w:trPr>
          <w:trHeight w:val="118"/>
        </w:trPr>
        <w:tc>
          <w:tcPr>
            <w:tcW w:w="3620" w:type="dxa"/>
            <w:vAlign w:val="bottom"/>
            <w:vMerge w:val="restart"/>
          </w:tcPr>
          <w:p>
            <w:pPr>
              <w:ind w:left="60"/>
              <w:spacing w:after="0"/>
              <w:rPr>
                <w:sz w:val="20"/>
                <w:szCs w:val="20"/>
                <w:color w:val="auto"/>
              </w:rPr>
            </w:pPr>
            <w:r>
              <w:rPr>
                <w:rFonts w:ascii="Arial" w:cs="Arial" w:eastAsia="Arial" w:hAnsi="Arial"/>
                <w:sz w:val="14"/>
                <w:szCs w:val="14"/>
                <w:color w:val="auto"/>
              </w:rPr>
              <w:t>Value of Annual Equity Retainer</w:t>
            </w:r>
          </w:p>
        </w:tc>
        <w:tc>
          <w:tcPr>
            <w:tcW w:w="1760" w:type="dxa"/>
            <w:vAlign w:val="bottom"/>
            <w:vMerge w:val="restart"/>
          </w:tcPr>
          <w:p>
            <w:pPr>
              <w:jc w:val="right"/>
              <w:spacing w:after="0"/>
              <w:rPr>
                <w:sz w:val="20"/>
                <w:szCs w:val="20"/>
                <w:color w:val="auto"/>
              </w:rPr>
            </w:pPr>
            <w:r>
              <w:rPr>
                <w:rFonts w:ascii="Arial" w:cs="Arial" w:eastAsia="Arial" w:hAnsi="Arial"/>
                <w:sz w:val="14"/>
                <w:szCs w:val="14"/>
                <w:color w:val="auto"/>
              </w:rPr>
              <w:t>200,000</w:t>
            </w:r>
          </w:p>
        </w:tc>
        <w:tc>
          <w:tcPr>
            <w:tcW w:w="3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3620" w:type="dxa"/>
            <w:vAlign w:val="bottom"/>
            <w:tcBorders>
              <w:bottom w:val="single" w:sz="8" w:color="582C83"/>
            </w:tcBorders>
            <w:vMerge w:val="continue"/>
          </w:tcPr>
          <w:p>
            <w:pPr>
              <w:spacing w:after="0"/>
              <w:rPr>
                <w:sz w:val="8"/>
                <w:szCs w:val="8"/>
                <w:color w:val="auto"/>
              </w:rPr>
            </w:pPr>
          </w:p>
        </w:tc>
        <w:tc>
          <w:tcPr>
            <w:tcW w:w="1760" w:type="dxa"/>
            <w:vAlign w:val="bottom"/>
            <w:tcBorders>
              <w:bottom w:val="single" w:sz="8" w:color="582C83"/>
            </w:tcBorders>
            <w:vMerge w:val="continue"/>
          </w:tcPr>
          <w:p>
            <w:pPr>
              <w:spacing w:after="0"/>
              <w:rPr>
                <w:sz w:val="8"/>
                <w:szCs w:val="8"/>
                <w:color w:val="auto"/>
              </w:rPr>
            </w:pPr>
          </w:p>
        </w:tc>
        <w:tc>
          <w:tcPr>
            <w:tcW w:w="3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62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Additional Cash Compensation</w:t>
            </w:r>
          </w:p>
        </w:tc>
        <w:tc>
          <w:tcPr>
            <w:tcW w:w="1760" w:type="dxa"/>
            <w:vAlign w:val="bottom"/>
            <w:tcBorders>
              <w:bottom w:val="single" w:sz="8" w:color="582C83"/>
            </w:tcBorders>
            <w:shd w:val="clear" w:color="auto" w:fill="E0DBEA"/>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Borders>
              <w:bottom w:val="single" w:sz="8" w:color="582C83"/>
            </w:tcBorders>
          </w:tcPr>
          <w:p>
            <w:pPr>
              <w:ind w:left="180"/>
              <w:spacing w:after="0"/>
              <w:rPr>
                <w:sz w:val="20"/>
                <w:szCs w:val="20"/>
                <w:color w:val="auto"/>
              </w:rPr>
            </w:pPr>
            <w:r>
              <w:rPr>
                <w:rFonts w:ascii="Arial" w:cs="Arial" w:eastAsia="Arial" w:hAnsi="Arial"/>
                <w:sz w:val="14"/>
                <w:szCs w:val="14"/>
                <w:color w:val="auto"/>
              </w:rPr>
              <w:t>Lead Independent Director Retainer</w:t>
            </w:r>
          </w:p>
        </w:tc>
        <w:tc>
          <w:tcPr>
            <w:tcW w:w="176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50,000</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Borders>
              <w:bottom w:val="single" w:sz="8" w:color="582C83"/>
            </w:tcBorders>
            <w:shd w:val="clear" w:color="auto" w:fill="E0DBEA"/>
          </w:tcPr>
          <w:p>
            <w:pPr>
              <w:ind w:left="180"/>
              <w:spacing w:after="0"/>
              <w:rPr>
                <w:sz w:val="20"/>
                <w:szCs w:val="20"/>
                <w:color w:val="auto"/>
              </w:rPr>
            </w:pPr>
            <w:r>
              <w:rPr>
                <w:rFonts w:ascii="Arial" w:cs="Arial" w:eastAsia="Arial" w:hAnsi="Arial"/>
                <w:sz w:val="14"/>
                <w:szCs w:val="14"/>
                <w:color w:val="auto"/>
              </w:rPr>
              <w:t>Audit Committee Chair Retainer</w:t>
            </w:r>
          </w:p>
        </w:tc>
        <w:tc>
          <w:tcPr>
            <w:tcW w:w="176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35,000</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Borders>
              <w:bottom w:val="single" w:sz="8" w:color="582C83"/>
            </w:tcBorders>
          </w:tcPr>
          <w:p>
            <w:pPr>
              <w:ind w:left="180"/>
              <w:spacing w:after="0"/>
              <w:rPr>
                <w:sz w:val="20"/>
                <w:szCs w:val="20"/>
                <w:color w:val="auto"/>
              </w:rPr>
            </w:pPr>
            <w:r>
              <w:rPr>
                <w:rFonts w:ascii="Arial" w:cs="Arial" w:eastAsia="Arial" w:hAnsi="Arial"/>
                <w:sz w:val="14"/>
                <w:szCs w:val="14"/>
                <w:color w:val="auto"/>
              </w:rPr>
              <w:t>PCC Chair Retainer</w:t>
            </w:r>
          </w:p>
        </w:tc>
        <w:tc>
          <w:tcPr>
            <w:tcW w:w="176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25,000</w:t>
            </w:r>
          </w:p>
        </w:tc>
        <w:tc>
          <w:tcPr>
            <w:tcW w:w="3640" w:type="dxa"/>
            <w:vAlign w:val="bottom"/>
          </w:tcPr>
          <w:p>
            <w:pPr>
              <w:jc w:val="right"/>
              <w:ind w:right="2228"/>
              <w:spacing w:after="0"/>
              <w:rPr>
                <w:sz w:val="20"/>
                <w:szCs w:val="20"/>
                <w:color w:val="auto"/>
              </w:rPr>
            </w:pPr>
            <w:r>
              <w:rPr>
                <w:rFonts w:ascii="Arial" w:cs="Arial" w:eastAsia="Arial" w:hAnsi="Arial"/>
                <w:sz w:val="14"/>
                <w:szCs w:val="14"/>
                <w:color w:val="auto"/>
              </w:rPr>
              <w:t>Annual Equity</w:t>
            </w:r>
          </w:p>
        </w:tc>
        <w:tc>
          <w:tcPr>
            <w:tcW w:w="0" w:type="dxa"/>
            <w:vAlign w:val="bottom"/>
          </w:tcPr>
          <w:p>
            <w:pPr>
              <w:spacing w:after="0"/>
              <w:rPr>
                <w:sz w:val="1"/>
                <w:szCs w:val="1"/>
                <w:color w:val="auto"/>
              </w:rPr>
            </w:pPr>
          </w:p>
        </w:tc>
      </w:tr>
      <w:tr>
        <w:trPr>
          <w:trHeight w:val="210"/>
        </w:trPr>
        <w:tc>
          <w:tcPr>
            <w:tcW w:w="3620" w:type="dxa"/>
            <w:vAlign w:val="bottom"/>
            <w:tcBorders>
              <w:bottom w:val="single" w:sz="8" w:color="582C83"/>
            </w:tcBorders>
            <w:shd w:val="clear" w:color="auto" w:fill="E0DBEA"/>
          </w:tcPr>
          <w:p>
            <w:pPr>
              <w:ind w:left="180"/>
              <w:spacing w:after="0"/>
              <w:rPr>
                <w:sz w:val="20"/>
                <w:szCs w:val="20"/>
                <w:color w:val="auto"/>
              </w:rPr>
            </w:pPr>
            <w:r>
              <w:rPr>
                <w:rFonts w:ascii="Arial" w:cs="Arial" w:eastAsia="Arial" w:hAnsi="Arial"/>
                <w:sz w:val="14"/>
                <w:szCs w:val="14"/>
                <w:color w:val="auto"/>
              </w:rPr>
              <w:t>Governance Committee Chair Retainer</w:t>
            </w:r>
          </w:p>
        </w:tc>
        <w:tc>
          <w:tcPr>
            <w:tcW w:w="176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20,000</w:t>
            </w:r>
          </w:p>
        </w:tc>
        <w:tc>
          <w:tcPr>
            <w:tcW w:w="3640" w:type="dxa"/>
            <w:vAlign w:val="bottom"/>
          </w:tcPr>
          <w:p>
            <w:pPr>
              <w:jc w:val="right"/>
              <w:ind w:right="2228"/>
              <w:spacing w:after="0"/>
              <w:rPr>
                <w:sz w:val="20"/>
                <w:szCs w:val="20"/>
                <w:color w:val="auto"/>
              </w:rPr>
            </w:pPr>
            <w:r>
              <w:rPr>
                <w:rFonts w:ascii="Arial" w:cs="Arial" w:eastAsia="Arial" w:hAnsi="Arial"/>
                <w:sz w:val="14"/>
                <w:szCs w:val="14"/>
                <w:color w:val="auto"/>
              </w:rPr>
              <w:t>Retainer Value</w:t>
            </w:r>
          </w:p>
        </w:tc>
        <w:tc>
          <w:tcPr>
            <w:tcW w:w="0" w:type="dxa"/>
            <w:vAlign w:val="bottom"/>
          </w:tcPr>
          <w:p>
            <w:pPr>
              <w:spacing w:after="0"/>
              <w:rPr>
                <w:sz w:val="1"/>
                <w:szCs w:val="1"/>
                <w:color w:val="auto"/>
              </w:rPr>
            </w:pPr>
          </w:p>
        </w:tc>
      </w:tr>
      <w:tr>
        <w:trPr>
          <w:trHeight w:val="169"/>
        </w:trPr>
        <w:tc>
          <w:tcPr>
            <w:tcW w:w="3620" w:type="dxa"/>
            <w:vAlign w:val="bottom"/>
            <w:vMerge w:val="restart"/>
          </w:tcPr>
          <w:p>
            <w:pPr>
              <w:ind w:left="180"/>
              <w:spacing w:after="0"/>
              <w:rPr>
                <w:sz w:val="20"/>
                <w:szCs w:val="20"/>
                <w:color w:val="auto"/>
              </w:rPr>
            </w:pPr>
            <w:r>
              <w:rPr>
                <w:rFonts w:ascii="Arial" w:cs="Arial" w:eastAsia="Arial" w:hAnsi="Arial"/>
                <w:sz w:val="14"/>
                <w:szCs w:val="14"/>
                <w:color w:val="auto"/>
              </w:rPr>
              <w:t>Finance Committee Chair Retainer</w:t>
            </w:r>
          </w:p>
        </w:tc>
        <w:tc>
          <w:tcPr>
            <w:tcW w:w="1760" w:type="dxa"/>
            <w:vAlign w:val="bottom"/>
            <w:vMerge w:val="restart"/>
          </w:tcPr>
          <w:p>
            <w:pPr>
              <w:jc w:val="right"/>
              <w:spacing w:after="0"/>
              <w:rPr>
                <w:sz w:val="20"/>
                <w:szCs w:val="20"/>
                <w:color w:val="auto"/>
              </w:rPr>
            </w:pPr>
            <w:r>
              <w:rPr>
                <w:rFonts w:ascii="Arial" w:cs="Arial" w:eastAsia="Arial" w:hAnsi="Arial"/>
                <w:sz w:val="14"/>
                <w:szCs w:val="14"/>
                <w:color w:val="auto"/>
              </w:rPr>
              <w:t>20,000</w:t>
            </w:r>
          </w:p>
        </w:tc>
        <w:tc>
          <w:tcPr>
            <w:tcW w:w="3640" w:type="dxa"/>
            <w:vAlign w:val="bottom"/>
          </w:tcPr>
          <w:p>
            <w:pPr>
              <w:jc w:val="right"/>
              <w:ind w:right="2228"/>
              <w:spacing w:after="0"/>
              <w:rPr>
                <w:sz w:val="20"/>
                <w:szCs w:val="20"/>
                <w:color w:val="auto"/>
              </w:rPr>
            </w:pPr>
            <w:r>
              <w:rPr>
                <w:rFonts w:ascii="Arial" w:cs="Arial" w:eastAsia="Arial" w:hAnsi="Arial"/>
                <w:sz w:val="14"/>
                <w:szCs w:val="14"/>
                <w:b w:val="1"/>
                <w:bCs w:val="1"/>
                <w:color w:val="auto"/>
              </w:rPr>
              <w:t>$200,000</w:t>
            </w:r>
          </w:p>
        </w:tc>
        <w:tc>
          <w:tcPr>
            <w:tcW w:w="0" w:type="dxa"/>
            <w:vAlign w:val="bottom"/>
          </w:tcPr>
          <w:p>
            <w:pPr>
              <w:spacing w:after="0"/>
              <w:rPr>
                <w:sz w:val="1"/>
                <w:szCs w:val="1"/>
                <w:color w:val="auto"/>
              </w:rPr>
            </w:pPr>
          </w:p>
        </w:tc>
      </w:tr>
      <w:tr>
        <w:trPr>
          <w:trHeight w:val="55"/>
        </w:trPr>
        <w:tc>
          <w:tcPr>
            <w:tcW w:w="3620" w:type="dxa"/>
            <w:vAlign w:val="bottom"/>
            <w:tcBorders>
              <w:bottom w:val="single" w:sz="8" w:color="582C83"/>
            </w:tcBorders>
            <w:vMerge w:val="continue"/>
          </w:tcPr>
          <w:p>
            <w:pPr>
              <w:spacing w:after="0"/>
              <w:rPr>
                <w:sz w:val="4"/>
                <w:szCs w:val="4"/>
                <w:color w:val="auto"/>
              </w:rPr>
            </w:pPr>
          </w:p>
        </w:tc>
        <w:tc>
          <w:tcPr>
            <w:tcW w:w="1760" w:type="dxa"/>
            <w:vAlign w:val="bottom"/>
            <w:tcBorders>
              <w:bottom w:val="single" w:sz="8" w:color="582C83"/>
            </w:tcBorders>
            <w:vMerge w:val="continue"/>
          </w:tcPr>
          <w:p>
            <w:pPr>
              <w:spacing w:after="0"/>
              <w:rPr>
                <w:sz w:val="4"/>
                <w:szCs w:val="4"/>
                <w:color w:val="auto"/>
              </w:rPr>
            </w:pPr>
          </w:p>
        </w:tc>
        <w:tc>
          <w:tcPr>
            <w:tcW w:w="36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right="379"/>
        <w:spacing w:after="0" w:line="291" w:lineRule="auto"/>
        <w:rPr>
          <w:sz w:val="20"/>
          <w:szCs w:val="20"/>
          <w:color w:val="auto"/>
        </w:rPr>
      </w:pPr>
      <w:r>
        <w:rPr>
          <w:rFonts w:ascii="Arial" w:cs="Arial" w:eastAsia="Arial" w:hAnsi="Arial"/>
          <w:sz w:val="17"/>
          <w:szCs w:val="17"/>
          <w:color w:val="auto"/>
        </w:rPr>
        <w:t>We do not pay non-employee directors meeting fees. We also do not pay any company employee who serves as a director any additional compensation for serving as a director. Mr. Van de Put is the only director who is also a company employee.</w:t>
      </w:r>
    </w:p>
    <w:p>
      <w:pPr>
        <w:spacing w:after="0" w:line="303"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PLAN LIMITS ON NON-EMPLOYEE DIRECTOR GRANTS</w:t>
      </w:r>
    </w:p>
    <w:p>
      <w:pPr>
        <w:spacing w:after="0" w:line="205" w:lineRule="exact"/>
        <w:rPr>
          <w:sz w:val="20"/>
          <w:szCs w:val="20"/>
          <w:color w:val="auto"/>
        </w:rPr>
      </w:pPr>
    </w:p>
    <w:p>
      <w:pPr>
        <w:ind w:right="199"/>
        <w:spacing w:after="0" w:line="282" w:lineRule="auto"/>
        <w:rPr>
          <w:sz w:val="20"/>
          <w:szCs w:val="20"/>
          <w:color w:val="auto"/>
        </w:rPr>
      </w:pPr>
      <w:r>
        <w:rPr>
          <w:rFonts w:ascii="Arial" w:cs="Arial" w:eastAsia="Arial" w:hAnsi="Arial"/>
          <w:sz w:val="17"/>
          <w:szCs w:val="17"/>
          <w:color w:val="auto"/>
        </w:rPr>
        <w:t>Our shareholder-approved 2024 Performance Incentive Plan (“2024 PIP”) limits the cash compensation and the fair market value of Common Stock grants made to any non-employee director in any calendar year to at most $750,000, except that for the first year a director joins the Board or the year in which a director is designated as Chair or Lead Independent Director, such limit is increased to $1,000,000.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60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45339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10375" cy="453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740"/>
        <w:spacing w:after="0"/>
        <w:rPr>
          <w:sz w:val="20"/>
          <w:szCs w:val="20"/>
          <w:color w:val="auto"/>
        </w:rPr>
      </w:pPr>
      <w:r>
        <w:rPr>
          <w:rFonts w:ascii="Arial" w:cs="Arial" w:eastAsia="Arial" w:hAnsi="Arial"/>
          <w:sz w:val="21"/>
          <w:szCs w:val="21"/>
          <w:b w:val="1"/>
          <w:bCs w:val="1"/>
          <w:color w:val="auto"/>
        </w:rPr>
        <w:t>COMPENSATION OF NON-EMPLOYEE DIRECTORS</w:t>
      </w:r>
    </w:p>
    <w:p>
      <w:pPr>
        <w:spacing w:after="0" w:line="48" w:lineRule="exact"/>
        <w:rPr>
          <w:sz w:val="20"/>
          <w:szCs w:val="20"/>
          <w:color w:val="auto"/>
        </w:rPr>
      </w:pPr>
    </w:p>
    <w:p>
      <w:pPr>
        <w:ind w:left="3320"/>
        <w:spacing w:after="0"/>
        <w:rPr>
          <w:sz w:val="20"/>
          <w:szCs w:val="20"/>
          <w:color w:val="auto"/>
        </w:rPr>
      </w:pPr>
      <w:r>
        <w:rPr>
          <w:rFonts w:ascii="Arial" w:cs="Arial" w:eastAsia="Arial" w:hAnsi="Arial"/>
          <w:sz w:val="14"/>
          <w:szCs w:val="14"/>
          <w:color w:val="auto"/>
        </w:rPr>
        <w:t>Cash Compensation – Board, Lead Independent Director and Committee Chair Retainers</w:t>
      </w:r>
    </w:p>
    <w:p>
      <w:pPr>
        <w:spacing w:after="0" w:line="200" w:lineRule="exact"/>
        <w:rPr>
          <w:sz w:val="20"/>
          <w:szCs w:val="20"/>
          <w:color w:val="auto"/>
        </w:rPr>
      </w:pPr>
    </w:p>
    <w:p>
      <w:pPr>
        <w:spacing w:after="0" w:line="316" w:lineRule="exact"/>
        <w:rPr>
          <w:sz w:val="20"/>
          <w:szCs w:val="20"/>
          <w:color w:val="auto"/>
        </w:rPr>
      </w:pPr>
    </w:p>
    <w:p>
      <w:pPr>
        <w:ind w:left="440" w:right="919" w:hanging="363"/>
        <w:spacing w:after="0"/>
        <w:rPr>
          <w:sz w:val="20"/>
          <w:szCs w:val="20"/>
          <w:color w:val="auto"/>
        </w:rPr>
      </w:pPr>
      <w:r>
        <w:rPr>
          <w:sz w:val="1"/>
          <w:szCs w:val="1"/>
          <w:color w:val="auto"/>
        </w:rPr>
        <w:drawing>
          <wp:inline distT="0" distB="0" distL="0" distR="0">
            <wp:extent cx="162560" cy="16319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CASH COMPENSATION – BOARD, LEAD INDEPENDENT DIRECTOR, AND COMMITTEE CHAIR RETAINERS</w:t>
      </w:r>
    </w:p>
    <w:p>
      <w:pPr>
        <w:spacing w:after="0" w:line="128" w:lineRule="exact"/>
        <w:rPr>
          <w:sz w:val="20"/>
          <w:szCs w:val="20"/>
          <w:color w:val="auto"/>
        </w:rPr>
      </w:pPr>
    </w:p>
    <w:p>
      <w:pPr>
        <w:ind w:right="19"/>
        <w:spacing w:after="0" w:line="277" w:lineRule="auto"/>
        <w:rPr>
          <w:sz w:val="20"/>
          <w:szCs w:val="20"/>
          <w:color w:val="auto"/>
        </w:rPr>
      </w:pPr>
      <w:r>
        <w:rPr>
          <w:rFonts w:ascii="Arial" w:cs="Arial" w:eastAsia="Arial" w:hAnsi="Arial"/>
          <w:sz w:val="17"/>
          <w:szCs w:val="17"/>
          <w:color w:val="auto"/>
        </w:rPr>
        <w:t>We pay our non-employee directors their cash retainers quarterly. The Mondelēz International, Inc. 2001 Compensation Plan for Non-Employee Directors allows directors to defer 25%, 50%, 75%, or 100% of their cash retainers into notional unfunded accounts. These accounts are credited with gains/losses based upon the performance of investment funds that mirror certain of the investment options available under the Thrift Plan offered to U.S. salaried employees.</w:t>
      </w:r>
    </w:p>
    <w:p>
      <w:pPr>
        <w:spacing w:after="0" w:line="70" w:lineRule="exact"/>
        <w:rPr>
          <w:sz w:val="20"/>
          <w:szCs w:val="20"/>
          <w:color w:val="auto"/>
        </w:rPr>
      </w:pPr>
    </w:p>
    <w:p>
      <w:pPr>
        <w:ind w:right="919"/>
        <w:spacing w:after="0" w:line="283" w:lineRule="auto"/>
        <w:rPr>
          <w:sz w:val="20"/>
          <w:szCs w:val="20"/>
          <w:color w:val="auto"/>
        </w:rPr>
      </w:pPr>
      <w:r>
        <w:rPr>
          <w:rFonts w:ascii="Arial" w:cs="Arial" w:eastAsia="Arial" w:hAnsi="Arial"/>
          <w:sz w:val="17"/>
          <w:szCs w:val="17"/>
          <w:color w:val="auto"/>
        </w:rPr>
        <w:t>If the Board appoints a new non-employee director during the year (i.e., other than at the Annual Meeting of Shareholders), we pay that director prorated compensation based on the number of days remaining in the calendar year.</w:t>
      </w:r>
    </w:p>
    <w:p>
      <w:pPr>
        <w:spacing w:after="0" w:line="269"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256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9"/>
          <w:szCs w:val="29"/>
          <w:b w:val="1"/>
          <w:bCs w:val="1"/>
          <w:color w:val="auto"/>
        </w:rPr>
        <w:t xml:space="preserve"> EQUITY COMPENSATION – ANNUAL EQUITY GRANT</w:t>
      </w:r>
    </w:p>
    <w:p>
      <w:pPr>
        <w:spacing w:after="0" w:line="205" w:lineRule="exact"/>
        <w:rPr>
          <w:sz w:val="20"/>
          <w:szCs w:val="20"/>
          <w:color w:val="auto"/>
        </w:rPr>
      </w:pPr>
    </w:p>
    <w:p>
      <w:pPr>
        <w:ind w:right="19"/>
        <w:spacing w:after="0" w:line="272" w:lineRule="auto"/>
        <w:rPr>
          <w:sz w:val="20"/>
          <w:szCs w:val="20"/>
          <w:color w:val="auto"/>
        </w:rPr>
      </w:pPr>
      <w:r>
        <w:rPr>
          <w:rFonts w:ascii="Arial" w:cs="Arial" w:eastAsia="Arial" w:hAnsi="Arial"/>
          <w:sz w:val="17"/>
          <w:szCs w:val="17"/>
          <w:color w:val="auto"/>
        </w:rPr>
        <w:t>We make annual equity grants to our non-employee directors following the Annual Meeting of Shareholders. In order to align directors’ interests with shareholders during the directors’ service, grants are in the form of vested deferred stock units (“DSUs”). We settle these DSUs by distributing actual shares six months after a director ends his or her service as a director. When we pay a dividend on our Common Stock, we accrue the value of the dividends that we would have paid on the shares underlying the DSUs. Directors receive shares equal to the accumulated value of the dividends at the same time their DSUs are settled.</w:t>
      </w:r>
    </w:p>
    <w:p>
      <w:pPr>
        <w:spacing w:after="0" w:line="75" w:lineRule="exact"/>
        <w:rPr>
          <w:sz w:val="20"/>
          <w:szCs w:val="20"/>
          <w:color w:val="auto"/>
        </w:rPr>
      </w:pPr>
    </w:p>
    <w:p>
      <w:pPr>
        <w:ind w:right="99"/>
        <w:spacing w:after="0" w:line="283" w:lineRule="auto"/>
        <w:rPr>
          <w:sz w:val="20"/>
          <w:szCs w:val="20"/>
          <w:color w:val="auto"/>
        </w:rPr>
      </w:pPr>
      <w:r>
        <w:rPr>
          <w:rFonts w:ascii="Arial" w:cs="Arial" w:eastAsia="Arial" w:hAnsi="Arial"/>
          <w:sz w:val="17"/>
          <w:szCs w:val="17"/>
          <w:color w:val="auto"/>
        </w:rPr>
        <w:t>If the Board appoints a new non-employee director during the year (i.e., other than at the Annual Meeting of Shareholders), we prorate the annual equity grant value based on the number of months until the next Annual Meeting of Shareholders.</w:t>
      </w:r>
    </w:p>
    <w:p>
      <w:pPr>
        <w:sectPr>
          <w:pgSz w:w="11900" w:h="16845" w:orient="portrait"/>
          <w:cols w:equalWidth="0" w:num="1">
            <w:col w:w="9039"/>
          </w:cols>
          <w:pgMar w:left="1420" w:top="104" w:right="1440" w:bottom="0" w:gutter="0" w:footer="0" w:header="0"/>
        </w:sectPr>
      </w:pPr>
    </w:p>
    <w:bookmarkStart w:id="54" w:name="page55"/>
    <w:bookmarkEnd w:id="54"/>
    <w:p>
      <w:pPr>
        <w:ind w:left="6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3224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10375" cy="4322445"/>
                    </a:xfrm>
                    <a:prstGeom prst="rect">
                      <a:avLst/>
                    </a:prstGeom>
                    <a:noFill/>
                  </pic:spPr>
                </pic:pic>
              </a:graphicData>
            </a:graphic>
          </wp:anchor>
        </w:drawing>
        <w:drawing>
          <wp:inline distT="0" distB="0" distL="0" distR="0">
            <wp:extent cx="162560" cy="16319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DIRECTOR STOCK OWNERSHIP GUIDELINES</w:t>
      </w:r>
    </w:p>
    <w:p>
      <w:pPr>
        <w:spacing w:after="0" w:line="205" w:lineRule="exact"/>
        <w:rPr>
          <w:sz w:val="20"/>
          <w:szCs w:val="20"/>
          <w:color w:val="auto"/>
        </w:rPr>
      </w:pPr>
    </w:p>
    <w:p>
      <w:pPr>
        <w:ind w:right="300"/>
        <w:spacing w:after="0" w:line="301" w:lineRule="auto"/>
        <w:rPr>
          <w:sz w:val="20"/>
          <w:szCs w:val="20"/>
          <w:color w:val="auto"/>
        </w:rPr>
      </w:pPr>
      <w:r>
        <w:rPr>
          <w:rFonts w:ascii="Arial" w:cs="Arial" w:eastAsia="Arial" w:hAnsi="Arial"/>
          <w:sz w:val="17"/>
          <w:szCs w:val="17"/>
          <w:color w:val="auto"/>
        </w:rPr>
        <w:t>To align the interests of our non-employee directors and our shareholders, we expect our non-employee directors to hold shares of our Common Stock. Our expectations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8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Key Provisions</w:t>
            </w:r>
          </w:p>
        </w:tc>
        <w:tc>
          <w:tcPr>
            <w:tcW w:w="6960" w:type="dxa"/>
            <w:vAlign w:val="bottom"/>
            <w:tcBorders>
              <w:bottom w:val="single" w:sz="8" w:color="582C83"/>
            </w:tcBorders>
            <w:gridSpan w:val="2"/>
          </w:tcPr>
          <w:p>
            <w:pPr>
              <w:ind w:left="60"/>
              <w:spacing w:after="0"/>
              <w:rPr>
                <w:sz w:val="20"/>
                <w:szCs w:val="20"/>
                <w:color w:val="auto"/>
              </w:rPr>
            </w:pPr>
            <w:r>
              <w:rPr>
                <w:rFonts w:ascii="Arial" w:cs="Arial" w:eastAsia="Arial" w:hAnsi="Arial"/>
                <w:sz w:val="14"/>
                <w:szCs w:val="14"/>
                <w:b w:val="1"/>
                <w:bCs w:val="1"/>
                <w:color w:val="auto"/>
              </w:rPr>
              <w:t>Explanation of Key Provisions</w:t>
            </w:r>
          </w:p>
        </w:tc>
      </w:tr>
      <w:tr>
        <w:trPr>
          <w:trHeight w:val="302"/>
        </w:trPr>
        <w:tc>
          <w:tcPr>
            <w:tcW w:w="2080" w:type="dxa"/>
            <w:vAlign w:val="bottom"/>
            <w:tcBorders>
              <w:bottom w:val="single" w:sz="8" w:color="E0DBEA"/>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Ownership expectation</w:t>
            </w:r>
          </w:p>
        </w:tc>
        <w:tc>
          <w:tcPr>
            <w:tcW w:w="140" w:type="dxa"/>
            <w:vAlign w:val="bottom"/>
            <w:tcBorders>
              <w:bottom w:val="single" w:sz="8" w:color="E0DBEA"/>
            </w:tcBorders>
            <w:shd w:val="clear" w:color="auto" w:fill="E0DBEA"/>
          </w:tcPr>
          <w:p>
            <w:pPr>
              <w:ind w:left="60"/>
              <w:spacing w:after="0"/>
              <w:rPr>
                <w:sz w:val="20"/>
                <w:szCs w:val="20"/>
                <w:color w:val="auto"/>
              </w:rPr>
            </w:pPr>
            <w:r>
              <w:rPr>
                <w:rFonts w:ascii="Arial" w:cs="Arial" w:eastAsia="Arial" w:hAnsi="Arial"/>
                <w:sz w:val="17"/>
                <w:szCs w:val="17"/>
                <w:color w:val="582C83"/>
              </w:rPr>
              <w:t>•</w:t>
            </w:r>
          </w:p>
        </w:tc>
        <w:tc>
          <w:tcPr>
            <w:tcW w:w="6820" w:type="dxa"/>
            <w:vAlign w:val="bottom"/>
            <w:tcBorders>
              <w:bottom w:val="single" w:sz="8" w:color="E0DBEA"/>
            </w:tcBorders>
            <w:shd w:val="clear" w:color="auto" w:fill="E0DBEA"/>
          </w:tcPr>
          <w:p>
            <w:pPr>
              <w:ind w:left="40"/>
              <w:spacing w:after="0"/>
              <w:rPr>
                <w:sz w:val="20"/>
                <w:szCs w:val="20"/>
                <w:color w:val="auto"/>
              </w:rPr>
            </w:pPr>
            <w:r>
              <w:rPr>
                <w:rFonts w:ascii="Arial" w:cs="Arial" w:eastAsia="Arial" w:hAnsi="Arial"/>
                <w:sz w:val="14"/>
                <w:szCs w:val="14"/>
                <w:color w:val="auto"/>
              </w:rPr>
              <w:t>Amount equal to 5 times the annual Board cash retainer.</w:t>
            </w:r>
          </w:p>
        </w:tc>
      </w:tr>
      <w:tr>
        <w:trPr>
          <w:trHeight w:val="230"/>
        </w:trPr>
        <w:tc>
          <w:tcPr>
            <w:tcW w:w="2080" w:type="dxa"/>
            <w:vAlign w:val="bottom"/>
            <w:tcBorders>
              <w:top w:val="single" w:sz="8" w:color="582C83"/>
              <w:bottom w:val="single" w:sz="8" w:color="582C83"/>
            </w:tcBorders>
          </w:tcPr>
          <w:p>
            <w:pPr>
              <w:ind w:left="60"/>
              <w:spacing w:after="0"/>
              <w:rPr>
                <w:sz w:val="20"/>
                <w:szCs w:val="20"/>
                <w:color w:val="auto"/>
              </w:rPr>
            </w:pPr>
            <w:r>
              <w:rPr>
                <w:rFonts w:ascii="Arial" w:cs="Arial" w:eastAsia="Arial" w:hAnsi="Arial"/>
                <w:sz w:val="14"/>
                <w:szCs w:val="14"/>
                <w:b w:val="1"/>
                <w:bCs w:val="1"/>
                <w:color w:val="auto"/>
              </w:rPr>
              <w:t>Time to meet expectation</w:t>
            </w:r>
          </w:p>
        </w:tc>
        <w:tc>
          <w:tcPr>
            <w:tcW w:w="140" w:type="dxa"/>
            <w:vAlign w:val="bottom"/>
            <w:tcBorders>
              <w:top w:val="single" w:sz="8" w:color="582C83"/>
              <w:bottom w:val="single" w:sz="8" w:color="582C83"/>
            </w:tcBorders>
          </w:tcPr>
          <w:p>
            <w:pPr>
              <w:ind w:left="60"/>
              <w:spacing w:after="0"/>
              <w:rPr>
                <w:sz w:val="20"/>
                <w:szCs w:val="20"/>
                <w:color w:val="auto"/>
              </w:rPr>
            </w:pPr>
            <w:r>
              <w:rPr>
                <w:rFonts w:ascii="Arial" w:cs="Arial" w:eastAsia="Arial" w:hAnsi="Arial"/>
                <w:sz w:val="17"/>
                <w:szCs w:val="17"/>
                <w:color w:val="582C83"/>
              </w:rPr>
              <w:t>•</w:t>
            </w:r>
          </w:p>
        </w:tc>
        <w:tc>
          <w:tcPr>
            <w:tcW w:w="6820" w:type="dxa"/>
            <w:vAlign w:val="bottom"/>
            <w:tcBorders>
              <w:top w:val="single" w:sz="8" w:color="582C83"/>
              <w:bottom w:val="single" w:sz="8" w:color="582C83"/>
            </w:tcBorders>
          </w:tcPr>
          <w:p>
            <w:pPr>
              <w:ind w:left="40"/>
              <w:spacing w:after="0"/>
              <w:rPr>
                <w:sz w:val="20"/>
                <w:szCs w:val="20"/>
                <w:color w:val="auto"/>
              </w:rPr>
            </w:pPr>
            <w:r>
              <w:rPr>
                <w:rFonts w:ascii="Arial" w:cs="Arial" w:eastAsia="Arial" w:hAnsi="Arial"/>
                <w:sz w:val="14"/>
                <w:szCs w:val="14"/>
                <w:color w:val="auto"/>
              </w:rPr>
              <w:t>5 years after joining the Board as a director.</w:t>
            </w:r>
          </w:p>
        </w:tc>
      </w:tr>
      <w:tr>
        <w:trPr>
          <w:trHeight w:val="180"/>
        </w:trPr>
        <w:tc>
          <w:tcPr>
            <w:tcW w:w="208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Shares counted toward</w:t>
            </w:r>
          </w:p>
        </w:tc>
        <w:tc>
          <w:tcPr>
            <w:tcW w:w="140" w:type="dxa"/>
            <w:vAlign w:val="bottom"/>
            <w:shd w:val="clear" w:color="auto" w:fill="E0DBEA"/>
          </w:tcPr>
          <w:p>
            <w:pPr>
              <w:ind w:left="60"/>
              <w:spacing w:after="0" w:line="180" w:lineRule="exact"/>
              <w:rPr>
                <w:sz w:val="20"/>
                <w:szCs w:val="20"/>
                <w:color w:val="auto"/>
              </w:rPr>
            </w:pPr>
            <w:r>
              <w:rPr>
                <w:rFonts w:ascii="Arial" w:cs="Arial" w:eastAsia="Arial" w:hAnsi="Arial"/>
                <w:sz w:val="17"/>
                <w:szCs w:val="17"/>
                <w:color w:val="582C83"/>
              </w:rPr>
              <w:t>•</w:t>
            </w:r>
          </w:p>
        </w:tc>
        <w:tc>
          <w:tcPr>
            <w:tcW w:w="6820" w:type="dxa"/>
            <w:vAlign w:val="bottom"/>
            <w:shd w:val="clear" w:color="auto" w:fill="E0DBEA"/>
          </w:tcPr>
          <w:p>
            <w:pPr>
              <w:ind w:left="40"/>
              <w:spacing w:after="0"/>
              <w:rPr>
                <w:sz w:val="20"/>
                <w:szCs w:val="20"/>
                <w:color w:val="auto"/>
              </w:rPr>
            </w:pPr>
            <w:r>
              <w:rPr>
                <w:rFonts w:ascii="Arial" w:cs="Arial" w:eastAsia="Arial" w:hAnsi="Arial"/>
                <w:sz w:val="14"/>
                <w:szCs w:val="14"/>
                <w:color w:val="auto"/>
              </w:rPr>
              <w:t>Common Stock, including sole ownership, DSUs, and accounts over which the director has direct or</w:t>
            </w:r>
          </w:p>
        </w:tc>
      </w:tr>
      <w:tr>
        <w:trPr>
          <w:trHeight w:val="257"/>
        </w:trPr>
        <w:tc>
          <w:tcPr>
            <w:tcW w:w="2080" w:type="dxa"/>
            <w:vAlign w:val="bottom"/>
            <w:tcBorders>
              <w:bottom w:val="single" w:sz="8" w:color="E0DBEA"/>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ownership</w:t>
            </w:r>
          </w:p>
        </w:tc>
        <w:tc>
          <w:tcPr>
            <w:tcW w:w="140" w:type="dxa"/>
            <w:vAlign w:val="bottom"/>
            <w:tcBorders>
              <w:bottom w:val="single" w:sz="8" w:color="E0DBEA"/>
            </w:tcBorders>
            <w:shd w:val="clear" w:color="auto" w:fill="E0DBEA"/>
          </w:tcPr>
          <w:p>
            <w:pPr>
              <w:spacing w:after="0"/>
              <w:rPr>
                <w:sz w:val="21"/>
                <w:szCs w:val="21"/>
                <w:color w:val="auto"/>
              </w:rPr>
            </w:pPr>
          </w:p>
        </w:tc>
        <w:tc>
          <w:tcPr>
            <w:tcW w:w="6820" w:type="dxa"/>
            <w:vAlign w:val="bottom"/>
            <w:tcBorders>
              <w:bottom w:val="single" w:sz="8" w:color="E0DBEA"/>
            </w:tcBorders>
            <w:shd w:val="clear" w:color="auto" w:fill="E0DBEA"/>
          </w:tcPr>
          <w:p>
            <w:pPr>
              <w:ind w:left="40"/>
              <w:spacing w:after="0"/>
              <w:rPr>
                <w:sz w:val="20"/>
                <w:szCs w:val="20"/>
                <w:color w:val="auto"/>
              </w:rPr>
            </w:pPr>
            <w:r>
              <w:rPr>
                <w:rFonts w:ascii="Arial" w:cs="Arial" w:eastAsia="Arial" w:hAnsi="Arial"/>
                <w:sz w:val="14"/>
                <w:szCs w:val="14"/>
                <w:color w:val="auto"/>
              </w:rPr>
              <w:t>indirect ownership or control.</w:t>
            </w:r>
          </w:p>
        </w:tc>
      </w:tr>
      <w:tr>
        <w:trPr>
          <w:trHeight w:val="200"/>
        </w:trPr>
        <w:tc>
          <w:tcPr>
            <w:tcW w:w="2080" w:type="dxa"/>
            <w:vAlign w:val="bottom"/>
            <w:tcBorders>
              <w:top w:val="single" w:sz="8" w:color="582C83"/>
            </w:tcBorders>
          </w:tcPr>
          <w:p>
            <w:pPr>
              <w:ind w:left="60"/>
              <w:spacing w:after="0"/>
              <w:rPr>
                <w:sz w:val="20"/>
                <w:szCs w:val="20"/>
                <w:color w:val="auto"/>
              </w:rPr>
            </w:pPr>
            <w:r>
              <w:rPr>
                <w:rFonts w:ascii="Arial" w:cs="Arial" w:eastAsia="Arial" w:hAnsi="Arial"/>
                <w:sz w:val="14"/>
                <w:szCs w:val="14"/>
                <w:b w:val="1"/>
                <w:bCs w:val="1"/>
                <w:color w:val="auto"/>
              </w:rPr>
              <w:t>Holding expectation</w:t>
            </w:r>
          </w:p>
        </w:tc>
        <w:tc>
          <w:tcPr>
            <w:tcW w:w="140" w:type="dxa"/>
            <w:vAlign w:val="bottom"/>
            <w:tcBorders>
              <w:top w:val="single" w:sz="8" w:color="582C83"/>
            </w:tcBorders>
          </w:tcPr>
          <w:p>
            <w:pPr>
              <w:ind w:left="60"/>
              <w:spacing w:after="0"/>
              <w:rPr>
                <w:sz w:val="20"/>
                <w:szCs w:val="20"/>
                <w:color w:val="auto"/>
              </w:rPr>
            </w:pPr>
            <w:r>
              <w:rPr>
                <w:rFonts w:ascii="Arial" w:cs="Arial" w:eastAsia="Arial" w:hAnsi="Arial"/>
                <w:sz w:val="17"/>
                <w:szCs w:val="17"/>
                <w:color w:val="582C83"/>
              </w:rPr>
              <w:t>•</w:t>
            </w:r>
          </w:p>
        </w:tc>
        <w:tc>
          <w:tcPr>
            <w:tcW w:w="6820" w:type="dxa"/>
            <w:vAlign w:val="bottom"/>
            <w:tcBorders>
              <w:top w:val="single" w:sz="8" w:color="582C83"/>
            </w:tcBorders>
          </w:tcPr>
          <w:p>
            <w:pPr>
              <w:ind w:left="40"/>
              <w:spacing w:after="0"/>
              <w:rPr>
                <w:sz w:val="20"/>
                <w:szCs w:val="20"/>
                <w:color w:val="auto"/>
              </w:rPr>
            </w:pPr>
            <w:r>
              <w:rPr>
                <w:rFonts w:ascii="Arial" w:cs="Arial" w:eastAsia="Arial" w:hAnsi="Arial"/>
                <w:sz w:val="14"/>
                <w:szCs w:val="14"/>
                <w:color w:val="auto"/>
              </w:rPr>
              <w:t>The Company does not release the shares underlying DSUs until six months after the director ends his or</w:t>
            </w:r>
          </w:p>
        </w:tc>
      </w:tr>
      <w:tr>
        <w:trPr>
          <w:trHeight w:val="190"/>
        </w:trPr>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20" w:type="dxa"/>
            <w:vAlign w:val="bottom"/>
          </w:tcPr>
          <w:p>
            <w:pPr>
              <w:ind w:left="40"/>
              <w:spacing w:after="0"/>
              <w:rPr>
                <w:sz w:val="20"/>
                <w:szCs w:val="20"/>
                <w:color w:val="auto"/>
              </w:rPr>
            </w:pPr>
            <w:r>
              <w:rPr>
                <w:rFonts w:ascii="Arial" w:cs="Arial" w:eastAsia="Arial" w:hAnsi="Arial"/>
                <w:sz w:val="14"/>
                <w:szCs w:val="14"/>
                <w:color w:val="auto"/>
              </w:rPr>
              <w:t>her service as a director. The Company does not require that shares be held after distribution/issuance.</w:t>
            </w:r>
          </w:p>
        </w:tc>
      </w:tr>
      <w:tr>
        <w:trPr>
          <w:trHeight w:val="89"/>
        </w:trPr>
        <w:tc>
          <w:tcPr>
            <w:tcW w:w="2080" w:type="dxa"/>
            <w:vAlign w:val="bottom"/>
            <w:tcBorders>
              <w:bottom w:val="single" w:sz="8" w:color="582C83"/>
            </w:tcBorders>
          </w:tcPr>
          <w:p>
            <w:pPr>
              <w:spacing w:after="0"/>
              <w:rPr>
                <w:sz w:val="7"/>
                <w:szCs w:val="7"/>
                <w:color w:val="auto"/>
              </w:rPr>
            </w:pPr>
          </w:p>
        </w:tc>
        <w:tc>
          <w:tcPr>
            <w:tcW w:w="140" w:type="dxa"/>
            <w:vAlign w:val="bottom"/>
            <w:tcBorders>
              <w:bottom w:val="single" w:sz="8" w:color="582C83"/>
            </w:tcBorders>
          </w:tcPr>
          <w:p>
            <w:pPr>
              <w:spacing w:after="0"/>
              <w:rPr>
                <w:sz w:val="7"/>
                <w:szCs w:val="7"/>
                <w:color w:val="auto"/>
              </w:rPr>
            </w:pPr>
          </w:p>
        </w:tc>
        <w:tc>
          <w:tcPr>
            <w:tcW w:w="6820" w:type="dxa"/>
            <w:vAlign w:val="bottom"/>
            <w:tcBorders>
              <w:bottom w:val="single" w:sz="8" w:color="582C83"/>
            </w:tcBorders>
          </w:tcPr>
          <w:p>
            <w:pPr>
              <w:spacing w:after="0"/>
              <w:rPr>
                <w:sz w:val="7"/>
                <w:szCs w:val="7"/>
                <w:color w:val="auto"/>
              </w:rPr>
            </w:pPr>
          </w:p>
        </w:tc>
      </w:tr>
    </w:tbl>
    <w:p>
      <w:pPr>
        <w:spacing w:after="0" w:line="248"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If a non-employee director does not meet these ownership expectations, the Lead Independent Director will consider the non-employee director’s particular situation and may take action as deemed appropriate. As of March 11, 2026, each director serving for at least five years met or exceeded the ownership expectation.</w:t>
      </w:r>
    </w:p>
    <w:p>
      <w:pPr>
        <w:spacing w:after="0" w:line="236" w:lineRule="exact"/>
        <w:rPr>
          <w:sz w:val="20"/>
          <w:szCs w:val="20"/>
          <w:color w:val="auto"/>
        </w:rPr>
      </w:pPr>
    </w:p>
    <w:p>
      <w:pPr>
        <w:ind w:left="440" w:right="1860" w:hanging="363"/>
        <w:spacing w:after="0"/>
        <w:rPr>
          <w:sz w:val="20"/>
          <w:szCs w:val="20"/>
          <w:color w:val="auto"/>
        </w:rPr>
      </w:pPr>
      <w:r>
        <w:rPr>
          <w:sz w:val="1"/>
          <w:szCs w:val="1"/>
          <w:color w:val="auto"/>
        </w:rPr>
        <w:drawing>
          <wp:inline distT="0" distB="0" distL="0" distR="0">
            <wp:extent cx="162560" cy="16319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COMPANY MATCH FOR DIRECTOR CHARITABLE CONTRIBUTIONS</w:t>
      </w:r>
    </w:p>
    <w:p>
      <w:pPr>
        <w:spacing w:after="0" w:line="128" w:lineRule="exact"/>
        <w:rPr>
          <w:sz w:val="20"/>
          <w:szCs w:val="20"/>
          <w:color w:val="auto"/>
        </w:rPr>
      </w:pPr>
    </w:p>
    <w:p>
      <w:pPr>
        <w:jc w:val="both"/>
        <w:ind w:right="20"/>
        <w:spacing w:after="0" w:line="283" w:lineRule="auto"/>
        <w:rPr>
          <w:sz w:val="20"/>
          <w:szCs w:val="20"/>
          <w:color w:val="auto"/>
        </w:rPr>
      </w:pPr>
      <w:r>
        <w:rPr>
          <w:rFonts w:ascii="Arial" w:cs="Arial" w:eastAsia="Arial" w:hAnsi="Arial"/>
          <w:sz w:val="17"/>
          <w:szCs w:val="17"/>
          <w:color w:val="auto"/>
        </w:rPr>
        <w:t>Non-employee directors are eligible to participate in the Mondelēz International Foundation (the “Foundation”) Matching Gift Program. Each year, the Foundation will generally match up to $15,000 in contributions by a non-employee director to any 501(c)(3) nonprofit organization(s).</w:t>
      </w:r>
    </w:p>
    <w:p>
      <w:pPr>
        <w:spacing w:after="0" w:line="307"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6111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10375" cy="611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COMPENSATION OF NON-EMPLOYEE DIRECTORS</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2025 Non-Employee Director Compensation</w:t>
      </w: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256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9"/>
          <w:szCs w:val="29"/>
          <w:b w:val="1"/>
          <w:bCs w:val="1"/>
          <w:color w:val="auto"/>
        </w:rPr>
        <w:t xml:space="preserve"> 2025 NON-EMPLOYEE DIRECTOR COMPENSATION</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00" w:type="dxa"/>
            <w:vAlign w:val="bottom"/>
          </w:tcPr>
          <w:p>
            <w:pPr>
              <w:spacing w:after="0"/>
              <w:rPr>
                <w:sz w:val="15"/>
                <w:szCs w:val="15"/>
                <w:color w:val="auto"/>
              </w:rPr>
            </w:pPr>
          </w:p>
        </w:tc>
        <w:tc>
          <w:tcPr>
            <w:tcW w:w="2140" w:type="dxa"/>
            <w:vAlign w:val="bottom"/>
          </w:tcPr>
          <w:p>
            <w:pPr>
              <w:jc w:val="right"/>
              <w:ind w:right="308"/>
              <w:spacing w:after="0"/>
              <w:rPr>
                <w:sz w:val="20"/>
                <w:szCs w:val="20"/>
                <w:color w:val="auto"/>
              </w:rPr>
            </w:pPr>
            <w:r>
              <w:rPr>
                <w:rFonts w:ascii="Arial" w:cs="Arial" w:eastAsia="Arial" w:hAnsi="Arial"/>
                <w:sz w:val="14"/>
                <w:szCs w:val="14"/>
                <w:b w:val="1"/>
                <w:bCs w:val="1"/>
                <w:color w:val="auto"/>
              </w:rPr>
              <w:t>Fees Earned or</w:t>
            </w:r>
          </w:p>
        </w:tc>
        <w:tc>
          <w:tcPr>
            <w:tcW w:w="1780" w:type="dxa"/>
            <w:vAlign w:val="bottom"/>
          </w:tcPr>
          <w:p>
            <w:pPr>
              <w:spacing w:after="0"/>
              <w:rPr>
                <w:sz w:val="15"/>
                <w:szCs w:val="15"/>
                <w:color w:val="auto"/>
              </w:rPr>
            </w:pPr>
          </w:p>
        </w:tc>
        <w:tc>
          <w:tcPr>
            <w:tcW w:w="2100" w:type="dxa"/>
            <w:vAlign w:val="bottom"/>
          </w:tcPr>
          <w:p>
            <w:pPr>
              <w:jc w:val="right"/>
              <w:ind w:right="568"/>
              <w:spacing w:after="0"/>
              <w:rPr>
                <w:sz w:val="20"/>
                <w:szCs w:val="20"/>
                <w:color w:val="auto"/>
              </w:rPr>
            </w:pPr>
            <w:r>
              <w:rPr>
                <w:rFonts w:ascii="Arial" w:cs="Arial" w:eastAsia="Arial" w:hAnsi="Arial"/>
                <w:sz w:val="14"/>
                <w:szCs w:val="14"/>
                <w:b w:val="1"/>
                <w:bCs w:val="1"/>
                <w:color w:val="auto"/>
              </w:rPr>
              <w:t>All Other</w:t>
            </w:r>
          </w:p>
        </w:tc>
        <w:tc>
          <w:tcPr>
            <w:tcW w:w="1220" w:type="dxa"/>
            <w:vAlign w:val="bottom"/>
          </w:tcPr>
          <w:p>
            <w:pPr>
              <w:spacing w:after="0"/>
              <w:rPr>
                <w:sz w:val="15"/>
                <w:szCs w:val="15"/>
                <w:color w:val="auto"/>
              </w:rPr>
            </w:pPr>
          </w:p>
        </w:tc>
      </w:tr>
      <w:tr>
        <w:trPr>
          <w:trHeight w:val="205"/>
        </w:trPr>
        <w:tc>
          <w:tcPr>
            <w:tcW w:w="1800" w:type="dxa"/>
            <w:vAlign w:val="bottom"/>
          </w:tcPr>
          <w:p>
            <w:pPr>
              <w:spacing w:after="0"/>
              <w:rPr>
                <w:sz w:val="17"/>
                <w:szCs w:val="17"/>
                <w:color w:val="auto"/>
              </w:rPr>
            </w:pPr>
          </w:p>
        </w:tc>
        <w:tc>
          <w:tcPr>
            <w:tcW w:w="2140" w:type="dxa"/>
            <w:vAlign w:val="bottom"/>
          </w:tcPr>
          <w:p>
            <w:pPr>
              <w:jc w:val="right"/>
              <w:ind w:right="308"/>
              <w:spacing w:after="0" w:line="205" w:lineRule="exact"/>
              <w:rPr>
                <w:sz w:val="20"/>
                <w:szCs w:val="20"/>
                <w:color w:val="auto"/>
              </w:rPr>
            </w:pPr>
            <w:r>
              <w:rPr>
                <w:rFonts w:ascii="Arial" w:cs="Arial" w:eastAsia="Arial" w:hAnsi="Arial"/>
                <w:sz w:val="14"/>
                <w:szCs w:val="14"/>
                <w:b w:val="1"/>
                <w:bCs w:val="1"/>
                <w:color w:val="auto"/>
              </w:rPr>
              <w:t>Paid in Cash</w:t>
            </w:r>
            <w:r>
              <w:rPr>
                <w:rFonts w:ascii="Arial" w:cs="Arial" w:eastAsia="Arial" w:hAnsi="Arial"/>
                <w:sz w:val="18"/>
                <w:szCs w:val="18"/>
                <w:b w:val="1"/>
                <w:bCs w:val="1"/>
                <w:color w:val="auto"/>
                <w:vertAlign w:val="superscript"/>
              </w:rPr>
              <w:t>(1)</w:t>
            </w:r>
          </w:p>
        </w:tc>
        <w:tc>
          <w:tcPr>
            <w:tcW w:w="1780" w:type="dxa"/>
            <w:vAlign w:val="bottom"/>
          </w:tcPr>
          <w:p>
            <w:pPr>
              <w:jc w:val="right"/>
              <w:ind w:right="268"/>
              <w:spacing w:after="0" w:line="205" w:lineRule="exact"/>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(2)</w:t>
            </w:r>
          </w:p>
        </w:tc>
        <w:tc>
          <w:tcPr>
            <w:tcW w:w="2100" w:type="dxa"/>
            <w:vAlign w:val="bottom"/>
          </w:tcPr>
          <w:p>
            <w:pPr>
              <w:jc w:val="right"/>
              <w:ind w:right="568"/>
              <w:spacing w:after="0" w:line="205"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8"/>
                <w:szCs w:val="18"/>
                <w:b w:val="1"/>
                <w:bCs w:val="1"/>
                <w:color w:val="auto"/>
                <w:vertAlign w:val="superscript"/>
              </w:rPr>
              <w:t>(3)</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65"/>
        </w:trPr>
        <w:tc>
          <w:tcPr>
            <w:tcW w:w="1800" w:type="dxa"/>
            <w:vAlign w:val="bottom"/>
            <w:tcBorders>
              <w:bottom w:val="single" w:sz="8" w:color="582C83"/>
            </w:tcBorders>
          </w:tcPr>
          <w:p>
            <w:pPr>
              <w:ind w:left="60"/>
              <w:spacing w:after="0" w:line="158" w:lineRule="exact"/>
              <w:rPr>
                <w:sz w:val="20"/>
                <w:szCs w:val="20"/>
                <w:color w:val="auto"/>
              </w:rPr>
            </w:pPr>
            <w:r>
              <w:rPr>
                <w:rFonts w:ascii="Arial" w:cs="Arial" w:eastAsia="Arial" w:hAnsi="Arial"/>
                <w:sz w:val="14"/>
                <w:szCs w:val="14"/>
                <w:b w:val="1"/>
                <w:bCs w:val="1"/>
                <w:color w:val="auto"/>
              </w:rPr>
              <w:t>Name</w:t>
            </w:r>
          </w:p>
        </w:tc>
        <w:tc>
          <w:tcPr>
            <w:tcW w:w="2140" w:type="dxa"/>
            <w:vAlign w:val="bottom"/>
            <w:tcBorders>
              <w:bottom w:val="single" w:sz="8" w:color="582C83"/>
            </w:tcBorders>
          </w:tcPr>
          <w:p>
            <w:pPr>
              <w:jc w:val="right"/>
              <w:ind w:right="308"/>
              <w:spacing w:after="0" w:line="158" w:lineRule="exact"/>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582C83"/>
            </w:tcBorders>
          </w:tcPr>
          <w:p>
            <w:pPr>
              <w:jc w:val="right"/>
              <w:ind w:right="268"/>
              <w:spacing w:after="0" w:line="158" w:lineRule="exact"/>
              <w:rPr>
                <w:sz w:val="20"/>
                <w:szCs w:val="20"/>
                <w:color w:val="auto"/>
              </w:rPr>
            </w:pPr>
            <w:r>
              <w:rPr>
                <w:rFonts w:ascii="Arial" w:cs="Arial" w:eastAsia="Arial" w:hAnsi="Arial"/>
                <w:sz w:val="14"/>
                <w:szCs w:val="14"/>
                <w:b w:val="1"/>
                <w:bCs w:val="1"/>
                <w:color w:val="auto"/>
              </w:rPr>
              <w:t>($)</w:t>
            </w:r>
          </w:p>
        </w:tc>
        <w:tc>
          <w:tcPr>
            <w:tcW w:w="2100" w:type="dxa"/>
            <w:vAlign w:val="bottom"/>
            <w:tcBorders>
              <w:bottom w:val="single" w:sz="8" w:color="582C83"/>
            </w:tcBorders>
          </w:tcPr>
          <w:p>
            <w:pPr>
              <w:jc w:val="right"/>
              <w:ind w:right="568"/>
              <w:spacing w:after="0" w:line="158" w:lineRule="exact"/>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582C83"/>
            </w:tcBorders>
          </w:tcPr>
          <w:p>
            <w:pPr>
              <w:jc w:val="right"/>
              <w:spacing w:after="0" w:line="158" w:lineRule="exact"/>
              <w:rPr>
                <w:sz w:val="20"/>
                <w:szCs w:val="20"/>
                <w:color w:val="auto"/>
              </w:rPr>
            </w:pPr>
            <w:r>
              <w:rPr>
                <w:rFonts w:ascii="Arial" w:cs="Arial" w:eastAsia="Arial" w:hAnsi="Arial"/>
                <w:sz w:val="14"/>
                <w:szCs w:val="14"/>
                <w:b w:val="1"/>
                <w:bCs w:val="1"/>
                <w:color w:val="auto"/>
              </w:rPr>
              <w:t>($)</w:t>
            </w:r>
          </w:p>
        </w:tc>
      </w:tr>
      <w:tr>
        <w:trPr>
          <w:trHeight w:val="216"/>
        </w:trPr>
        <w:tc>
          <w:tcPr>
            <w:tcW w:w="1800" w:type="dxa"/>
            <w:vAlign w:val="bottom"/>
            <w:tcBorders>
              <w:bottom w:val="single" w:sz="8" w:color="5E2D91"/>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Bunch, Charles</w:t>
            </w:r>
            <w:r>
              <w:rPr>
                <w:rFonts w:ascii="Arial" w:cs="Arial" w:eastAsia="Arial" w:hAnsi="Arial"/>
                <w:sz w:val="18"/>
                <w:szCs w:val="18"/>
                <w:b w:val="1"/>
                <w:bCs w:val="1"/>
                <w:color w:val="auto"/>
                <w:vertAlign w:val="superscript"/>
              </w:rPr>
              <w:t>(4)</w:t>
            </w:r>
          </w:p>
        </w:tc>
        <w:tc>
          <w:tcPr>
            <w:tcW w:w="2140" w:type="dxa"/>
            <w:vAlign w:val="bottom"/>
            <w:tcBorders>
              <w:bottom w:val="single" w:sz="8" w:color="582C83"/>
            </w:tcBorders>
            <w:shd w:val="clear" w:color="auto" w:fill="E0DBEA"/>
          </w:tcPr>
          <w:p>
            <w:pPr>
              <w:ind w:left="1320"/>
              <w:spacing w:after="0"/>
              <w:rPr>
                <w:sz w:val="20"/>
                <w:szCs w:val="20"/>
                <w:color w:val="auto"/>
              </w:rPr>
            </w:pPr>
            <w:r>
              <w:rPr>
                <w:rFonts w:ascii="Arial" w:cs="Arial" w:eastAsia="Arial" w:hAnsi="Arial"/>
                <w:sz w:val="14"/>
                <w:szCs w:val="14"/>
                <w:color w:val="auto"/>
              </w:rPr>
              <w:t>52,665</w:t>
            </w:r>
          </w:p>
        </w:tc>
        <w:tc>
          <w:tcPr>
            <w:tcW w:w="1780" w:type="dxa"/>
            <w:vAlign w:val="bottom"/>
            <w:tcBorders>
              <w:bottom w:val="single" w:sz="8" w:color="582C83"/>
            </w:tcBorders>
            <w:shd w:val="clear" w:color="auto" w:fill="E0DBEA"/>
          </w:tcPr>
          <w:p>
            <w:pPr>
              <w:jc w:val="right"/>
              <w:ind w:right="288"/>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582C83"/>
            </w:tcBorders>
            <w:shd w:val="clear" w:color="auto" w:fill="E0DBEA"/>
          </w:tcPr>
          <w:p>
            <w:pPr>
              <w:jc w:val="right"/>
              <w:ind w:right="588"/>
              <w:spacing w:after="0"/>
              <w:rPr>
                <w:sz w:val="20"/>
                <w:szCs w:val="20"/>
                <w:color w:val="auto"/>
              </w:rPr>
            </w:pPr>
            <w:r>
              <w:rPr>
                <w:rFonts w:ascii="Arial" w:cs="Arial" w:eastAsia="Arial" w:hAnsi="Arial"/>
                <w:sz w:val="14"/>
                <w:szCs w:val="14"/>
                <w:color w:val="auto"/>
              </w:rPr>
              <w:t>15,000</w:t>
            </w:r>
          </w:p>
        </w:tc>
        <w:tc>
          <w:tcPr>
            <w:tcW w:w="12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67,665</w:t>
            </w:r>
          </w:p>
        </w:tc>
      </w:tr>
      <w:tr>
        <w:trPr>
          <w:trHeight w:val="209"/>
        </w:trPr>
        <w:tc>
          <w:tcPr>
            <w:tcW w:w="1800" w:type="dxa"/>
            <w:vAlign w:val="bottom"/>
            <w:tcBorders>
              <w:bottom w:val="single" w:sz="8" w:color="5E2D91"/>
            </w:tcBorders>
          </w:tcPr>
          <w:p>
            <w:pPr>
              <w:ind w:left="60"/>
              <w:spacing w:after="0"/>
              <w:rPr>
                <w:sz w:val="20"/>
                <w:szCs w:val="20"/>
                <w:color w:val="auto"/>
              </w:rPr>
            </w:pPr>
            <w:r>
              <w:rPr>
                <w:rFonts w:ascii="Arial" w:cs="Arial" w:eastAsia="Arial" w:hAnsi="Arial"/>
                <w:sz w:val="14"/>
                <w:szCs w:val="14"/>
                <w:b w:val="1"/>
                <w:bCs w:val="1"/>
                <w:color w:val="auto"/>
              </w:rPr>
              <w:t>Cousin, Ertharin</w:t>
            </w:r>
          </w:p>
        </w:tc>
        <w:tc>
          <w:tcPr>
            <w:tcW w:w="2140" w:type="dxa"/>
            <w:vAlign w:val="bottom"/>
            <w:tcBorders>
              <w:bottom w:val="single" w:sz="8" w:color="582C83"/>
            </w:tcBorders>
          </w:tcPr>
          <w:p>
            <w:pPr>
              <w:ind w:left="1240"/>
              <w:spacing w:after="0"/>
              <w:rPr>
                <w:sz w:val="20"/>
                <w:szCs w:val="20"/>
                <w:color w:val="auto"/>
              </w:rPr>
            </w:pPr>
            <w:r>
              <w:rPr>
                <w:rFonts w:ascii="Arial" w:cs="Arial" w:eastAsia="Arial" w:hAnsi="Arial"/>
                <w:sz w:val="14"/>
                <w:szCs w:val="14"/>
                <w:color w:val="auto"/>
              </w:rPr>
              <w:t>115,000</w:t>
            </w:r>
          </w:p>
        </w:tc>
        <w:tc>
          <w:tcPr>
            <w:tcW w:w="1780" w:type="dxa"/>
            <w:vAlign w:val="bottom"/>
            <w:tcBorders>
              <w:bottom w:val="single" w:sz="8" w:color="582C83"/>
            </w:tcBorders>
          </w:tcPr>
          <w:p>
            <w:pPr>
              <w:jc w:val="right"/>
              <w:ind w:right="288"/>
              <w:spacing w:after="0"/>
              <w:rPr>
                <w:sz w:val="20"/>
                <w:szCs w:val="20"/>
                <w:color w:val="auto"/>
              </w:rPr>
            </w:pPr>
            <w:r>
              <w:rPr>
                <w:rFonts w:ascii="Arial" w:cs="Arial" w:eastAsia="Arial" w:hAnsi="Arial"/>
                <w:sz w:val="14"/>
                <w:szCs w:val="14"/>
                <w:color w:val="auto"/>
              </w:rPr>
              <w:t>196,367</w:t>
            </w:r>
          </w:p>
        </w:tc>
        <w:tc>
          <w:tcPr>
            <w:tcW w:w="2100" w:type="dxa"/>
            <w:vAlign w:val="bottom"/>
            <w:tcBorders>
              <w:bottom w:val="single" w:sz="8" w:color="582C83"/>
            </w:tcBorders>
          </w:tcPr>
          <w:p>
            <w:pPr>
              <w:jc w:val="right"/>
              <w:ind w:right="5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82C83"/>
            </w:tcBorders>
          </w:tcPr>
          <w:p>
            <w:pPr>
              <w:ind w:left="640"/>
              <w:spacing w:after="0"/>
              <w:rPr>
                <w:sz w:val="20"/>
                <w:szCs w:val="20"/>
                <w:color w:val="auto"/>
              </w:rPr>
            </w:pPr>
            <w:r>
              <w:rPr>
                <w:rFonts w:ascii="Arial" w:cs="Arial" w:eastAsia="Arial" w:hAnsi="Arial"/>
                <w:sz w:val="14"/>
                <w:szCs w:val="14"/>
                <w:color w:val="auto"/>
              </w:rPr>
              <w:t>311,367</w:t>
            </w:r>
          </w:p>
        </w:tc>
      </w:tr>
      <w:tr>
        <w:trPr>
          <w:trHeight w:val="209"/>
        </w:trPr>
        <w:tc>
          <w:tcPr>
            <w:tcW w:w="1800" w:type="dxa"/>
            <w:vAlign w:val="bottom"/>
            <w:tcBorders>
              <w:bottom w:val="single" w:sz="8" w:color="5E2D91"/>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´t Hart, Cees</w:t>
            </w:r>
          </w:p>
        </w:tc>
        <w:tc>
          <w:tcPr>
            <w:tcW w:w="2140" w:type="dxa"/>
            <w:vAlign w:val="bottom"/>
            <w:tcBorders>
              <w:bottom w:val="single" w:sz="8" w:color="582C83"/>
            </w:tcBorders>
            <w:shd w:val="clear" w:color="auto" w:fill="E0DBEA"/>
          </w:tcPr>
          <w:p>
            <w:pPr>
              <w:ind w:left="1240"/>
              <w:spacing w:after="0"/>
              <w:rPr>
                <w:sz w:val="20"/>
                <w:szCs w:val="20"/>
                <w:color w:val="auto"/>
              </w:rPr>
            </w:pPr>
            <w:r>
              <w:rPr>
                <w:rFonts w:ascii="Arial" w:cs="Arial" w:eastAsia="Arial" w:hAnsi="Arial"/>
                <w:sz w:val="14"/>
                <w:szCs w:val="14"/>
                <w:color w:val="auto"/>
              </w:rPr>
              <w:t>127,198</w:t>
            </w:r>
          </w:p>
        </w:tc>
        <w:tc>
          <w:tcPr>
            <w:tcW w:w="1780" w:type="dxa"/>
            <w:vAlign w:val="bottom"/>
            <w:tcBorders>
              <w:bottom w:val="single" w:sz="8" w:color="582C83"/>
            </w:tcBorders>
            <w:shd w:val="clear" w:color="auto" w:fill="E0DBEA"/>
          </w:tcPr>
          <w:p>
            <w:pPr>
              <w:jc w:val="right"/>
              <w:ind w:right="288"/>
              <w:spacing w:after="0"/>
              <w:rPr>
                <w:sz w:val="20"/>
                <w:szCs w:val="20"/>
                <w:color w:val="auto"/>
              </w:rPr>
            </w:pPr>
            <w:r>
              <w:rPr>
                <w:rFonts w:ascii="Arial" w:cs="Arial" w:eastAsia="Arial" w:hAnsi="Arial"/>
                <w:sz w:val="14"/>
                <w:szCs w:val="14"/>
                <w:color w:val="auto"/>
              </w:rPr>
              <w:t>196,367</w:t>
            </w:r>
          </w:p>
        </w:tc>
        <w:tc>
          <w:tcPr>
            <w:tcW w:w="2100" w:type="dxa"/>
            <w:vAlign w:val="bottom"/>
            <w:tcBorders>
              <w:bottom w:val="single" w:sz="8" w:color="582C83"/>
            </w:tcBorders>
            <w:shd w:val="clear" w:color="auto" w:fill="E0DBEA"/>
          </w:tcPr>
          <w:p>
            <w:pPr>
              <w:jc w:val="right"/>
              <w:ind w:right="5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82C83"/>
            </w:tcBorders>
            <w:shd w:val="clear" w:color="auto" w:fill="E0DBEA"/>
          </w:tcPr>
          <w:p>
            <w:pPr>
              <w:ind w:left="640"/>
              <w:spacing w:after="0"/>
              <w:rPr>
                <w:sz w:val="20"/>
                <w:szCs w:val="20"/>
                <w:color w:val="auto"/>
              </w:rPr>
            </w:pPr>
            <w:r>
              <w:rPr>
                <w:rFonts w:ascii="Arial" w:cs="Arial" w:eastAsia="Arial" w:hAnsi="Arial"/>
                <w:sz w:val="14"/>
                <w:szCs w:val="14"/>
                <w:color w:val="auto"/>
              </w:rPr>
              <w:t>323,565</w:t>
            </w:r>
          </w:p>
        </w:tc>
      </w:tr>
      <w:tr>
        <w:trPr>
          <w:trHeight w:val="211"/>
        </w:trPr>
        <w:tc>
          <w:tcPr>
            <w:tcW w:w="1800" w:type="dxa"/>
            <w:vAlign w:val="bottom"/>
            <w:tcBorders>
              <w:bottom w:val="single" w:sz="8" w:color="5E2D91"/>
            </w:tcBorders>
          </w:tcPr>
          <w:p>
            <w:pPr>
              <w:ind w:left="60"/>
              <w:spacing w:after="0"/>
              <w:rPr>
                <w:sz w:val="20"/>
                <w:szCs w:val="20"/>
                <w:color w:val="auto"/>
              </w:rPr>
            </w:pPr>
            <w:r>
              <w:rPr>
                <w:rFonts w:ascii="Arial" w:cs="Arial" w:eastAsia="Arial" w:hAnsi="Arial"/>
                <w:sz w:val="14"/>
                <w:szCs w:val="14"/>
                <w:b w:val="1"/>
                <w:bCs w:val="1"/>
                <w:color w:val="auto"/>
              </w:rPr>
              <w:t>McKinstry, Nancy</w:t>
            </w:r>
            <w:r>
              <w:rPr>
                <w:rFonts w:ascii="Arial" w:cs="Arial" w:eastAsia="Arial" w:hAnsi="Arial"/>
                <w:sz w:val="18"/>
                <w:szCs w:val="18"/>
                <w:b w:val="1"/>
                <w:bCs w:val="1"/>
                <w:color w:val="auto"/>
                <w:vertAlign w:val="superscript"/>
              </w:rPr>
              <w:t>(5)</w:t>
            </w:r>
          </w:p>
        </w:tc>
        <w:tc>
          <w:tcPr>
            <w:tcW w:w="2140" w:type="dxa"/>
            <w:vAlign w:val="bottom"/>
            <w:tcBorders>
              <w:bottom w:val="single" w:sz="8" w:color="582C83"/>
            </w:tcBorders>
          </w:tcPr>
          <w:p>
            <w:pPr>
              <w:ind w:left="1320"/>
              <w:spacing w:after="0"/>
              <w:rPr>
                <w:sz w:val="20"/>
                <w:szCs w:val="20"/>
                <w:color w:val="auto"/>
              </w:rPr>
            </w:pPr>
            <w:r>
              <w:rPr>
                <w:rFonts w:ascii="Arial" w:cs="Arial" w:eastAsia="Arial" w:hAnsi="Arial"/>
                <w:sz w:val="14"/>
                <w:szCs w:val="14"/>
                <w:color w:val="auto"/>
              </w:rPr>
              <w:t>70,453</w:t>
            </w:r>
          </w:p>
        </w:tc>
        <w:tc>
          <w:tcPr>
            <w:tcW w:w="1780" w:type="dxa"/>
            <w:vAlign w:val="bottom"/>
            <w:tcBorders>
              <w:bottom w:val="single" w:sz="8" w:color="582C83"/>
            </w:tcBorders>
          </w:tcPr>
          <w:p>
            <w:pPr>
              <w:jc w:val="right"/>
              <w:ind w:right="288"/>
              <w:spacing w:after="0"/>
              <w:rPr>
                <w:sz w:val="20"/>
                <w:szCs w:val="20"/>
                <w:color w:val="auto"/>
              </w:rPr>
            </w:pPr>
            <w:r>
              <w:rPr>
                <w:rFonts w:ascii="Arial" w:cs="Arial" w:eastAsia="Arial" w:hAnsi="Arial"/>
                <w:sz w:val="14"/>
                <w:szCs w:val="14"/>
                <w:color w:val="auto"/>
              </w:rPr>
              <w:t>196,367</w:t>
            </w:r>
          </w:p>
        </w:tc>
        <w:tc>
          <w:tcPr>
            <w:tcW w:w="2100" w:type="dxa"/>
            <w:vAlign w:val="bottom"/>
            <w:tcBorders>
              <w:bottom w:val="single" w:sz="8" w:color="582C83"/>
            </w:tcBorders>
          </w:tcPr>
          <w:p>
            <w:pPr>
              <w:jc w:val="right"/>
              <w:ind w:right="5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82C83"/>
            </w:tcBorders>
          </w:tcPr>
          <w:p>
            <w:pPr>
              <w:ind w:left="640"/>
              <w:spacing w:after="0"/>
              <w:rPr>
                <w:sz w:val="20"/>
                <w:szCs w:val="20"/>
                <w:color w:val="auto"/>
              </w:rPr>
            </w:pPr>
            <w:r>
              <w:rPr>
                <w:rFonts w:ascii="Arial" w:cs="Arial" w:eastAsia="Arial" w:hAnsi="Arial"/>
                <w:sz w:val="14"/>
                <w:szCs w:val="14"/>
                <w:color w:val="auto"/>
              </w:rPr>
              <w:t>266,820</w:t>
            </w:r>
          </w:p>
        </w:tc>
      </w:tr>
      <w:tr>
        <w:trPr>
          <w:trHeight w:val="208"/>
        </w:trPr>
        <w:tc>
          <w:tcPr>
            <w:tcW w:w="1800" w:type="dxa"/>
            <w:vAlign w:val="bottom"/>
            <w:tcBorders>
              <w:bottom w:val="single" w:sz="8" w:color="5E2D91"/>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McNamara, Brian</w:t>
            </w:r>
          </w:p>
        </w:tc>
        <w:tc>
          <w:tcPr>
            <w:tcW w:w="2140" w:type="dxa"/>
            <w:vAlign w:val="bottom"/>
            <w:tcBorders>
              <w:bottom w:val="single" w:sz="8" w:color="582C83"/>
            </w:tcBorders>
            <w:shd w:val="clear" w:color="auto" w:fill="E0DBEA"/>
          </w:tcPr>
          <w:p>
            <w:pPr>
              <w:ind w:left="1240"/>
              <w:spacing w:after="0"/>
              <w:rPr>
                <w:sz w:val="20"/>
                <w:szCs w:val="20"/>
                <w:color w:val="auto"/>
              </w:rPr>
            </w:pPr>
            <w:r>
              <w:rPr>
                <w:rFonts w:ascii="Arial" w:cs="Arial" w:eastAsia="Arial" w:hAnsi="Arial"/>
                <w:sz w:val="14"/>
                <w:szCs w:val="14"/>
                <w:color w:val="auto"/>
              </w:rPr>
              <w:t>115,000</w:t>
            </w:r>
          </w:p>
        </w:tc>
        <w:tc>
          <w:tcPr>
            <w:tcW w:w="1780" w:type="dxa"/>
            <w:vAlign w:val="bottom"/>
            <w:tcBorders>
              <w:bottom w:val="single" w:sz="8" w:color="582C83"/>
            </w:tcBorders>
            <w:shd w:val="clear" w:color="auto" w:fill="E0DBEA"/>
          </w:tcPr>
          <w:p>
            <w:pPr>
              <w:jc w:val="right"/>
              <w:ind w:right="288"/>
              <w:spacing w:after="0"/>
              <w:rPr>
                <w:sz w:val="20"/>
                <w:szCs w:val="20"/>
                <w:color w:val="auto"/>
              </w:rPr>
            </w:pPr>
            <w:r>
              <w:rPr>
                <w:rFonts w:ascii="Arial" w:cs="Arial" w:eastAsia="Arial" w:hAnsi="Arial"/>
                <w:sz w:val="14"/>
                <w:szCs w:val="14"/>
                <w:color w:val="auto"/>
              </w:rPr>
              <w:t>196,367</w:t>
            </w:r>
          </w:p>
        </w:tc>
        <w:tc>
          <w:tcPr>
            <w:tcW w:w="2100" w:type="dxa"/>
            <w:vAlign w:val="bottom"/>
            <w:tcBorders>
              <w:bottom w:val="single" w:sz="8" w:color="582C83"/>
            </w:tcBorders>
            <w:shd w:val="clear" w:color="auto" w:fill="E0DBEA"/>
          </w:tcPr>
          <w:p>
            <w:pPr>
              <w:jc w:val="right"/>
              <w:ind w:right="5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82C83"/>
            </w:tcBorders>
            <w:shd w:val="clear" w:color="auto" w:fill="E0DBEA"/>
          </w:tcPr>
          <w:p>
            <w:pPr>
              <w:ind w:left="640"/>
              <w:spacing w:after="0"/>
              <w:rPr>
                <w:sz w:val="20"/>
                <w:szCs w:val="20"/>
                <w:color w:val="auto"/>
              </w:rPr>
            </w:pPr>
            <w:r>
              <w:rPr>
                <w:rFonts w:ascii="Arial" w:cs="Arial" w:eastAsia="Arial" w:hAnsi="Arial"/>
                <w:sz w:val="14"/>
                <w:szCs w:val="14"/>
                <w:color w:val="auto"/>
              </w:rPr>
              <w:t>311,367</w:t>
            </w:r>
          </w:p>
        </w:tc>
      </w:tr>
      <w:tr>
        <w:trPr>
          <w:trHeight w:val="209"/>
        </w:trPr>
        <w:tc>
          <w:tcPr>
            <w:tcW w:w="1800" w:type="dxa"/>
            <w:vAlign w:val="bottom"/>
            <w:tcBorders>
              <w:bottom w:val="single" w:sz="8" w:color="5E2D91"/>
            </w:tcBorders>
          </w:tcPr>
          <w:p>
            <w:pPr>
              <w:ind w:left="60"/>
              <w:spacing w:after="0"/>
              <w:rPr>
                <w:sz w:val="20"/>
                <w:szCs w:val="20"/>
                <w:color w:val="auto"/>
              </w:rPr>
            </w:pPr>
            <w:r>
              <w:rPr>
                <w:rFonts w:ascii="Arial" w:cs="Arial" w:eastAsia="Arial" w:hAnsi="Arial"/>
                <w:sz w:val="14"/>
                <w:szCs w:val="14"/>
                <w:b w:val="1"/>
                <w:bCs w:val="1"/>
                <w:color w:val="auto"/>
              </w:rPr>
              <w:t>Mesquita, Jorge</w:t>
            </w:r>
          </w:p>
        </w:tc>
        <w:tc>
          <w:tcPr>
            <w:tcW w:w="2140" w:type="dxa"/>
            <w:vAlign w:val="bottom"/>
            <w:tcBorders>
              <w:bottom w:val="single" w:sz="8" w:color="582C83"/>
            </w:tcBorders>
          </w:tcPr>
          <w:p>
            <w:pPr>
              <w:ind w:left="1240"/>
              <w:spacing w:after="0"/>
              <w:rPr>
                <w:sz w:val="20"/>
                <w:szCs w:val="20"/>
                <w:color w:val="auto"/>
              </w:rPr>
            </w:pPr>
            <w:r>
              <w:rPr>
                <w:rFonts w:ascii="Arial" w:cs="Arial" w:eastAsia="Arial" w:hAnsi="Arial"/>
                <w:sz w:val="14"/>
                <w:szCs w:val="14"/>
                <w:color w:val="auto"/>
              </w:rPr>
              <w:t>115,000</w:t>
            </w:r>
          </w:p>
        </w:tc>
        <w:tc>
          <w:tcPr>
            <w:tcW w:w="1780" w:type="dxa"/>
            <w:vAlign w:val="bottom"/>
            <w:tcBorders>
              <w:bottom w:val="single" w:sz="8" w:color="582C83"/>
            </w:tcBorders>
          </w:tcPr>
          <w:p>
            <w:pPr>
              <w:jc w:val="right"/>
              <w:ind w:right="288"/>
              <w:spacing w:after="0"/>
              <w:rPr>
                <w:sz w:val="20"/>
                <w:szCs w:val="20"/>
                <w:color w:val="auto"/>
              </w:rPr>
            </w:pPr>
            <w:r>
              <w:rPr>
                <w:rFonts w:ascii="Arial" w:cs="Arial" w:eastAsia="Arial" w:hAnsi="Arial"/>
                <w:sz w:val="14"/>
                <w:szCs w:val="14"/>
                <w:color w:val="auto"/>
              </w:rPr>
              <w:t>196,367</w:t>
            </w:r>
          </w:p>
        </w:tc>
        <w:tc>
          <w:tcPr>
            <w:tcW w:w="2100" w:type="dxa"/>
            <w:vAlign w:val="bottom"/>
            <w:tcBorders>
              <w:bottom w:val="single" w:sz="8" w:color="582C83"/>
            </w:tcBorders>
          </w:tcPr>
          <w:p>
            <w:pPr>
              <w:jc w:val="right"/>
              <w:ind w:right="5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82C83"/>
            </w:tcBorders>
          </w:tcPr>
          <w:p>
            <w:pPr>
              <w:ind w:left="640"/>
              <w:spacing w:after="0"/>
              <w:rPr>
                <w:sz w:val="20"/>
                <w:szCs w:val="20"/>
                <w:color w:val="auto"/>
              </w:rPr>
            </w:pPr>
            <w:r>
              <w:rPr>
                <w:rFonts w:ascii="Arial" w:cs="Arial" w:eastAsia="Arial" w:hAnsi="Arial"/>
                <w:sz w:val="14"/>
                <w:szCs w:val="14"/>
                <w:color w:val="auto"/>
              </w:rPr>
              <w:t>311,367</w:t>
            </w:r>
          </w:p>
        </w:tc>
      </w:tr>
      <w:tr>
        <w:trPr>
          <w:trHeight w:val="211"/>
        </w:trPr>
        <w:tc>
          <w:tcPr>
            <w:tcW w:w="1800" w:type="dxa"/>
            <w:vAlign w:val="bottom"/>
            <w:tcBorders>
              <w:bottom w:val="single" w:sz="8" w:color="5E2D91"/>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Mukherjee, Anindita</w:t>
            </w:r>
            <w:r>
              <w:rPr>
                <w:rFonts w:ascii="Arial" w:cs="Arial" w:eastAsia="Arial" w:hAnsi="Arial"/>
                <w:sz w:val="18"/>
                <w:szCs w:val="18"/>
                <w:b w:val="1"/>
                <w:bCs w:val="1"/>
                <w:color w:val="auto"/>
                <w:vertAlign w:val="superscript"/>
              </w:rPr>
              <w:t>(4)</w:t>
            </w:r>
          </w:p>
        </w:tc>
        <w:tc>
          <w:tcPr>
            <w:tcW w:w="2140" w:type="dxa"/>
            <w:vAlign w:val="bottom"/>
            <w:tcBorders>
              <w:bottom w:val="single" w:sz="8" w:color="582C83"/>
            </w:tcBorders>
            <w:shd w:val="clear" w:color="auto" w:fill="E0DBEA"/>
          </w:tcPr>
          <w:p>
            <w:pPr>
              <w:ind w:left="1320"/>
              <w:spacing w:after="0"/>
              <w:rPr>
                <w:sz w:val="20"/>
                <w:szCs w:val="20"/>
                <w:color w:val="auto"/>
              </w:rPr>
            </w:pPr>
            <w:r>
              <w:rPr>
                <w:rFonts w:ascii="Arial" w:cs="Arial" w:eastAsia="Arial" w:hAnsi="Arial"/>
                <w:sz w:val="14"/>
                <w:szCs w:val="14"/>
                <w:color w:val="auto"/>
              </w:rPr>
              <w:t>44,863</w:t>
            </w:r>
          </w:p>
        </w:tc>
        <w:tc>
          <w:tcPr>
            <w:tcW w:w="1780" w:type="dxa"/>
            <w:vAlign w:val="bottom"/>
            <w:tcBorders>
              <w:bottom w:val="single" w:sz="8" w:color="582C83"/>
            </w:tcBorders>
            <w:shd w:val="clear" w:color="auto" w:fill="E0DBEA"/>
          </w:tcPr>
          <w:p>
            <w:pPr>
              <w:jc w:val="right"/>
              <w:ind w:right="288"/>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582C83"/>
            </w:tcBorders>
            <w:shd w:val="clear" w:color="auto" w:fill="E0DBEA"/>
          </w:tcPr>
          <w:p>
            <w:pPr>
              <w:jc w:val="right"/>
              <w:ind w:right="5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44,863</w:t>
            </w:r>
          </w:p>
        </w:tc>
      </w:tr>
      <w:tr>
        <w:trPr>
          <w:trHeight w:val="208"/>
        </w:trPr>
        <w:tc>
          <w:tcPr>
            <w:tcW w:w="1800" w:type="dxa"/>
            <w:vAlign w:val="bottom"/>
            <w:tcBorders>
              <w:bottom w:val="single" w:sz="8" w:color="5E2D91"/>
            </w:tcBorders>
          </w:tcPr>
          <w:p>
            <w:pPr>
              <w:ind w:left="60"/>
              <w:spacing w:after="0"/>
              <w:rPr>
                <w:sz w:val="20"/>
                <w:szCs w:val="20"/>
                <w:color w:val="auto"/>
              </w:rPr>
            </w:pPr>
            <w:r>
              <w:rPr>
                <w:rFonts w:ascii="Arial" w:cs="Arial" w:eastAsia="Arial" w:hAnsi="Arial"/>
                <w:sz w:val="14"/>
                <w:szCs w:val="14"/>
                <w:b w:val="1"/>
                <w:bCs w:val="1"/>
                <w:color w:val="auto"/>
              </w:rPr>
              <w:t>Nielsen, Jane</w:t>
            </w:r>
          </w:p>
        </w:tc>
        <w:tc>
          <w:tcPr>
            <w:tcW w:w="2140" w:type="dxa"/>
            <w:vAlign w:val="bottom"/>
            <w:tcBorders>
              <w:bottom w:val="single" w:sz="8" w:color="582C83"/>
            </w:tcBorders>
          </w:tcPr>
          <w:p>
            <w:pPr>
              <w:ind w:left="1240"/>
              <w:spacing w:after="0"/>
              <w:rPr>
                <w:sz w:val="20"/>
                <w:szCs w:val="20"/>
                <w:color w:val="auto"/>
              </w:rPr>
            </w:pPr>
            <w:r>
              <w:rPr>
                <w:rFonts w:ascii="Arial" w:cs="Arial" w:eastAsia="Arial" w:hAnsi="Arial"/>
                <w:sz w:val="14"/>
                <w:szCs w:val="14"/>
                <w:color w:val="auto"/>
              </w:rPr>
              <w:t>144,148</w:t>
            </w:r>
          </w:p>
        </w:tc>
        <w:tc>
          <w:tcPr>
            <w:tcW w:w="1780" w:type="dxa"/>
            <w:vAlign w:val="bottom"/>
            <w:tcBorders>
              <w:bottom w:val="single" w:sz="8" w:color="582C83"/>
            </w:tcBorders>
          </w:tcPr>
          <w:p>
            <w:pPr>
              <w:jc w:val="right"/>
              <w:ind w:right="288"/>
              <w:spacing w:after="0"/>
              <w:rPr>
                <w:sz w:val="20"/>
                <w:szCs w:val="20"/>
                <w:color w:val="auto"/>
              </w:rPr>
            </w:pPr>
            <w:r>
              <w:rPr>
                <w:rFonts w:ascii="Arial" w:cs="Arial" w:eastAsia="Arial" w:hAnsi="Arial"/>
                <w:sz w:val="14"/>
                <w:szCs w:val="14"/>
                <w:color w:val="auto"/>
              </w:rPr>
              <w:t>196,367</w:t>
            </w:r>
          </w:p>
        </w:tc>
        <w:tc>
          <w:tcPr>
            <w:tcW w:w="2100" w:type="dxa"/>
            <w:vAlign w:val="bottom"/>
            <w:tcBorders>
              <w:bottom w:val="single" w:sz="8" w:color="582C83"/>
            </w:tcBorders>
          </w:tcPr>
          <w:p>
            <w:pPr>
              <w:jc w:val="right"/>
              <w:ind w:right="5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82C83"/>
            </w:tcBorders>
          </w:tcPr>
          <w:p>
            <w:pPr>
              <w:ind w:left="640"/>
              <w:spacing w:after="0"/>
              <w:rPr>
                <w:sz w:val="20"/>
                <w:szCs w:val="20"/>
                <w:color w:val="auto"/>
              </w:rPr>
            </w:pPr>
            <w:r>
              <w:rPr>
                <w:rFonts w:ascii="Arial" w:cs="Arial" w:eastAsia="Arial" w:hAnsi="Arial"/>
                <w:sz w:val="14"/>
                <w:szCs w:val="14"/>
                <w:color w:val="auto"/>
              </w:rPr>
              <w:t>340,515</w:t>
            </w:r>
          </w:p>
        </w:tc>
      </w:tr>
      <w:tr>
        <w:trPr>
          <w:trHeight w:val="210"/>
        </w:trPr>
        <w:tc>
          <w:tcPr>
            <w:tcW w:w="1800" w:type="dxa"/>
            <w:vAlign w:val="bottom"/>
            <w:tcBorders>
              <w:bottom w:val="single" w:sz="8" w:color="5E2D91"/>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Price, Paula</w:t>
            </w:r>
          </w:p>
        </w:tc>
        <w:tc>
          <w:tcPr>
            <w:tcW w:w="2140" w:type="dxa"/>
            <w:vAlign w:val="bottom"/>
            <w:tcBorders>
              <w:bottom w:val="single" w:sz="8" w:color="582C83"/>
            </w:tcBorders>
            <w:shd w:val="clear" w:color="auto" w:fill="E0DBEA"/>
          </w:tcPr>
          <w:p>
            <w:pPr>
              <w:ind w:left="1240"/>
              <w:spacing w:after="0"/>
              <w:rPr>
                <w:sz w:val="20"/>
                <w:szCs w:val="20"/>
                <w:color w:val="auto"/>
              </w:rPr>
            </w:pPr>
            <w:r>
              <w:rPr>
                <w:rFonts w:ascii="Arial" w:cs="Arial" w:eastAsia="Arial" w:hAnsi="Arial"/>
                <w:sz w:val="14"/>
                <w:szCs w:val="14"/>
                <w:color w:val="auto"/>
              </w:rPr>
              <w:t>115,000</w:t>
            </w:r>
          </w:p>
        </w:tc>
        <w:tc>
          <w:tcPr>
            <w:tcW w:w="1780" w:type="dxa"/>
            <w:vAlign w:val="bottom"/>
            <w:tcBorders>
              <w:bottom w:val="single" w:sz="8" w:color="582C83"/>
            </w:tcBorders>
            <w:shd w:val="clear" w:color="auto" w:fill="E0DBEA"/>
          </w:tcPr>
          <w:p>
            <w:pPr>
              <w:jc w:val="right"/>
              <w:ind w:right="288"/>
              <w:spacing w:after="0"/>
              <w:rPr>
                <w:sz w:val="20"/>
                <w:szCs w:val="20"/>
                <w:color w:val="auto"/>
              </w:rPr>
            </w:pPr>
            <w:r>
              <w:rPr>
                <w:rFonts w:ascii="Arial" w:cs="Arial" w:eastAsia="Arial" w:hAnsi="Arial"/>
                <w:sz w:val="14"/>
                <w:szCs w:val="14"/>
                <w:color w:val="auto"/>
              </w:rPr>
              <w:t>196,367</w:t>
            </w:r>
          </w:p>
        </w:tc>
        <w:tc>
          <w:tcPr>
            <w:tcW w:w="2100" w:type="dxa"/>
            <w:vAlign w:val="bottom"/>
            <w:tcBorders>
              <w:bottom w:val="single" w:sz="8" w:color="582C83"/>
            </w:tcBorders>
            <w:shd w:val="clear" w:color="auto" w:fill="E0DBEA"/>
          </w:tcPr>
          <w:p>
            <w:pPr>
              <w:jc w:val="right"/>
              <w:ind w:right="5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82C83"/>
            </w:tcBorders>
            <w:shd w:val="clear" w:color="auto" w:fill="E0DBEA"/>
          </w:tcPr>
          <w:p>
            <w:pPr>
              <w:ind w:left="640"/>
              <w:spacing w:after="0"/>
              <w:rPr>
                <w:sz w:val="20"/>
                <w:szCs w:val="20"/>
                <w:color w:val="auto"/>
              </w:rPr>
            </w:pPr>
            <w:r>
              <w:rPr>
                <w:rFonts w:ascii="Arial" w:cs="Arial" w:eastAsia="Arial" w:hAnsi="Arial"/>
                <w:sz w:val="14"/>
                <w:szCs w:val="14"/>
                <w:color w:val="auto"/>
              </w:rPr>
              <w:t>311,367</w:t>
            </w:r>
          </w:p>
        </w:tc>
      </w:tr>
      <w:tr>
        <w:trPr>
          <w:trHeight w:val="210"/>
        </w:trPr>
        <w:tc>
          <w:tcPr>
            <w:tcW w:w="1800" w:type="dxa"/>
            <w:vAlign w:val="bottom"/>
            <w:tcBorders>
              <w:bottom w:val="single" w:sz="8" w:color="5E2D91"/>
            </w:tcBorders>
          </w:tcPr>
          <w:p>
            <w:pPr>
              <w:ind w:left="60"/>
              <w:spacing w:after="0"/>
              <w:rPr>
                <w:sz w:val="20"/>
                <w:szCs w:val="20"/>
                <w:color w:val="auto"/>
              </w:rPr>
            </w:pPr>
            <w:r>
              <w:rPr>
                <w:rFonts w:ascii="Arial" w:cs="Arial" w:eastAsia="Arial" w:hAnsi="Arial"/>
                <w:sz w:val="14"/>
                <w:szCs w:val="14"/>
                <w:b w:val="1"/>
                <w:bCs w:val="1"/>
                <w:color w:val="auto"/>
              </w:rPr>
              <w:t>Siewert, Patrick</w:t>
            </w:r>
          </w:p>
        </w:tc>
        <w:tc>
          <w:tcPr>
            <w:tcW w:w="2140" w:type="dxa"/>
            <w:vAlign w:val="bottom"/>
            <w:tcBorders>
              <w:bottom w:val="single" w:sz="8" w:color="582C83"/>
            </w:tcBorders>
          </w:tcPr>
          <w:p>
            <w:pPr>
              <w:ind w:left="1240"/>
              <w:spacing w:after="0"/>
              <w:rPr>
                <w:sz w:val="20"/>
                <w:szCs w:val="20"/>
                <w:color w:val="auto"/>
              </w:rPr>
            </w:pPr>
            <w:r>
              <w:rPr>
                <w:rFonts w:ascii="Arial" w:cs="Arial" w:eastAsia="Arial" w:hAnsi="Arial"/>
                <w:sz w:val="14"/>
                <w:szCs w:val="14"/>
                <w:color w:val="auto"/>
              </w:rPr>
              <w:t>190,852</w:t>
            </w:r>
          </w:p>
        </w:tc>
        <w:tc>
          <w:tcPr>
            <w:tcW w:w="1780" w:type="dxa"/>
            <w:vAlign w:val="bottom"/>
            <w:tcBorders>
              <w:bottom w:val="single" w:sz="8" w:color="582C83"/>
            </w:tcBorders>
          </w:tcPr>
          <w:p>
            <w:pPr>
              <w:jc w:val="right"/>
              <w:ind w:right="288"/>
              <w:spacing w:after="0"/>
              <w:rPr>
                <w:sz w:val="20"/>
                <w:szCs w:val="20"/>
                <w:color w:val="auto"/>
              </w:rPr>
            </w:pPr>
            <w:r>
              <w:rPr>
                <w:rFonts w:ascii="Arial" w:cs="Arial" w:eastAsia="Arial" w:hAnsi="Arial"/>
                <w:sz w:val="14"/>
                <w:szCs w:val="14"/>
                <w:color w:val="auto"/>
              </w:rPr>
              <w:t>196,367</w:t>
            </w:r>
          </w:p>
        </w:tc>
        <w:tc>
          <w:tcPr>
            <w:tcW w:w="2100" w:type="dxa"/>
            <w:vAlign w:val="bottom"/>
            <w:tcBorders>
              <w:bottom w:val="single" w:sz="8" w:color="582C83"/>
            </w:tcBorders>
          </w:tcPr>
          <w:p>
            <w:pPr>
              <w:jc w:val="right"/>
              <w:ind w:right="588"/>
              <w:spacing w:after="0"/>
              <w:rPr>
                <w:sz w:val="20"/>
                <w:szCs w:val="20"/>
                <w:color w:val="auto"/>
              </w:rPr>
            </w:pPr>
            <w:r>
              <w:rPr>
                <w:rFonts w:ascii="Arial" w:cs="Arial" w:eastAsia="Arial" w:hAnsi="Arial"/>
                <w:sz w:val="14"/>
                <w:szCs w:val="14"/>
                <w:color w:val="auto"/>
              </w:rPr>
              <w:t>10,000</w:t>
            </w:r>
          </w:p>
        </w:tc>
        <w:tc>
          <w:tcPr>
            <w:tcW w:w="1220" w:type="dxa"/>
            <w:vAlign w:val="bottom"/>
            <w:tcBorders>
              <w:bottom w:val="single" w:sz="8" w:color="582C83"/>
            </w:tcBorders>
          </w:tcPr>
          <w:p>
            <w:pPr>
              <w:ind w:left="640"/>
              <w:spacing w:after="0"/>
              <w:rPr>
                <w:sz w:val="20"/>
                <w:szCs w:val="20"/>
                <w:color w:val="auto"/>
              </w:rPr>
            </w:pPr>
            <w:r>
              <w:rPr>
                <w:rFonts w:ascii="Arial" w:cs="Arial" w:eastAsia="Arial" w:hAnsi="Arial"/>
                <w:sz w:val="14"/>
                <w:szCs w:val="14"/>
                <w:color w:val="auto"/>
              </w:rPr>
              <w:t>397,219</w:t>
            </w:r>
          </w:p>
        </w:tc>
      </w:tr>
      <w:tr>
        <w:trPr>
          <w:trHeight w:val="209"/>
        </w:trPr>
        <w:tc>
          <w:tcPr>
            <w:tcW w:w="1800" w:type="dxa"/>
            <w:vAlign w:val="bottom"/>
            <w:tcBorders>
              <w:bottom w:val="single" w:sz="8" w:color="5E2D91"/>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Todman, Michael</w:t>
            </w:r>
          </w:p>
        </w:tc>
        <w:tc>
          <w:tcPr>
            <w:tcW w:w="2140" w:type="dxa"/>
            <w:vAlign w:val="bottom"/>
            <w:tcBorders>
              <w:bottom w:val="single" w:sz="8" w:color="582C83"/>
            </w:tcBorders>
            <w:shd w:val="clear" w:color="auto" w:fill="E0DBEA"/>
          </w:tcPr>
          <w:p>
            <w:pPr>
              <w:ind w:left="1240"/>
              <w:spacing w:after="0"/>
              <w:rPr>
                <w:sz w:val="20"/>
                <w:szCs w:val="20"/>
                <w:color w:val="auto"/>
              </w:rPr>
            </w:pPr>
            <w:r>
              <w:rPr>
                <w:rFonts w:ascii="Arial" w:cs="Arial" w:eastAsia="Arial" w:hAnsi="Arial"/>
                <w:sz w:val="14"/>
                <w:szCs w:val="14"/>
                <w:color w:val="auto"/>
              </w:rPr>
              <w:t>140,000</w:t>
            </w:r>
          </w:p>
        </w:tc>
        <w:tc>
          <w:tcPr>
            <w:tcW w:w="1780" w:type="dxa"/>
            <w:vAlign w:val="bottom"/>
            <w:tcBorders>
              <w:bottom w:val="single" w:sz="8" w:color="582C83"/>
            </w:tcBorders>
            <w:shd w:val="clear" w:color="auto" w:fill="E0DBEA"/>
          </w:tcPr>
          <w:p>
            <w:pPr>
              <w:jc w:val="right"/>
              <w:ind w:right="288"/>
              <w:spacing w:after="0"/>
              <w:rPr>
                <w:sz w:val="20"/>
                <w:szCs w:val="20"/>
                <w:color w:val="auto"/>
              </w:rPr>
            </w:pPr>
            <w:r>
              <w:rPr>
                <w:rFonts w:ascii="Arial" w:cs="Arial" w:eastAsia="Arial" w:hAnsi="Arial"/>
                <w:sz w:val="14"/>
                <w:szCs w:val="14"/>
                <w:color w:val="auto"/>
              </w:rPr>
              <w:t>196,367</w:t>
            </w:r>
          </w:p>
        </w:tc>
        <w:tc>
          <w:tcPr>
            <w:tcW w:w="2100" w:type="dxa"/>
            <w:vAlign w:val="bottom"/>
            <w:tcBorders>
              <w:bottom w:val="single" w:sz="8" w:color="582C83"/>
            </w:tcBorders>
            <w:shd w:val="clear" w:color="auto" w:fill="E0DBEA"/>
          </w:tcPr>
          <w:p>
            <w:pPr>
              <w:jc w:val="right"/>
              <w:ind w:right="5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582C83"/>
            </w:tcBorders>
            <w:shd w:val="clear" w:color="auto" w:fill="E0DBEA"/>
          </w:tcPr>
          <w:p>
            <w:pPr>
              <w:ind w:left="640"/>
              <w:spacing w:after="0"/>
              <w:rPr>
                <w:sz w:val="20"/>
                <w:szCs w:val="20"/>
                <w:color w:val="auto"/>
              </w:rPr>
            </w:pPr>
            <w:r>
              <w:rPr>
                <w:rFonts w:ascii="Arial" w:cs="Arial" w:eastAsia="Arial" w:hAnsi="Arial"/>
                <w:sz w:val="14"/>
                <w:szCs w:val="14"/>
                <w:color w:val="auto"/>
              </w:rPr>
              <w:t>336,367</w:t>
            </w:r>
          </w:p>
        </w:tc>
      </w:tr>
    </w:tbl>
    <w:p>
      <w:pPr>
        <w:spacing w:after="0" w:line="36" w:lineRule="exact"/>
        <w:rPr>
          <w:sz w:val="20"/>
          <w:szCs w:val="20"/>
          <w:color w:val="auto"/>
        </w:rPr>
      </w:pPr>
    </w:p>
    <w:p>
      <w:pPr>
        <w:ind w:left="260" w:hanging="253"/>
        <w:spacing w:after="0"/>
        <w:tabs>
          <w:tab w:leader="none" w:pos="260" w:val="left"/>
        </w:tabs>
        <w:numPr>
          <w:ilvl w:val="0"/>
          <w:numId w:val="75"/>
        </w:numPr>
        <w:rPr>
          <w:rFonts w:ascii="Arial" w:cs="Arial" w:eastAsia="Arial" w:hAnsi="Arial"/>
          <w:sz w:val="13"/>
          <w:szCs w:val="13"/>
          <w:color w:val="auto"/>
        </w:rPr>
      </w:pPr>
      <w:r>
        <w:rPr>
          <w:rFonts w:ascii="Arial" w:cs="Arial" w:eastAsia="Arial" w:hAnsi="Arial"/>
          <w:sz w:val="13"/>
          <w:szCs w:val="13"/>
          <w:color w:val="auto"/>
        </w:rPr>
        <w:t>Includes all retainer fees earned or deferred pursuant to the 2001 Compensation Plan for Non-Employee Directors.</w:t>
      </w:r>
    </w:p>
    <w:p>
      <w:pPr>
        <w:spacing w:after="0" w:line="16" w:lineRule="exact"/>
        <w:rPr>
          <w:rFonts w:ascii="Arial" w:cs="Arial" w:eastAsia="Arial" w:hAnsi="Arial"/>
          <w:sz w:val="13"/>
          <w:szCs w:val="13"/>
          <w:color w:val="auto"/>
        </w:rPr>
      </w:pPr>
    </w:p>
    <w:p>
      <w:pPr>
        <w:ind w:left="260" w:right="60" w:hanging="253"/>
        <w:spacing w:after="0" w:line="263" w:lineRule="auto"/>
        <w:tabs>
          <w:tab w:leader="none" w:pos="260" w:val="left"/>
        </w:tabs>
        <w:numPr>
          <w:ilvl w:val="0"/>
          <w:numId w:val="75"/>
        </w:numPr>
        <w:rPr>
          <w:rFonts w:ascii="Arial" w:cs="Arial" w:eastAsia="Arial" w:hAnsi="Arial"/>
          <w:sz w:val="13"/>
          <w:szCs w:val="13"/>
          <w:color w:val="auto"/>
        </w:rPr>
      </w:pPr>
      <w:r>
        <w:rPr>
          <w:rFonts w:ascii="Arial" w:cs="Arial" w:eastAsia="Arial" w:hAnsi="Arial"/>
          <w:sz w:val="13"/>
          <w:szCs w:val="13"/>
          <w:color w:val="auto"/>
        </w:rPr>
        <w:t xml:space="preserve">The amounts shown in this column represent the full grant date fair value of the DSU grants in 2025 as computed in accordance with Financial Accounting Standards Board (“FASB”) Accounting Standards Codification (“ASC”) Topic 718. Assumptions used in the calculation of these amounts are included in Note 1, </w:t>
      </w:r>
      <w:r>
        <w:rPr>
          <w:rFonts w:ascii="Arial" w:cs="Arial" w:eastAsia="Arial" w:hAnsi="Arial"/>
          <w:sz w:val="13"/>
          <w:szCs w:val="13"/>
          <w:i w:val="1"/>
          <w:iCs w:val="1"/>
          <w:color w:val="auto"/>
        </w:rPr>
        <w:t>Summary of Significant Accounting Policies – Stock-based Compensation</w:t>
      </w:r>
      <w:r>
        <w:rPr>
          <w:rFonts w:ascii="Arial" w:cs="Arial" w:eastAsia="Arial" w:hAnsi="Arial"/>
          <w:sz w:val="13"/>
          <w:szCs w:val="13"/>
          <w:color w:val="auto"/>
        </w:rPr>
        <w:t>, to the consolidated financial statements in our 2025 Form 10-K. The DSUs are immediately vested, but settlement of the shares is deferred until six months after the director separates from service on the Board. The 2025 Non-Employee Director Equity Awards table provides further detail on the non-employee director grants made in 2025 and the number of stock awards outstanding as of December 31, 2025.</w:t>
      </w:r>
    </w:p>
    <w:p>
      <w:pPr>
        <w:spacing w:after="0" w:line="2" w:lineRule="exact"/>
        <w:rPr>
          <w:rFonts w:ascii="Arial" w:cs="Arial" w:eastAsia="Arial" w:hAnsi="Arial"/>
          <w:sz w:val="13"/>
          <w:szCs w:val="13"/>
          <w:color w:val="auto"/>
        </w:rPr>
      </w:pPr>
    </w:p>
    <w:p>
      <w:pPr>
        <w:ind w:left="260" w:right="80" w:hanging="253"/>
        <w:spacing w:after="0" w:line="267" w:lineRule="auto"/>
        <w:tabs>
          <w:tab w:leader="none" w:pos="260" w:val="left"/>
        </w:tabs>
        <w:numPr>
          <w:ilvl w:val="0"/>
          <w:numId w:val="75"/>
        </w:numPr>
        <w:rPr>
          <w:rFonts w:ascii="Arial" w:cs="Arial" w:eastAsia="Arial" w:hAnsi="Arial"/>
          <w:sz w:val="13"/>
          <w:szCs w:val="13"/>
          <w:color w:val="auto"/>
        </w:rPr>
      </w:pPr>
      <w:r>
        <w:rPr>
          <w:rFonts w:ascii="Arial" w:cs="Arial" w:eastAsia="Arial" w:hAnsi="Arial"/>
          <w:sz w:val="13"/>
          <w:szCs w:val="13"/>
          <w:color w:val="auto"/>
        </w:rPr>
        <w:t>Represents Foundation contributions made as part of the Foundation Matching Gift Program. Annual match limits are based on gift date, not the match date, by the Foundation. As such, the amounts reflected may represent gifts that directors made in 2024, but the Foundation did not match until 2025.</w:t>
      </w:r>
    </w:p>
    <w:p>
      <w:pPr>
        <w:ind w:left="260" w:right="240" w:hanging="253"/>
        <w:spacing w:after="0" w:line="263" w:lineRule="auto"/>
        <w:tabs>
          <w:tab w:leader="none" w:pos="260" w:val="left"/>
        </w:tabs>
        <w:numPr>
          <w:ilvl w:val="0"/>
          <w:numId w:val="75"/>
        </w:numPr>
        <w:rPr>
          <w:rFonts w:ascii="Arial" w:cs="Arial" w:eastAsia="Arial" w:hAnsi="Arial"/>
          <w:sz w:val="13"/>
          <w:szCs w:val="13"/>
          <w:color w:val="auto"/>
        </w:rPr>
      </w:pPr>
      <w:r>
        <w:rPr>
          <w:rFonts w:ascii="Arial" w:cs="Arial" w:eastAsia="Arial" w:hAnsi="Arial"/>
          <w:sz w:val="13"/>
          <w:szCs w:val="13"/>
          <w:color w:val="auto"/>
        </w:rPr>
        <w:t>Effective May 21, 2025, Mr. Bunch and Ms. Mukherjee concluded their service on the Board. Their 2025 retainer payment for the second calendar quarter was prorated based on the date their term ended. They did not receive an annual equity grant during 2025.</w:t>
      </w:r>
    </w:p>
    <w:p>
      <w:pPr>
        <w:ind w:left="260" w:hanging="253"/>
        <w:spacing w:after="0"/>
        <w:tabs>
          <w:tab w:leader="none" w:pos="260" w:val="left"/>
        </w:tabs>
        <w:numPr>
          <w:ilvl w:val="0"/>
          <w:numId w:val="75"/>
        </w:numPr>
        <w:rPr>
          <w:rFonts w:ascii="Arial" w:cs="Arial" w:eastAsia="Arial" w:hAnsi="Arial"/>
          <w:sz w:val="13"/>
          <w:szCs w:val="13"/>
          <w:color w:val="auto"/>
        </w:rPr>
      </w:pPr>
      <w:r>
        <w:rPr>
          <w:rFonts w:ascii="Arial" w:cs="Arial" w:eastAsia="Arial" w:hAnsi="Arial"/>
          <w:sz w:val="13"/>
          <w:szCs w:val="13"/>
          <w:color w:val="auto"/>
        </w:rPr>
        <w:t>Ms. McKinstry joined the Board effective May 21, 2025.</w:t>
      </w:r>
    </w:p>
    <w:p>
      <w:pPr>
        <w:spacing w:after="0" w:line="357"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256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9"/>
          <w:szCs w:val="29"/>
          <w:b w:val="1"/>
          <w:bCs w:val="1"/>
          <w:color w:val="auto"/>
        </w:rPr>
        <w:t xml:space="preserve"> 2025 NON-EMPLOYEE DIRECTOR EQUITY AWARDS</w:t>
      </w:r>
    </w:p>
    <w:p>
      <w:pPr>
        <w:sectPr>
          <w:pgSz w:w="11900" w:h="16838" w:orient="portrait"/>
          <w:cols w:equalWidth="0" w:num="1">
            <w:col w:w="9040"/>
          </w:cols>
          <w:pgMar w:left="1420" w:top="335" w:right="1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tabs>
          <w:tab w:leader="none" w:pos="3780" w:val="left"/>
          <w:tab w:leader="none" w:pos="6020" w:val="left"/>
          <w:tab w:leader="none" w:pos="8500" w:val="left"/>
        </w:tabs>
        <w:rPr>
          <w:sz w:val="20"/>
          <w:szCs w:val="20"/>
          <w:color w:val="auto"/>
        </w:rPr>
      </w:pPr>
      <w:r>
        <w:rPr>
          <w:rFonts w:ascii="Arial" w:cs="Arial" w:eastAsia="Arial" w:hAnsi="Arial"/>
          <w:sz w:val="14"/>
          <w:szCs w:val="14"/>
          <w:b w:val="1"/>
          <w:bCs w:val="1"/>
          <w:color w:val="auto"/>
        </w:rPr>
        <w:t>Cousin, Ertharin</w:t>
      </w:r>
      <w:r>
        <w:rPr>
          <w:sz w:val="20"/>
          <w:szCs w:val="20"/>
          <w:color w:val="auto"/>
        </w:rPr>
        <w:tab/>
      </w:r>
      <w:r>
        <w:rPr>
          <w:rFonts w:ascii="Arial" w:cs="Arial" w:eastAsia="Arial" w:hAnsi="Arial"/>
          <w:sz w:val="14"/>
          <w:szCs w:val="14"/>
          <w:color w:val="auto"/>
        </w:rPr>
        <w:t>3,009</w:t>
      </w:r>
      <w:r>
        <w:rPr>
          <w:sz w:val="20"/>
          <w:szCs w:val="20"/>
          <w:color w:val="auto"/>
        </w:rPr>
        <w:tab/>
      </w:r>
      <w:r>
        <w:rPr>
          <w:rFonts w:ascii="Arial" w:cs="Arial" w:eastAsia="Arial" w:hAnsi="Arial"/>
          <w:sz w:val="14"/>
          <w:szCs w:val="14"/>
          <w:color w:val="auto"/>
        </w:rPr>
        <w:t>196,367</w:t>
      </w:r>
      <w:r>
        <w:rPr>
          <w:sz w:val="20"/>
          <w:szCs w:val="20"/>
          <w:color w:val="auto"/>
        </w:rPr>
        <w:tab/>
      </w:r>
      <w:r>
        <w:rPr>
          <w:rFonts w:ascii="Arial" w:cs="Arial" w:eastAsia="Arial" w:hAnsi="Arial"/>
          <w:sz w:val="14"/>
          <w:szCs w:val="14"/>
          <w:color w:val="auto"/>
        </w:rPr>
        <w:t>13,405</w:t>
      </w:r>
    </w:p>
    <w:p>
      <w:pPr>
        <w:sectPr>
          <w:pgSz w:w="11900" w:h="16838" w:orient="portrait"/>
          <w:cols w:equalWidth="0" w:num="1">
            <w:col w:w="9040"/>
          </w:cols>
          <w:pgMar w:left="1420" w:top="335" w:right="1439" w:bottom="0" w:gutter="0" w:footer="0" w:header="0"/>
          <w:type w:val="continuous"/>
        </w:sectPr>
      </w:pPr>
    </w:p>
    <w:bookmarkStart w:id="55" w:name="page56"/>
    <w:bookmarkEnd w:id="55"/>
    <w:tbl>
      <w:tblPr>
        <w:tblLayout w:type="fixed"/>
        <w:tblInd w:w="60" w:type="dxa"/>
        <w:tblCellMar>
          <w:top w:w="0" w:type="dxa"/>
          <w:left w:w="0" w:type="dxa"/>
          <w:bottom w:w="0" w:type="dxa"/>
          <w:right w:w="0" w:type="dxa"/>
        </w:tblCellMar>
      </w:tblPr>
      <w:tr>
        <w:trPr>
          <w:trHeight w:val="161"/>
        </w:trPr>
        <w:tc>
          <w:tcPr>
            <w:tcW w:w="1800" w:type="dxa"/>
            <w:vAlign w:val="bottom"/>
          </w:tcPr>
          <w:p>
            <w:pPr>
              <w:ind w:left="60"/>
              <w:spacing w:after="0"/>
              <w:rPr>
                <w:sz w:val="20"/>
                <w:szCs w:val="20"/>
                <w:color w:val="auto"/>
              </w:rPr>
            </w:pPr>
            <w:r>
              <w:rPr>
                <w:rFonts w:ascii="Arial" w:cs="Arial" w:eastAsia="Arial" w:hAnsi="Arial"/>
                <w:sz w:val="14"/>
                <w:szCs w:val="14"/>
                <w:b w:val="1"/>
                <w:bCs w:val="1"/>
                <w:color w:val="auto"/>
              </w:rPr>
              <w:t>´t Hart, Cees</w:t>
            </w:r>
          </w:p>
        </w:tc>
        <w:tc>
          <w:tcPr>
            <w:tcW w:w="2440" w:type="dxa"/>
            <w:vAlign w:val="bottom"/>
          </w:tcPr>
          <w:p>
            <w:pPr>
              <w:jc w:val="right"/>
              <w:ind w:right="23"/>
              <w:spacing w:after="0"/>
              <w:rPr>
                <w:sz w:val="20"/>
                <w:szCs w:val="20"/>
                <w:color w:val="auto"/>
              </w:rPr>
            </w:pPr>
            <w:r>
              <w:rPr>
                <w:rFonts w:ascii="Arial" w:cs="Arial" w:eastAsia="Arial" w:hAnsi="Arial"/>
                <w:sz w:val="14"/>
                <w:szCs w:val="14"/>
                <w:color w:val="auto"/>
              </w:rPr>
              <w:t>3,009</w:t>
            </w:r>
          </w:p>
        </w:tc>
        <w:tc>
          <w:tcPr>
            <w:tcW w:w="2820" w:type="dxa"/>
            <w:vAlign w:val="bottom"/>
          </w:tcPr>
          <w:p>
            <w:pPr>
              <w:jc w:val="right"/>
              <w:ind w:right="443"/>
              <w:spacing w:after="0"/>
              <w:rPr>
                <w:sz w:val="20"/>
                <w:szCs w:val="20"/>
                <w:color w:val="auto"/>
              </w:rPr>
            </w:pPr>
            <w:r>
              <w:rPr>
                <w:rFonts w:ascii="Arial" w:cs="Arial" w:eastAsia="Arial" w:hAnsi="Arial"/>
                <w:sz w:val="14"/>
                <w:szCs w:val="14"/>
                <w:color w:val="auto"/>
              </w:rPr>
              <w:t>196,367</w:t>
            </w:r>
          </w:p>
        </w:tc>
        <w:tc>
          <w:tcPr>
            <w:tcW w:w="1940" w:type="dxa"/>
            <w:vAlign w:val="bottom"/>
          </w:tcPr>
          <w:p>
            <w:pPr>
              <w:jc w:val="right"/>
              <w:spacing w:after="0"/>
              <w:rPr>
                <w:sz w:val="20"/>
                <w:szCs w:val="20"/>
                <w:color w:val="auto"/>
              </w:rPr>
            </w:pPr>
            <w:r>
              <w:rPr>
                <w:rFonts w:ascii="Arial" w:cs="Arial" w:eastAsia="Arial" w:hAnsi="Arial"/>
                <w:sz w:val="14"/>
                <w:szCs w:val="14"/>
                <w:color w:val="auto"/>
              </w:rPr>
              <w:t>8,541</w:t>
            </w:r>
          </w:p>
        </w:tc>
        <w:tc>
          <w:tcPr>
            <w:tcW w:w="0" w:type="dxa"/>
            <w:vAlign w:val="bottom"/>
          </w:tcPr>
          <w:p>
            <w:pPr>
              <w:spacing w:after="0"/>
              <w:rPr>
                <w:sz w:val="1"/>
                <w:szCs w:val="1"/>
                <w:color w:val="auto"/>
              </w:rPr>
            </w:pPr>
          </w:p>
        </w:tc>
      </w:tr>
      <w:tr>
        <w:trPr>
          <w:trHeight w:val="81"/>
        </w:trPr>
        <w:tc>
          <w:tcPr>
            <w:tcW w:w="1800" w:type="dxa"/>
            <w:vAlign w:val="bottom"/>
            <w:vMerge w:val="restart"/>
          </w:tcPr>
          <w:p>
            <w:pPr>
              <w:ind w:left="60"/>
              <w:spacing w:after="0" w:line="108" w:lineRule="exact"/>
              <w:rPr>
                <w:sz w:val="20"/>
                <w:szCs w:val="20"/>
                <w:color w:val="auto"/>
              </w:rPr>
            </w:pPr>
            <w:r>
              <w:rPr>
                <w:rFonts w:ascii="Arial" w:cs="Arial" w:eastAsia="Arial" w:hAnsi="Arial"/>
                <w:sz w:val="12"/>
                <w:szCs w:val="12"/>
                <w:b w:val="1"/>
                <w:bCs w:val="1"/>
                <w:color w:val="auto"/>
              </w:rPr>
              <w:t>McKinstry, Nancy</w:t>
            </w:r>
          </w:p>
        </w:tc>
        <w:tc>
          <w:tcPr>
            <w:tcW w:w="2440" w:type="dxa"/>
            <w:vAlign w:val="bottom"/>
          </w:tcPr>
          <w:p>
            <w:pPr>
              <w:jc w:val="right"/>
              <w:ind w:right="23"/>
              <w:spacing w:after="0" w:line="81" w:lineRule="exact"/>
              <w:rPr>
                <w:sz w:val="20"/>
                <w:szCs w:val="20"/>
                <w:color w:val="auto"/>
              </w:rPr>
            </w:pPr>
            <w:r>
              <w:rPr>
                <w:rFonts w:ascii="Arial" w:cs="Arial" w:eastAsia="Arial" w:hAnsi="Arial"/>
                <w:sz w:val="9"/>
                <w:szCs w:val="9"/>
                <w:b w:val="1"/>
                <w:bCs w:val="1"/>
                <w:color w:val="auto"/>
              </w:rPr>
              <w:t>All Stock Awards:</w:t>
            </w:r>
          </w:p>
        </w:tc>
        <w:tc>
          <w:tcPr>
            <w:tcW w:w="2820" w:type="dxa"/>
            <w:vAlign w:val="bottom"/>
          </w:tcPr>
          <w:p>
            <w:pPr>
              <w:jc w:val="right"/>
              <w:ind w:right="443"/>
              <w:spacing w:after="0" w:line="81" w:lineRule="exact"/>
              <w:rPr>
                <w:sz w:val="20"/>
                <w:szCs w:val="20"/>
                <w:color w:val="auto"/>
              </w:rPr>
            </w:pPr>
            <w:r>
              <w:rPr>
                <w:rFonts w:ascii="Arial" w:cs="Arial" w:eastAsia="Arial" w:hAnsi="Arial"/>
                <w:sz w:val="9"/>
                <w:szCs w:val="9"/>
                <w:b w:val="1"/>
                <w:bCs w:val="1"/>
                <w:color w:val="auto"/>
              </w:rPr>
              <w:t>All Stock Awards:</w:t>
            </w:r>
          </w:p>
        </w:tc>
        <w:tc>
          <w:tcPr>
            <w:tcW w:w="194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Outstanding</w:t>
            </w:r>
          </w:p>
        </w:tc>
        <w:tc>
          <w:tcPr>
            <w:tcW w:w="0" w:type="dxa"/>
            <w:vAlign w:val="bottom"/>
          </w:tcPr>
          <w:p>
            <w:pPr>
              <w:spacing w:after="0"/>
              <w:rPr>
                <w:sz w:val="1"/>
                <w:szCs w:val="1"/>
                <w:color w:val="auto"/>
              </w:rPr>
            </w:pPr>
          </w:p>
        </w:tc>
      </w:tr>
      <w:tr>
        <w:trPr>
          <w:trHeight w:val="27"/>
        </w:trPr>
        <w:tc>
          <w:tcPr>
            <w:tcW w:w="1800" w:type="dxa"/>
            <w:vAlign w:val="bottom"/>
            <w:vMerge w:val="continue"/>
          </w:tcPr>
          <w:p>
            <w:pPr>
              <w:spacing w:after="0"/>
              <w:rPr>
                <w:sz w:val="2"/>
                <w:szCs w:val="2"/>
                <w:color w:val="auto"/>
              </w:rPr>
            </w:pPr>
          </w:p>
        </w:tc>
        <w:tc>
          <w:tcPr>
            <w:tcW w:w="2440" w:type="dxa"/>
            <w:vAlign w:val="bottom"/>
          </w:tcPr>
          <w:p>
            <w:pPr>
              <w:jc w:val="right"/>
              <w:ind w:right="23"/>
              <w:spacing w:after="0" w:line="27" w:lineRule="exact"/>
              <w:rPr>
                <w:sz w:val="20"/>
                <w:szCs w:val="20"/>
                <w:color w:val="auto"/>
              </w:rPr>
            </w:pPr>
            <w:r>
              <w:rPr>
                <w:rFonts w:ascii="Arial" w:cs="Arial" w:eastAsia="Arial" w:hAnsi="Arial"/>
                <w:sz w:val="3"/>
                <w:szCs w:val="3"/>
                <w:color w:val="auto"/>
              </w:rPr>
              <w:t>3,009</w:t>
            </w:r>
          </w:p>
        </w:tc>
        <w:tc>
          <w:tcPr>
            <w:tcW w:w="2820" w:type="dxa"/>
            <w:vAlign w:val="bottom"/>
          </w:tcPr>
          <w:p>
            <w:pPr>
              <w:jc w:val="right"/>
              <w:ind w:right="443"/>
              <w:spacing w:after="0" w:line="27" w:lineRule="exact"/>
              <w:rPr>
                <w:sz w:val="20"/>
                <w:szCs w:val="20"/>
                <w:color w:val="auto"/>
              </w:rPr>
            </w:pPr>
            <w:r>
              <w:rPr>
                <w:rFonts w:ascii="Arial" w:cs="Arial" w:eastAsia="Arial" w:hAnsi="Arial"/>
                <w:sz w:val="3"/>
                <w:szCs w:val="3"/>
                <w:color w:val="auto"/>
              </w:rPr>
              <w:t>196,367</w:t>
            </w:r>
          </w:p>
        </w:tc>
        <w:tc>
          <w:tcPr>
            <w:tcW w:w="1940" w:type="dxa"/>
            <w:vAlign w:val="bottom"/>
          </w:tcPr>
          <w:p>
            <w:pPr>
              <w:jc w:val="right"/>
              <w:spacing w:after="0" w:line="27" w:lineRule="exact"/>
              <w:rPr>
                <w:sz w:val="20"/>
                <w:szCs w:val="20"/>
                <w:color w:val="auto"/>
              </w:rPr>
            </w:pPr>
            <w:r>
              <w:rPr>
                <w:rFonts w:ascii="Arial" w:cs="Arial" w:eastAsia="Arial" w:hAnsi="Arial"/>
                <w:sz w:val="3"/>
                <w:szCs w:val="3"/>
                <w:color w:val="auto"/>
              </w:rPr>
              <w:t>3,055</w:t>
            </w:r>
          </w:p>
        </w:tc>
        <w:tc>
          <w:tcPr>
            <w:tcW w:w="0" w:type="dxa"/>
            <w:vAlign w:val="bottom"/>
          </w:tcPr>
          <w:p>
            <w:pPr>
              <w:spacing w:after="0" w:line="20" w:lineRule="exact"/>
              <w:rPr>
                <w:sz w:val="1"/>
                <w:szCs w:val="1"/>
                <w:color w:val="auto"/>
              </w:rPr>
            </w:pPr>
          </w:p>
        </w:tc>
      </w:tr>
      <w:tr>
        <w:trPr>
          <w:trHeight w:val="135"/>
        </w:trPr>
        <w:tc>
          <w:tcPr>
            <w:tcW w:w="1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McNamara, Brian</w:t>
            </w:r>
          </w:p>
        </w:tc>
        <w:tc>
          <w:tcPr>
            <w:tcW w:w="2440" w:type="dxa"/>
            <w:vAlign w:val="bottom"/>
          </w:tcPr>
          <w:p>
            <w:pPr>
              <w:jc w:val="right"/>
              <w:ind w:right="23"/>
              <w:spacing w:after="0" w:line="135" w:lineRule="exact"/>
              <w:rPr>
                <w:sz w:val="20"/>
                <w:szCs w:val="20"/>
                <w:color w:val="auto"/>
              </w:rPr>
            </w:pPr>
            <w:r>
              <w:rPr>
                <w:rFonts w:ascii="Arial" w:cs="Arial" w:eastAsia="Arial" w:hAnsi="Arial"/>
                <w:sz w:val="14"/>
                <w:szCs w:val="14"/>
                <w:b w:val="1"/>
                <w:bCs w:val="1"/>
                <w:color w:val="auto"/>
              </w:rPr>
              <w:t>Number of Stock or Units</w:t>
            </w:r>
          </w:p>
        </w:tc>
        <w:tc>
          <w:tcPr>
            <w:tcW w:w="2820" w:type="dxa"/>
            <w:vAlign w:val="bottom"/>
          </w:tcPr>
          <w:p>
            <w:pPr>
              <w:jc w:val="right"/>
              <w:ind w:right="443"/>
              <w:spacing w:after="0" w:line="135" w:lineRule="exact"/>
              <w:rPr>
                <w:sz w:val="20"/>
                <w:szCs w:val="20"/>
                <w:color w:val="auto"/>
              </w:rPr>
            </w:pPr>
            <w:r>
              <w:rPr>
                <w:rFonts w:ascii="Arial" w:cs="Arial" w:eastAsia="Arial" w:hAnsi="Arial"/>
                <w:sz w:val="14"/>
                <w:szCs w:val="14"/>
                <w:b w:val="1"/>
                <w:bCs w:val="1"/>
                <w:color w:val="auto"/>
              </w:rPr>
              <w:t>Grant Date Fair Value of Stock or</w:t>
            </w:r>
          </w:p>
        </w:tc>
        <w:tc>
          <w:tcPr>
            <w:tcW w:w="19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Stock Awards as of</w:t>
            </w:r>
          </w:p>
        </w:tc>
        <w:tc>
          <w:tcPr>
            <w:tcW w:w="0" w:type="dxa"/>
            <w:vAlign w:val="bottom"/>
          </w:tcPr>
          <w:p>
            <w:pPr>
              <w:spacing w:after="0"/>
              <w:rPr>
                <w:sz w:val="1"/>
                <w:szCs w:val="1"/>
                <w:color w:val="auto"/>
              </w:rPr>
            </w:pPr>
          </w:p>
        </w:tc>
      </w:tr>
      <w:tr>
        <w:trPr>
          <w:trHeight w:val="95"/>
        </w:trPr>
        <w:tc>
          <w:tcPr>
            <w:tcW w:w="1800" w:type="dxa"/>
            <w:vAlign w:val="bottom"/>
            <w:vMerge w:val="continue"/>
          </w:tcPr>
          <w:p>
            <w:pPr>
              <w:spacing w:after="0"/>
              <w:rPr>
                <w:sz w:val="8"/>
                <w:szCs w:val="8"/>
                <w:color w:val="auto"/>
              </w:rPr>
            </w:pPr>
          </w:p>
        </w:tc>
        <w:tc>
          <w:tcPr>
            <w:tcW w:w="2440" w:type="dxa"/>
            <w:vAlign w:val="bottom"/>
          </w:tcPr>
          <w:p>
            <w:pPr>
              <w:jc w:val="right"/>
              <w:ind w:right="23"/>
              <w:spacing w:after="0" w:line="95" w:lineRule="exact"/>
              <w:rPr>
                <w:sz w:val="20"/>
                <w:szCs w:val="20"/>
                <w:color w:val="auto"/>
              </w:rPr>
            </w:pPr>
            <w:r>
              <w:rPr>
                <w:rFonts w:ascii="Arial" w:cs="Arial" w:eastAsia="Arial" w:hAnsi="Arial"/>
                <w:sz w:val="10"/>
                <w:szCs w:val="10"/>
                <w:color w:val="auto"/>
              </w:rPr>
              <w:t>3,009</w:t>
            </w:r>
          </w:p>
        </w:tc>
        <w:tc>
          <w:tcPr>
            <w:tcW w:w="2820" w:type="dxa"/>
            <w:vAlign w:val="bottom"/>
          </w:tcPr>
          <w:p>
            <w:pPr>
              <w:jc w:val="right"/>
              <w:ind w:right="443"/>
              <w:spacing w:after="0" w:line="95" w:lineRule="exact"/>
              <w:rPr>
                <w:sz w:val="20"/>
                <w:szCs w:val="20"/>
                <w:color w:val="auto"/>
              </w:rPr>
            </w:pPr>
            <w:r>
              <w:rPr>
                <w:rFonts w:ascii="Arial" w:cs="Arial" w:eastAsia="Arial" w:hAnsi="Arial"/>
                <w:sz w:val="10"/>
                <w:szCs w:val="10"/>
                <w:color w:val="auto"/>
              </w:rPr>
              <w:t>196,367</w:t>
            </w:r>
            <w:r>
              <w:rPr>
                <w:rFonts w:ascii="Arial" w:cs="Arial" w:eastAsia="Arial" w:hAnsi="Arial"/>
                <w:sz w:val="7"/>
                <w:szCs w:val="7"/>
                <w:b w:val="1"/>
                <w:bCs w:val="1"/>
                <w:color w:val="auto"/>
              </w:rPr>
              <w:t>(1)</w:t>
            </w:r>
          </w:p>
        </w:tc>
        <w:tc>
          <w:tcPr>
            <w:tcW w:w="1940" w:type="dxa"/>
            <w:vAlign w:val="bottom"/>
          </w:tcPr>
          <w:p>
            <w:pPr>
              <w:jc w:val="right"/>
              <w:spacing w:after="0" w:line="95" w:lineRule="exact"/>
              <w:rPr>
                <w:sz w:val="20"/>
                <w:szCs w:val="20"/>
                <w:color w:val="auto"/>
              </w:rPr>
            </w:pPr>
            <w:r>
              <w:rPr>
                <w:rFonts w:ascii="Arial" w:cs="Arial" w:eastAsia="Arial" w:hAnsi="Arial"/>
                <w:sz w:val="10"/>
                <w:szCs w:val="10"/>
                <w:color w:val="auto"/>
              </w:rPr>
              <w:t>6,901</w:t>
            </w:r>
            <w:r>
              <w:rPr>
                <w:rFonts w:ascii="Arial" w:cs="Arial" w:eastAsia="Arial" w:hAnsi="Arial"/>
                <w:sz w:val="7"/>
                <w:szCs w:val="7"/>
                <w:b w:val="1"/>
                <w:bCs w:val="1"/>
                <w:color w:val="auto"/>
              </w:rPr>
              <w:t>(2)</w:t>
            </w:r>
          </w:p>
        </w:tc>
        <w:tc>
          <w:tcPr>
            <w:tcW w:w="0" w:type="dxa"/>
            <w:vAlign w:val="bottom"/>
          </w:tcPr>
          <w:p>
            <w:pPr>
              <w:spacing w:after="0"/>
              <w:rPr>
                <w:sz w:val="1"/>
                <w:szCs w:val="1"/>
                <w:color w:val="auto"/>
              </w:rPr>
            </w:pPr>
          </w:p>
        </w:tc>
      </w:tr>
      <w:tr>
        <w:trPr>
          <w:trHeight w:val="85"/>
        </w:trPr>
        <w:tc>
          <w:tcPr>
            <w:tcW w:w="1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Mesquita, Jorge</w:t>
            </w:r>
          </w:p>
        </w:tc>
        <w:tc>
          <w:tcPr>
            <w:tcW w:w="2440" w:type="dxa"/>
            <w:vAlign w:val="bottom"/>
          </w:tcPr>
          <w:p>
            <w:pPr>
              <w:jc w:val="right"/>
              <w:ind w:right="23"/>
              <w:spacing w:after="0" w:line="85" w:lineRule="exact"/>
              <w:rPr>
                <w:sz w:val="20"/>
                <w:szCs w:val="20"/>
                <w:color w:val="auto"/>
              </w:rPr>
            </w:pPr>
            <w:r>
              <w:rPr>
                <w:rFonts w:ascii="Arial" w:cs="Arial" w:eastAsia="Arial" w:hAnsi="Arial"/>
                <w:sz w:val="9"/>
                <w:szCs w:val="9"/>
                <w:b w:val="1"/>
                <w:bCs w:val="1"/>
                <w:color w:val="auto"/>
              </w:rPr>
              <w:t>Granted in 2025</w:t>
            </w:r>
          </w:p>
        </w:tc>
        <w:tc>
          <w:tcPr>
            <w:tcW w:w="2820" w:type="dxa"/>
            <w:vAlign w:val="bottom"/>
          </w:tcPr>
          <w:p>
            <w:pPr>
              <w:jc w:val="right"/>
              <w:ind w:right="563"/>
              <w:spacing w:after="0" w:line="85" w:lineRule="exact"/>
              <w:rPr>
                <w:sz w:val="20"/>
                <w:szCs w:val="20"/>
                <w:color w:val="auto"/>
              </w:rPr>
            </w:pPr>
            <w:r>
              <w:rPr>
                <w:rFonts w:ascii="Arial" w:cs="Arial" w:eastAsia="Arial" w:hAnsi="Arial"/>
                <w:sz w:val="9"/>
                <w:szCs w:val="9"/>
                <w:b w:val="1"/>
                <w:bCs w:val="1"/>
                <w:color w:val="auto"/>
              </w:rPr>
              <w:t>Units Granted in 2025</w:t>
            </w:r>
          </w:p>
        </w:tc>
        <w:tc>
          <w:tcPr>
            <w:tcW w:w="1940" w:type="dxa"/>
            <w:vAlign w:val="bottom"/>
          </w:tcPr>
          <w:p>
            <w:pPr>
              <w:jc w:val="right"/>
              <w:ind w:right="83"/>
              <w:spacing w:after="0" w:line="85" w:lineRule="exact"/>
              <w:rPr>
                <w:sz w:val="20"/>
                <w:szCs w:val="20"/>
                <w:color w:val="auto"/>
              </w:rPr>
            </w:pPr>
            <w:r>
              <w:rPr>
                <w:rFonts w:ascii="Arial" w:cs="Arial" w:eastAsia="Arial" w:hAnsi="Arial"/>
                <w:sz w:val="9"/>
                <w:szCs w:val="9"/>
                <w:b w:val="1"/>
                <w:bCs w:val="1"/>
                <w:color w:val="auto"/>
              </w:rPr>
              <w:t>December 31, 2025</w:t>
            </w:r>
          </w:p>
        </w:tc>
        <w:tc>
          <w:tcPr>
            <w:tcW w:w="0" w:type="dxa"/>
            <w:vAlign w:val="bottom"/>
          </w:tcPr>
          <w:p>
            <w:pPr>
              <w:spacing w:after="0"/>
              <w:rPr>
                <w:sz w:val="1"/>
                <w:szCs w:val="1"/>
                <w:color w:val="auto"/>
              </w:rPr>
            </w:pPr>
          </w:p>
        </w:tc>
      </w:tr>
      <w:tr>
        <w:trPr>
          <w:trHeight w:val="144"/>
        </w:trPr>
        <w:tc>
          <w:tcPr>
            <w:tcW w:w="1800" w:type="dxa"/>
            <w:vAlign w:val="bottom"/>
            <w:vMerge w:val="continue"/>
          </w:tcPr>
          <w:p>
            <w:pPr>
              <w:spacing w:after="0"/>
              <w:rPr>
                <w:sz w:val="12"/>
                <w:szCs w:val="12"/>
                <w:color w:val="auto"/>
              </w:rPr>
            </w:pPr>
          </w:p>
        </w:tc>
        <w:tc>
          <w:tcPr>
            <w:tcW w:w="2440" w:type="dxa"/>
            <w:vAlign w:val="bottom"/>
          </w:tcPr>
          <w:p>
            <w:pPr>
              <w:jc w:val="right"/>
              <w:ind w:right="23"/>
              <w:spacing w:after="0" w:line="145" w:lineRule="exact"/>
              <w:rPr>
                <w:sz w:val="20"/>
                <w:szCs w:val="20"/>
                <w:color w:val="auto"/>
              </w:rPr>
            </w:pPr>
            <w:r>
              <w:rPr>
                <w:rFonts w:ascii="Arial" w:cs="Arial" w:eastAsia="Arial" w:hAnsi="Arial"/>
                <w:sz w:val="14"/>
                <w:szCs w:val="14"/>
                <w:color w:val="auto"/>
              </w:rPr>
              <w:t>3,009</w:t>
            </w:r>
          </w:p>
        </w:tc>
        <w:tc>
          <w:tcPr>
            <w:tcW w:w="2820" w:type="dxa"/>
            <w:vAlign w:val="bottom"/>
          </w:tcPr>
          <w:p>
            <w:pPr>
              <w:jc w:val="right"/>
              <w:ind w:right="443"/>
              <w:spacing w:after="0" w:line="145" w:lineRule="exact"/>
              <w:rPr>
                <w:sz w:val="20"/>
                <w:szCs w:val="20"/>
                <w:color w:val="auto"/>
              </w:rPr>
            </w:pPr>
            <w:r>
              <w:rPr>
                <w:rFonts w:ascii="Arial" w:cs="Arial" w:eastAsia="Arial" w:hAnsi="Arial"/>
                <w:sz w:val="14"/>
                <w:szCs w:val="14"/>
                <w:color w:val="auto"/>
              </w:rPr>
              <w:t>196,367</w:t>
            </w:r>
          </w:p>
        </w:tc>
        <w:tc>
          <w:tcPr>
            <w:tcW w:w="1940" w:type="dxa"/>
            <w:vAlign w:val="bottom"/>
          </w:tcPr>
          <w:p>
            <w:pPr>
              <w:jc w:val="right"/>
              <w:spacing w:after="0" w:line="145" w:lineRule="exact"/>
              <w:rPr>
                <w:sz w:val="20"/>
                <w:szCs w:val="20"/>
                <w:color w:val="auto"/>
              </w:rPr>
            </w:pPr>
            <w:r>
              <w:rPr>
                <w:rFonts w:ascii="Arial" w:cs="Arial" w:eastAsia="Arial" w:hAnsi="Arial"/>
                <w:sz w:val="14"/>
                <w:szCs w:val="14"/>
                <w:color w:val="auto"/>
              </w:rPr>
              <w:t>58,452</w:t>
            </w:r>
          </w:p>
        </w:tc>
        <w:tc>
          <w:tcPr>
            <w:tcW w:w="0" w:type="dxa"/>
            <w:vAlign w:val="bottom"/>
          </w:tcPr>
          <w:p>
            <w:pPr>
              <w:spacing w:after="0"/>
              <w:rPr>
                <w:sz w:val="1"/>
                <w:szCs w:val="1"/>
                <w:color w:val="auto"/>
              </w:rPr>
            </w:pPr>
          </w:p>
        </w:tc>
      </w:tr>
      <w:tr>
        <w:trPr>
          <w:trHeight w:val="48"/>
        </w:trPr>
        <w:tc>
          <w:tcPr>
            <w:tcW w:w="1800" w:type="dxa"/>
            <w:vAlign w:val="bottom"/>
            <w:tcBorders>
              <w:bottom w:val="single" w:sz="8" w:color="582C83"/>
            </w:tcBorders>
          </w:tcPr>
          <w:p>
            <w:pPr>
              <w:ind w:left="60"/>
              <w:spacing w:after="0" w:line="41" w:lineRule="exact"/>
              <w:rPr>
                <w:sz w:val="20"/>
                <w:szCs w:val="20"/>
                <w:color w:val="auto"/>
              </w:rPr>
            </w:pPr>
            <w:r>
              <w:rPr>
                <w:rFonts w:ascii="Arial" w:cs="Arial" w:eastAsia="Arial" w:hAnsi="Arial"/>
                <w:sz w:val="4"/>
                <w:szCs w:val="4"/>
                <w:b w:val="1"/>
                <w:bCs w:val="1"/>
                <w:color w:val="auto"/>
              </w:rPr>
              <w:t>Name</w:t>
            </w:r>
          </w:p>
        </w:tc>
        <w:tc>
          <w:tcPr>
            <w:tcW w:w="2440" w:type="dxa"/>
            <w:vAlign w:val="bottom"/>
            <w:tcBorders>
              <w:bottom w:val="single" w:sz="8" w:color="582C83"/>
            </w:tcBorders>
          </w:tcPr>
          <w:p>
            <w:pPr>
              <w:jc w:val="right"/>
              <w:ind w:right="23"/>
              <w:spacing w:after="0" w:line="41" w:lineRule="exact"/>
              <w:rPr>
                <w:sz w:val="20"/>
                <w:szCs w:val="20"/>
                <w:color w:val="auto"/>
              </w:rPr>
            </w:pPr>
            <w:r>
              <w:rPr>
                <w:rFonts w:ascii="Arial" w:cs="Arial" w:eastAsia="Arial" w:hAnsi="Arial"/>
                <w:sz w:val="4"/>
                <w:szCs w:val="4"/>
                <w:b w:val="1"/>
                <w:bCs w:val="1"/>
                <w:color w:val="auto"/>
              </w:rPr>
              <w:t>(#)</w:t>
            </w:r>
          </w:p>
        </w:tc>
        <w:tc>
          <w:tcPr>
            <w:tcW w:w="2820" w:type="dxa"/>
            <w:vAlign w:val="bottom"/>
            <w:tcBorders>
              <w:bottom w:val="single" w:sz="8" w:color="582C83"/>
            </w:tcBorders>
          </w:tcPr>
          <w:p>
            <w:pPr>
              <w:jc w:val="right"/>
              <w:ind w:right="443"/>
              <w:spacing w:after="0" w:line="41" w:lineRule="exact"/>
              <w:rPr>
                <w:sz w:val="20"/>
                <w:szCs w:val="20"/>
                <w:color w:val="auto"/>
              </w:rPr>
            </w:pPr>
            <w:r>
              <w:rPr>
                <w:rFonts w:ascii="Arial" w:cs="Arial" w:eastAsia="Arial" w:hAnsi="Arial"/>
                <w:sz w:val="4"/>
                <w:szCs w:val="4"/>
                <w:b w:val="1"/>
                <w:bCs w:val="1"/>
                <w:color w:val="auto"/>
              </w:rPr>
              <w:t>($)</w:t>
            </w:r>
          </w:p>
        </w:tc>
        <w:tc>
          <w:tcPr>
            <w:tcW w:w="1940" w:type="dxa"/>
            <w:vAlign w:val="bottom"/>
            <w:tcBorders>
              <w:bottom w:val="single" w:sz="8" w:color="582C83"/>
            </w:tcBorders>
          </w:tcPr>
          <w:p>
            <w:pPr>
              <w:jc w:val="right"/>
              <w:spacing w:after="0" w:line="41" w:lineRule="exact"/>
              <w:rPr>
                <w:sz w:val="20"/>
                <w:szCs w:val="20"/>
                <w:color w:val="auto"/>
              </w:rPr>
            </w:pPr>
            <w:r>
              <w:rPr>
                <w:rFonts w:ascii="Arial" w:cs="Arial" w:eastAsia="Arial" w:hAnsi="Arial"/>
                <w:sz w:val="4"/>
                <w:szCs w:val="4"/>
                <w:b w:val="1"/>
                <w:bCs w:val="1"/>
                <w:color w:val="auto"/>
              </w:rPr>
              <w:t>(#)</w:t>
            </w:r>
          </w:p>
        </w:tc>
        <w:tc>
          <w:tcPr>
            <w:tcW w:w="0" w:type="dxa"/>
            <w:vAlign w:val="bottom"/>
          </w:tcPr>
          <w:p>
            <w:pPr>
              <w:spacing w:after="0"/>
              <w:rPr>
                <w:sz w:val="1"/>
                <w:szCs w:val="1"/>
                <w:color w:val="auto"/>
              </w:rPr>
            </w:pPr>
          </w:p>
        </w:tc>
      </w:tr>
      <w:tr>
        <w:trPr>
          <w:trHeight w:val="215"/>
        </w:trPr>
        <w:tc>
          <w:tcPr>
            <w:tcW w:w="1800" w:type="dxa"/>
            <w:vAlign w:val="bottom"/>
            <w:tcBorders>
              <w:bottom w:val="single" w:sz="8" w:color="5E2D91"/>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Nielsen, Jane</w:t>
            </w:r>
          </w:p>
        </w:tc>
        <w:tc>
          <w:tcPr>
            <w:tcW w:w="2440" w:type="dxa"/>
            <w:vAlign w:val="bottom"/>
            <w:tcBorders>
              <w:bottom w:val="single" w:sz="8" w:color="582C83"/>
            </w:tcBorders>
            <w:shd w:val="clear" w:color="auto" w:fill="E0DBEA"/>
          </w:tcPr>
          <w:p>
            <w:pPr>
              <w:jc w:val="right"/>
              <w:ind w:right="23"/>
              <w:spacing w:after="0"/>
              <w:rPr>
                <w:sz w:val="20"/>
                <w:szCs w:val="20"/>
                <w:color w:val="auto"/>
              </w:rPr>
            </w:pPr>
            <w:r>
              <w:rPr>
                <w:rFonts w:ascii="Arial" w:cs="Arial" w:eastAsia="Arial" w:hAnsi="Arial"/>
                <w:sz w:val="14"/>
                <w:szCs w:val="14"/>
                <w:color w:val="auto"/>
              </w:rPr>
              <w:t>3,009</w:t>
            </w:r>
          </w:p>
        </w:tc>
        <w:tc>
          <w:tcPr>
            <w:tcW w:w="2820" w:type="dxa"/>
            <w:vAlign w:val="bottom"/>
            <w:tcBorders>
              <w:bottom w:val="single" w:sz="8" w:color="582C83"/>
            </w:tcBorders>
            <w:shd w:val="clear" w:color="auto" w:fill="E0DBEA"/>
          </w:tcPr>
          <w:p>
            <w:pPr>
              <w:jc w:val="right"/>
              <w:ind w:right="443"/>
              <w:spacing w:after="0"/>
              <w:rPr>
                <w:sz w:val="20"/>
                <w:szCs w:val="20"/>
                <w:color w:val="auto"/>
              </w:rPr>
            </w:pPr>
            <w:r>
              <w:rPr>
                <w:rFonts w:ascii="Arial" w:cs="Arial" w:eastAsia="Arial" w:hAnsi="Arial"/>
                <w:sz w:val="14"/>
                <w:szCs w:val="14"/>
                <w:color w:val="auto"/>
              </w:rPr>
              <w:t>196,367</w:t>
            </w:r>
          </w:p>
        </w:tc>
        <w:tc>
          <w:tcPr>
            <w:tcW w:w="19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15,494</w:t>
            </w:r>
          </w:p>
        </w:tc>
        <w:tc>
          <w:tcPr>
            <w:tcW w:w="0" w:type="dxa"/>
            <w:vAlign w:val="bottom"/>
          </w:tcPr>
          <w:p>
            <w:pPr>
              <w:spacing w:after="0"/>
              <w:rPr>
                <w:sz w:val="1"/>
                <w:szCs w:val="1"/>
                <w:color w:val="auto"/>
              </w:rPr>
            </w:pPr>
          </w:p>
        </w:tc>
      </w:tr>
      <w:tr>
        <w:trPr>
          <w:trHeight w:val="209"/>
        </w:trPr>
        <w:tc>
          <w:tcPr>
            <w:tcW w:w="1800" w:type="dxa"/>
            <w:vAlign w:val="bottom"/>
            <w:tcBorders>
              <w:bottom w:val="single" w:sz="8" w:color="5E2D91"/>
            </w:tcBorders>
          </w:tcPr>
          <w:p>
            <w:pPr>
              <w:ind w:left="60"/>
              <w:spacing w:after="0"/>
              <w:rPr>
                <w:sz w:val="20"/>
                <w:szCs w:val="20"/>
                <w:color w:val="auto"/>
              </w:rPr>
            </w:pPr>
            <w:r>
              <w:rPr>
                <w:rFonts w:ascii="Arial" w:cs="Arial" w:eastAsia="Arial" w:hAnsi="Arial"/>
                <w:sz w:val="14"/>
                <w:szCs w:val="14"/>
                <w:b w:val="1"/>
                <w:bCs w:val="1"/>
                <w:color w:val="auto"/>
              </w:rPr>
              <w:t>Price, Paula</w:t>
            </w:r>
          </w:p>
        </w:tc>
        <w:tc>
          <w:tcPr>
            <w:tcW w:w="2440" w:type="dxa"/>
            <w:vAlign w:val="bottom"/>
            <w:tcBorders>
              <w:bottom w:val="single" w:sz="8" w:color="582C83"/>
            </w:tcBorders>
          </w:tcPr>
          <w:p>
            <w:pPr>
              <w:jc w:val="right"/>
              <w:ind w:right="23"/>
              <w:spacing w:after="0"/>
              <w:rPr>
                <w:sz w:val="20"/>
                <w:szCs w:val="20"/>
                <w:color w:val="auto"/>
              </w:rPr>
            </w:pPr>
            <w:r>
              <w:rPr>
                <w:rFonts w:ascii="Arial" w:cs="Arial" w:eastAsia="Arial" w:hAnsi="Arial"/>
                <w:sz w:val="14"/>
                <w:szCs w:val="14"/>
                <w:color w:val="auto"/>
              </w:rPr>
              <w:t>3,009</w:t>
            </w:r>
          </w:p>
        </w:tc>
        <w:tc>
          <w:tcPr>
            <w:tcW w:w="2820" w:type="dxa"/>
            <w:vAlign w:val="bottom"/>
            <w:tcBorders>
              <w:bottom w:val="single" w:sz="8" w:color="582C83"/>
            </w:tcBorders>
          </w:tcPr>
          <w:p>
            <w:pPr>
              <w:jc w:val="right"/>
              <w:ind w:right="443"/>
              <w:spacing w:after="0"/>
              <w:rPr>
                <w:sz w:val="20"/>
                <w:szCs w:val="20"/>
                <w:color w:val="auto"/>
              </w:rPr>
            </w:pPr>
            <w:r>
              <w:rPr>
                <w:rFonts w:ascii="Arial" w:cs="Arial" w:eastAsia="Arial" w:hAnsi="Arial"/>
                <w:sz w:val="14"/>
                <w:szCs w:val="14"/>
                <w:color w:val="auto"/>
              </w:rPr>
              <w:t>196,367</w:t>
            </w:r>
          </w:p>
        </w:tc>
        <w:tc>
          <w:tcPr>
            <w:tcW w:w="194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6,031</w:t>
            </w:r>
          </w:p>
        </w:tc>
        <w:tc>
          <w:tcPr>
            <w:tcW w:w="0" w:type="dxa"/>
            <w:vAlign w:val="bottom"/>
          </w:tcPr>
          <w:p>
            <w:pPr>
              <w:spacing w:after="0"/>
              <w:rPr>
                <w:sz w:val="1"/>
                <w:szCs w:val="1"/>
                <w:color w:val="auto"/>
              </w:rPr>
            </w:pPr>
          </w:p>
        </w:tc>
      </w:tr>
      <w:tr>
        <w:trPr>
          <w:trHeight w:val="209"/>
        </w:trPr>
        <w:tc>
          <w:tcPr>
            <w:tcW w:w="1800" w:type="dxa"/>
            <w:vAlign w:val="bottom"/>
            <w:tcBorders>
              <w:bottom w:val="single" w:sz="8" w:color="5E2D91"/>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Siewert, Patrick</w:t>
            </w:r>
          </w:p>
        </w:tc>
        <w:tc>
          <w:tcPr>
            <w:tcW w:w="2440" w:type="dxa"/>
            <w:vAlign w:val="bottom"/>
            <w:tcBorders>
              <w:bottom w:val="single" w:sz="8" w:color="582C83"/>
            </w:tcBorders>
            <w:shd w:val="clear" w:color="auto" w:fill="E0DBEA"/>
          </w:tcPr>
          <w:p>
            <w:pPr>
              <w:jc w:val="right"/>
              <w:ind w:right="23"/>
              <w:spacing w:after="0"/>
              <w:rPr>
                <w:sz w:val="20"/>
                <w:szCs w:val="20"/>
                <w:color w:val="auto"/>
              </w:rPr>
            </w:pPr>
            <w:r>
              <w:rPr>
                <w:rFonts w:ascii="Arial" w:cs="Arial" w:eastAsia="Arial" w:hAnsi="Arial"/>
                <w:sz w:val="14"/>
                <w:szCs w:val="14"/>
                <w:color w:val="auto"/>
              </w:rPr>
              <w:t>3,009</w:t>
            </w:r>
          </w:p>
        </w:tc>
        <w:tc>
          <w:tcPr>
            <w:tcW w:w="2820" w:type="dxa"/>
            <w:vAlign w:val="bottom"/>
            <w:tcBorders>
              <w:bottom w:val="single" w:sz="8" w:color="582C83"/>
            </w:tcBorders>
            <w:shd w:val="clear" w:color="auto" w:fill="E0DBEA"/>
          </w:tcPr>
          <w:p>
            <w:pPr>
              <w:jc w:val="right"/>
              <w:ind w:right="443"/>
              <w:spacing w:after="0"/>
              <w:rPr>
                <w:sz w:val="20"/>
                <w:szCs w:val="20"/>
                <w:color w:val="auto"/>
              </w:rPr>
            </w:pPr>
            <w:r>
              <w:rPr>
                <w:rFonts w:ascii="Arial" w:cs="Arial" w:eastAsia="Arial" w:hAnsi="Arial"/>
                <w:sz w:val="14"/>
                <w:szCs w:val="14"/>
                <w:color w:val="auto"/>
              </w:rPr>
              <w:t>196,367</w:t>
            </w:r>
          </w:p>
        </w:tc>
        <w:tc>
          <w:tcPr>
            <w:tcW w:w="19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58,215</w:t>
            </w:r>
          </w:p>
        </w:tc>
        <w:tc>
          <w:tcPr>
            <w:tcW w:w="0" w:type="dxa"/>
            <w:vAlign w:val="bottom"/>
          </w:tcPr>
          <w:p>
            <w:pPr>
              <w:spacing w:after="0"/>
              <w:rPr>
                <w:sz w:val="1"/>
                <w:szCs w:val="1"/>
                <w:color w:val="auto"/>
              </w:rPr>
            </w:pPr>
          </w:p>
        </w:tc>
      </w:tr>
      <w:tr>
        <w:trPr>
          <w:trHeight w:val="210"/>
        </w:trPr>
        <w:tc>
          <w:tcPr>
            <w:tcW w:w="1800" w:type="dxa"/>
            <w:vAlign w:val="bottom"/>
            <w:tcBorders>
              <w:bottom w:val="single" w:sz="8" w:color="5E2D91"/>
            </w:tcBorders>
          </w:tcPr>
          <w:p>
            <w:pPr>
              <w:ind w:left="60"/>
              <w:spacing w:after="0"/>
              <w:rPr>
                <w:sz w:val="20"/>
                <w:szCs w:val="20"/>
                <w:color w:val="auto"/>
              </w:rPr>
            </w:pPr>
            <w:r>
              <w:rPr>
                <w:rFonts w:ascii="Arial" w:cs="Arial" w:eastAsia="Arial" w:hAnsi="Arial"/>
                <w:sz w:val="14"/>
                <w:szCs w:val="14"/>
                <w:b w:val="1"/>
                <w:bCs w:val="1"/>
                <w:color w:val="auto"/>
              </w:rPr>
              <w:t>Todman, Michael</w:t>
            </w:r>
          </w:p>
        </w:tc>
        <w:tc>
          <w:tcPr>
            <w:tcW w:w="2440" w:type="dxa"/>
            <w:vAlign w:val="bottom"/>
            <w:tcBorders>
              <w:bottom w:val="single" w:sz="8" w:color="582C83"/>
            </w:tcBorders>
          </w:tcPr>
          <w:p>
            <w:pPr>
              <w:jc w:val="right"/>
              <w:ind w:right="23"/>
              <w:spacing w:after="0"/>
              <w:rPr>
                <w:sz w:val="20"/>
                <w:szCs w:val="20"/>
                <w:color w:val="auto"/>
              </w:rPr>
            </w:pPr>
            <w:r>
              <w:rPr>
                <w:rFonts w:ascii="Arial" w:cs="Arial" w:eastAsia="Arial" w:hAnsi="Arial"/>
                <w:sz w:val="14"/>
                <w:szCs w:val="14"/>
                <w:color w:val="auto"/>
              </w:rPr>
              <w:t>3,009</w:t>
            </w:r>
          </w:p>
        </w:tc>
        <w:tc>
          <w:tcPr>
            <w:tcW w:w="2820" w:type="dxa"/>
            <w:vAlign w:val="bottom"/>
            <w:tcBorders>
              <w:bottom w:val="single" w:sz="8" w:color="582C83"/>
            </w:tcBorders>
          </w:tcPr>
          <w:p>
            <w:pPr>
              <w:jc w:val="right"/>
              <w:ind w:right="443"/>
              <w:spacing w:after="0"/>
              <w:rPr>
                <w:sz w:val="20"/>
                <w:szCs w:val="20"/>
                <w:color w:val="auto"/>
              </w:rPr>
            </w:pPr>
            <w:r>
              <w:rPr>
                <w:rFonts w:ascii="Arial" w:cs="Arial" w:eastAsia="Arial" w:hAnsi="Arial"/>
                <w:sz w:val="14"/>
                <w:szCs w:val="14"/>
                <w:color w:val="auto"/>
              </w:rPr>
              <w:t>196,367</w:t>
            </w:r>
          </w:p>
        </w:tc>
        <w:tc>
          <w:tcPr>
            <w:tcW w:w="194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19,535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-1062355</wp:posOffset>
            </wp:positionV>
            <wp:extent cx="6810375" cy="27451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10375" cy="2745105"/>
                    </a:xfrm>
                    <a:prstGeom prst="rect">
                      <a:avLst/>
                    </a:prstGeom>
                    <a:noFill/>
                  </pic:spPr>
                </pic:pic>
              </a:graphicData>
            </a:graphic>
          </wp:anchor>
        </w:drawing>
      </w:r>
    </w:p>
    <w:p>
      <w:pPr>
        <w:spacing w:after="0" w:line="30" w:lineRule="exact"/>
        <w:rPr>
          <w:sz w:val="20"/>
          <w:szCs w:val="20"/>
          <w:color w:val="auto"/>
        </w:rPr>
      </w:pPr>
    </w:p>
    <w:p>
      <w:pPr>
        <w:ind w:left="60"/>
        <w:spacing w:after="0"/>
        <w:tabs>
          <w:tab w:leader="none" w:pos="300" w:val="left"/>
        </w:tabs>
        <w:rPr>
          <w:sz w:val="20"/>
          <w:szCs w:val="20"/>
          <w:color w:val="auto"/>
        </w:rPr>
      </w:pPr>
      <w:r>
        <w:rPr>
          <w:rFonts w:ascii="Arial" w:cs="Arial" w:eastAsia="Arial" w:hAnsi="Arial"/>
          <w:sz w:val="13"/>
          <w:szCs w:val="13"/>
          <w:color w:val="auto"/>
          <w:shd w:val="clear" w:color="auto" w:fill="E0DBEA"/>
        </w:rPr>
        <w:t>(1)</w:t>
      </w:r>
      <w:r>
        <w:rPr>
          <w:sz w:val="20"/>
          <w:szCs w:val="20"/>
          <w:color w:val="auto"/>
        </w:rPr>
        <w:tab/>
      </w:r>
      <w:r>
        <w:rPr>
          <w:rFonts w:ascii="Arial" w:cs="Arial" w:eastAsia="Arial" w:hAnsi="Arial"/>
          <w:sz w:val="12"/>
          <w:szCs w:val="12"/>
          <w:color w:val="auto"/>
          <w:shd w:val="clear" w:color="auto" w:fill="E0DBEA"/>
        </w:rPr>
        <w:t>The amounts shown in this column represent the full grant date fair value of the DSUs granted in 2025 as computed in accordance with FASB ASC Topic 718.</w:t>
      </w:r>
    </w:p>
    <w:p>
      <w:pPr>
        <w:spacing w:after="0" w:line="16" w:lineRule="exact"/>
        <w:rPr>
          <w:sz w:val="20"/>
          <w:szCs w:val="20"/>
          <w:color w:val="auto"/>
        </w:rPr>
      </w:pPr>
    </w:p>
    <w:p>
      <w:pPr>
        <w:jc w:val="both"/>
        <w:ind w:left="320" w:right="40" w:hanging="259"/>
        <w:spacing w:after="0" w:line="280" w:lineRule="auto"/>
        <w:tabs>
          <w:tab w:leader="none" w:pos="300" w:val="left"/>
        </w:tabs>
        <w:rPr>
          <w:sz w:val="20"/>
          <w:szCs w:val="20"/>
          <w:color w:val="auto"/>
        </w:rPr>
      </w:pPr>
      <w:r>
        <w:rPr>
          <w:rFonts w:ascii="Arial" w:cs="Arial" w:eastAsia="Arial" w:hAnsi="Arial"/>
          <w:sz w:val="13"/>
          <w:szCs w:val="13"/>
          <w:color w:val="auto"/>
        </w:rPr>
        <w:t>(2)</w:t>
        <w:tab/>
        <w:t>The amounts shown in this column include dividends accrued on outstanding DSU grants. Shares subject to such DSU grants are fully vested, but settlement is deferred until six months after the director separates from service on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582C83"/>
        </w:rPr>
        <w:t>62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347345</wp:posOffset>
            </wp:positionV>
            <wp:extent cx="6810375" cy="76885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10375" cy="7688580"/>
                    </a:xfrm>
                    <a:prstGeom prst="rect">
                      <a:avLst/>
                    </a:prstGeom>
                    <a:noFill/>
                  </pic:spPr>
                </pic:pic>
              </a:graphicData>
            </a:graphic>
          </wp:anchor>
        </w:drawing>
      </w:r>
    </w:p>
    <w:p>
      <w:pPr>
        <w:sectPr>
          <w:pgSz w:w="11900" w:h="16838" w:orient="portrait"/>
          <w:cols w:equalWidth="0" w:num="1">
            <w:col w:w="9100"/>
          </w:cols>
          <w:pgMar w:left="1360" w:top="100" w:right="1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0"/>
        <w:spacing w:after="0" w:line="283" w:lineRule="auto"/>
        <w:rPr>
          <w:sz w:val="20"/>
          <w:szCs w:val="20"/>
          <w:color w:val="auto"/>
        </w:rPr>
      </w:pPr>
      <w:r>
        <w:rPr>
          <w:rFonts w:ascii="Arial" w:cs="Arial" w:eastAsia="Arial" w:hAnsi="Arial"/>
          <w:sz w:val="44"/>
          <w:szCs w:val="44"/>
          <w:b w:val="1"/>
          <w:bCs w:val="1"/>
          <w:color w:val="582C83"/>
        </w:rPr>
        <w:t>COMPENSATION DISCUSSION AND ANALYSIS (CD&amp;A)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620" w:type="dxa"/>
            <w:vAlign w:val="bottom"/>
          </w:tcPr>
          <w:p>
            <w:pPr>
              <w:spacing w:after="0"/>
              <w:rPr>
                <w:sz w:val="20"/>
                <w:szCs w:val="20"/>
                <w:color w:val="auto"/>
              </w:rPr>
            </w:pPr>
            <w:r>
              <w:rPr>
                <w:rFonts w:ascii="Arial" w:cs="Arial" w:eastAsia="Arial" w:hAnsi="Arial"/>
                <w:sz w:val="14"/>
                <w:szCs w:val="14"/>
                <w:b w:val="1"/>
                <w:bCs w:val="1"/>
                <w:color w:val="592C82"/>
              </w:rPr>
              <w:t>TABLE OF CONTENTS</w:t>
            </w:r>
          </w:p>
        </w:tc>
        <w:tc>
          <w:tcPr>
            <w:tcW w:w="660" w:type="dxa"/>
            <w:vAlign w:val="bottom"/>
          </w:tcPr>
          <w:p>
            <w:pPr>
              <w:spacing w:after="0"/>
              <w:rPr>
                <w:sz w:val="17"/>
                <w:szCs w:val="17"/>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4"/>
                <w:szCs w:val="14"/>
                <w:b w:val="1"/>
                <w:bCs w:val="1"/>
                <w:color w:val="582C83"/>
              </w:rPr>
              <w:t>EXECUTIVE SUMMARY</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582C83"/>
              </w:rPr>
              <w:t>63</w:t>
            </w:r>
          </w:p>
        </w:tc>
      </w:tr>
      <w:tr>
        <w:trPr>
          <w:trHeight w:val="283"/>
        </w:trPr>
        <w:tc>
          <w:tcPr>
            <w:tcW w:w="3620" w:type="dxa"/>
            <w:vAlign w:val="bottom"/>
          </w:tcPr>
          <w:p>
            <w:pPr>
              <w:spacing w:after="0"/>
              <w:rPr>
                <w:sz w:val="20"/>
                <w:szCs w:val="20"/>
                <w:color w:val="auto"/>
              </w:rPr>
            </w:pPr>
            <w:r>
              <w:rPr>
                <w:rFonts w:ascii="Arial" w:cs="Arial" w:eastAsia="Arial" w:hAnsi="Arial"/>
                <w:sz w:val="14"/>
                <w:szCs w:val="14"/>
                <w:b w:val="1"/>
                <w:bCs w:val="1"/>
                <w:color w:val="582C83"/>
              </w:rPr>
              <w:t>COMPENSATION PROGRAM</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582C83"/>
              </w:rPr>
              <w:t>67</w:t>
            </w:r>
          </w:p>
        </w:tc>
      </w:tr>
      <w:tr>
        <w:trPr>
          <w:trHeight w:val="284"/>
        </w:trPr>
        <w:tc>
          <w:tcPr>
            <w:tcW w:w="3620" w:type="dxa"/>
            <w:vAlign w:val="bottom"/>
          </w:tcPr>
          <w:p>
            <w:pPr>
              <w:spacing w:after="0"/>
              <w:rPr>
                <w:sz w:val="20"/>
                <w:szCs w:val="20"/>
                <w:color w:val="auto"/>
              </w:rPr>
            </w:pPr>
            <w:r>
              <w:rPr>
                <w:rFonts w:ascii="Arial" w:cs="Arial" w:eastAsia="Arial" w:hAnsi="Arial"/>
                <w:sz w:val="14"/>
                <w:szCs w:val="14"/>
                <w:b w:val="1"/>
                <w:bCs w:val="1"/>
                <w:color w:val="582C83"/>
              </w:rPr>
              <w:t>COMPENSATION DETERMINATION PROCESS</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582C83"/>
              </w:rPr>
              <w:t>79</w:t>
            </w:r>
          </w:p>
        </w:tc>
      </w:tr>
      <w:tr>
        <w:trPr>
          <w:trHeight w:val="284"/>
        </w:trPr>
        <w:tc>
          <w:tcPr>
            <w:tcW w:w="3620" w:type="dxa"/>
            <w:vAlign w:val="bottom"/>
          </w:tcPr>
          <w:p>
            <w:pPr>
              <w:spacing w:after="0"/>
              <w:rPr>
                <w:sz w:val="20"/>
                <w:szCs w:val="20"/>
                <w:color w:val="auto"/>
              </w:rPr>
            </w:pPr>
            <w:r>
              <w:rPr>
                <w:rFonts w:ascii="Arial" w:cs="Arial" w:eastAsia="Arial" w:hAnsi="Arial"/>
                <w:sz w:val="14"/>
                <w:szCs w:val="14"/>
                <w:b w:val="1"/>
                <w:bCs w:val="1"/>
                <w:color w:val="582C83"/>
              </w:rPr>
              <w:t>COMPENSATION GOVERNANCE</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582C83"/>
              </w:rPr>
              <w:t>82</w:t>
            </w:r>
          </w:p>
        </w:tc>
      </w:tr>
    </w:tbl>
    <w:p>
      <w:pPr>
        <w:spacing w:after="0" w:line="620" w:lineRule="exact"/>
        <w:rPr>
          <w:sz w:val="20"/>
          <w:szCs w:val="20"/>
          <w:color w:val="auto"/>
        </w:rPr>
      </w:pPr>
    </w:p>
    <w:p>
      <w:pPr>
        <w:sectPr>
          <w:pgSz w:w="11900" w:h="16838" w:orient="portrait"/>
          <w:cols w:equalWidth="0" w:num="2">
            <w:col w:w="4020" w:space="720"/>
            <w:col w:w="4360"/>
          </w:cols>
          <w:pgMar w:left="1360" w:top="100" w:right="1439" w:bottom="0" w:gutter="0" w:footer="0" w:header="0"/>
          <w:type w:val="continuous"/>
        </w:sectPr>
      </w:pPr>
    </w:p>
    <w:p>
      <w:pPr>
        <w:spacing w:after="0" w:line="372" w:lineRule="exact"/>
        <w:rPr>
          <w:sz w:val="20"/>
          <w:szCs w:val="20"/>
          <w:color w:val="auto"/>
        </w:rPr>
      </w:pPr>
    </w:p>
    <w:p>
      <w:pPr>
        <w:jc w:val="both"/>
        <w:ind w:left="60"/>
        <w:spacing w:after="0" w:line="291" w:lineRule="auto"/>
        <w:rPr>
          <w:sz w:val="20"/>
          <w:szCs w:val="20"/>
          <w:color w:val="auto"/>
        </w:rPr>
      </w:pPr>
      <w:r>
        <w:rPr>
          <w:rFonts w:ascii="Arial" w:cs="Arial" w:eastAsia="Arial" w:hAnsi="Arial"/>
          <w:sz w:val="17"/>
          <w:szCs w:val="17"/>
          <w:color w:val="auto"/>
        </w:rPr>
        <w:t>This CD&amp;A details our alignment of pay with financial and strategic performance, provides an overview of compensation programs, explains the guiding principles and practices upon which our executive compensation program is based, and describes the compensation paid to the following individuals, who were our 2025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1420" w:type="dxa"/>
            <w:vAlign w:val="bottom"/>
          </w:tcPr>
          <w:p>
            <w:pPr>
              <w:jc w:val="center"/>
              <w:ind w:right="308"/>
              <w:spacing w:after="0"/>
              <w:rPr>
                <w:sz w:val="20"/>
                <w:szCs w:val="20"/>
                <w:color w:val="auto"/>
              </w:rPr>
            </w:pPr>
            <w:r>
              <w:rPr>
                <w:rFonts w:ascii="Arial" w:cs="Arial" w:eastAsia="Arial" w:hAnsi="Arial"/>
                <w:sz w:val="14"/>
                <w:szCs w:val="14"/>
                <w:b w:val="1"/>
                <w:bCs w:val="1"/>
                <w:color w:val="auto"/>
              </w:rPr>
              <w:t>Dirk Van de Put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Luca Zaramella</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Volker Kuhn</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Gustavo Valle</w:t>
            </w:r>
          </w:p>
        </w:tc>
        <w:tc>
          <w:tcPr>
            <w:tcW w:w="1540" w:type="dxa"/>
            <w:vAlign w:val="bottom"/>
          </w:tcPr>
          <w:p>
            <w:pPr>
              <w:jc w:val="center"/>
              <w:ind w:left="308"/>
              <w:spacing w:after="0"/>
              <w:rPr>
                <w:sz w:val="20"/>
                <w:szCs w:val="20"/>
                <w:color w:val="auto"/>
              </w:rPr>
            </w:pPr>
            <w:r>
              <w:rPr>
                <w:rFonts w:ascii="Arial" w:cs="Arial" w:eastAsia="Arial" w:hAnsi="Arial"/>
                <w:sz w:val="14"/>
                <w:szCs w:val="14"/>
                <w:b w:val="1"/>
                <w:bCs w:val="1"/>
                <w:color w:val="auto"/>
              </w:rPr>
              <w:t>Martin Renaud</w:t>
            </w:r>
          </w:p>
        </w:tc>
      </w:tr>
      <w:tr>
        <w:trPr>
          <w:trHeight w:val="175"/>
        </w:trPr>
        <w:tc>
          <w:tcPr>
            <w:tcW w:w="1420" w:type="dxa"/>
            <w:vAlign w:val="bottom"/>
          </w:tcPr>
          <w:p>
            <w:pPr>
              <w:jc w:val="center"/>
              <w:ind w:right="308"/>
              <w:spacing w:after="0"/>
              <w:rPr>
                <w:sz w:val="20"/>
                <w:szCs w:val="20"/>
                <w:color w:val="auto"/>
              </w:rPr>
            </w:pPr>
            <w:r>
              <w:rPr>
                <w:rFonts w:ascii="Arial" w:cs="Arial" w:eastAsia="Arial" w:hAnsi="Arial"/>
                <w:sz w:val="14"/>
                <w:szCs w:val="14"/>
                <w:color w:val="auto"/>
              </w:rPr>
              <w:t>Chair &amp; CEO</w:t>
            </w:r>
          </w:p>
        </w:tc>
        <w:tc>
          <w:tcPr>
            <w:tcW w:w="1940" w:type="dxa"/>
            <w:vAlign w:val="bottom"/>
          </w:tcPr>
          <w:p>
            <w:pPr>
              <w:jc w:val="center"/>
              <w:spacing w:after="0"/>
              <w:rPr>
                <w:sz w:val="20"/>
                <w:szCs w:val="20"/>
                <w:color w:val="auto"/>
              </w:rPr>
            </w:pPr>
            <w:r>
              <w:rPr>
                <w:rFonts w:ascii="Arial" w:cs="Arial" w:eastAsia="Arial" w:hAnsi="Arial"/>
                <w:sz w:val="14"/>
                <w:szCs w:val="14"/>
                <w:color w:val="auto"/>
              </w:rPr>
              <w:t>Executive Vice</w:t>
            </w:r>
          </w:p>
        </w:tc>
        <w:tc>
          <w:tcPr>
            <w:tcW w:w="1880" w:type="dxa"/>
            <w:vAlign w:val="bottom"/>
          </w:tcPr>
          <w:p>
            <w:pPr>
              <w:jc w:val="center"/>
              <w:spacing w:after="0"/>
              <w:rPr>
                <w:sz w:val="20"/>
                <w:szCs w:val="20"/>
                <w:color w:val="auto"/>
              </w:rPr>
            </w:pPr>
            <w:r>
              <w:rPr>
                <w:rFonts w:ascii="Arial" w:cs="Arial" w:eastAsia="Arial" w:hAnsi="Arial"/>
                <w:sz w:val="14"/>
                <w:szCs w:val="14"/>
                <w:color w:val="auto"/>
              </w:rPr>
              <w:t>EVP &amp; President,</w:t>
            </w:r>
          </w:p>
        </w:tc>
        <w:tc>
          <w:tcPr>
            <w:tcW w:w="1900" w:type="dxa"/>
            <w:vAlign w:val="bottom"/>
          </w:tcPr>
          <w:p>
            <w:pPr>
              <w:jc w:val="center"/>
              <w:spacing w:after="0"/>
              <w:rPr>
                <w:sz w:val="20"/>
                <w:szCs w:val="20"/>
                <w:color w:val="auto"/>
              </w:rPr>
            </w:pPr>
            <w:r>
              <w:rPr>
                <w:rFonts w:ascii="Arial" w:cs="Arial" w:eastAsia="Arial" w:hAnsi="Arial"/>
                <w:sz w:val="14"/>
                <w:szCs w:val="14"/>
                <w:color w:val="auto"/>
              </w:rPr>
              <w:t>EVP &amp; President,</w:t>
            </w:r>
          </w:p>
        </w:tc>
        <w:tc>
          <w:tcPr>
            <w:tcW w:w="1540" w:type="dxa"/>
            <w:vAlign w:val="bottom"/>
          </w:tcPr>
          <w:p>
            <w:pPr>
              <w:jc w:val="center"/>
              <w:ind w:left="308"/>
              <w:spacing w:after="0"/>
              <w:rPr>
                <w:sz w:val="20"/>
                <w:szCs w:val="20"/>
                <w:color w:val="auto"/>
              </w:rPr>
            </w:pPr>
            <w:r>
              <w:rPr>
                <w:rFonts w:ascii="Arial" w:cs="Arial" w:eastAsia="Arial" w:hAnsi="Arial"/>
                <w:sz w:val="14"/>
                <w:szCs w:val="14"/>
                <w:color w:val="auto"/>
              </w:rPr>
              <w:t>EVP &amp; Chief</w:t>
            </w:r>
          </w:p>
        </w:tc>
      </w:tr>
      <w:tr>
        <w:trPr>
          <w:trHeight w:val="175"/>
        </w:trPr>
        <w:tc>
          <w:tcPr>
            <w:tcW w:w="142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President (“EVP”),</w:t>
            </w:r>
          </w:p>
        </w:tc>
        <w:tc>
          <w:tcPr>
            <w:tcW w:w="1880" w:type="dxa"/>
            <w:vAlign w:val="bottom"/>
          </w:tcPr>
          <w:p>
            <w:pPr>
              <w:jc w:val="center"/>
              <w:spacing w:after="0"/>
              <w:rPr>
                <w:sz w:val="20"/>
                <w:szCs w:val="20"/>
                <w:color w:val="auto"/>
              </w:rPr>
            </w:pPr>
            <w:r>
              <w:rPr>
                <w:rFonts w:ascii="Arial" w:cs="Arial" w:eastAsia="Arial" w:hAnsi="Arial"/>
                <w:sz w:val="14"/>
                <w:szCs w:val="14"/>
                <w:color w:val="auto"/>
              </w:rPr>
              <w:t>Europe</w:t>
            </w:r>
          </w:p>
        </w:tc>
        <w:tc>
          <w:tcPr>
            <w:tcW w:w="1900" w:type="dxa"/>
            <w:vAlign w:val="bottom"/>
          </w:tcPr>
          <w:p>
            <w:pPr>
              <w:jc w:val="center"/>
              <w:spacing w:after="0"/>
              <w:rPr>
                <w:sz w:val="20"/>
                <w:szCs w:val="20"/>
                <w:color w:val="auto"/>
              </w:rPr>
            </w:pPr>
            <w:r>
              <w:rPr>
                <w:rFonts w:ascii="Arial" w:cs="Arial" w:eastAsia="Arial" w:hAnsi="Arial"/>
                <w:sz w:val="14"/>
                <w:szCs w:val="14"/>
                <w:color w:val="auto"/>
              </w:rPr>
              <w:t>North America</w:t>
            </w:r>
          </w:p>
        </w:tc>
        <w:tc>
          <w:tcPr>
            <w:tcW w:w="1540" w:type="dxa"/>
            <w:vAlign w:val="bottom"/>
          </w:tcPr>
          <w:p>
            <w:pPr>
              <w:jc w:val="center"/>
              <w:ind w:left="308"/>
              <w:spacing w:after="0"/>
              <w:rPr>
                <w:sz w:val="20"/>
                <w:szCs w:val="20"/>
                <w:color w:val="auto"/>
              </w:rPr>
            </w:pPr>
            <w:r>
              <w:rPr>
                <w:rFonts w:ascii="Arial" w:cs="Arial" w:eastAsia="Arial" w:hAnsi="Arial"/>
                <w:sz w:val="14"/>
                <w:szCs w:val="14"/>
                <w:color w:val="auto"/>
              </w:rPr>
              <w:t>Marketing &amp; Sales</w:t>
            </w:r>
          </w:p>
        </w:tc>
      </w:tr>
      <w:tr>
        <w:trPr>
          <w:trHeight w:val="162"/>
        </w:trPr>
        <w:tc>
          <w:tcPr>
            <w:tcW w:w="14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Chief Operating</w:t>
            </w:r>
          </w:p>
        </w:tc>
        <w:tc>
          <w:tcPr>
            <w:tcW w:w="1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jc w:val="center"/>
              <w:ind w:left="328"/>
              <w:spacing w:after="0"/>
              <w:rPr>
                <w:sz w:val="20"/>
                <w:szCs w:val="20"/>
                <w:color w:val="auto"/>
              </w:rPr>
            </w:pPr>
            <w:r>
              <w:rPr>
                <w:rFonts w:ascii="Arial" w:cs="Arial" w:eastAsia="Arial" w:hAnsi="Arial"/>
                <w:sz w:val="14"/>
                <w:szCs w:val="14"/>
                <w:color w:val="auto"/>
              </w:rPr>
              <w:t>Officer</w:t>
            </w:r>
          </w:p>
        </w:tc>
      </w:tr>
      <w:tr>
        <w:trPr>
          <w:trHeight w:val="175"/>
        </w:trPr>
        <w:tc>
          <w:tcPr>
            <w:tcW w:w="142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Officer (“COO”) &amp;</w:t>
            </w:r>
          </w:p>
        </w:tc>
        <w:tc>
          <w:tcPr>
            <w:tcW w:w="18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60"/>
        </w:trPr>
        <w:tc>
          <w:tcPr>
            <w:tcW w:w="1420" w:type="dxa"/>
            <w:vAlign w:val="bottom"/>
          </w:tcPr>
          <w:p>
            <w:pPr>
              <w:spacing w:after="0"/>
              <w:rPr>
                <w:sz w:val="13"/>
                <w:szCs w:val="13"/>
                <w:color w:val="auto"/>
              </w:rPr>
            </w:pPr>
          </w:p>
        </w:tc>
        <w:tc>
          <w:tcPr>
            <w:tcW w:w="1940" w:type="dxa"/>
            <w:vAlign w:val="bottom"/>
          </w:tcPr>
          <w:p>
            <w:pPr>
              <w:jc w:val="center"/>
              <w:spacing w:after="0" w:line="159" w:lineRule="exact"/>
              <w:rPr>
                <w:sz w:val="20"/>
                <w:szCs w:val="20"/>
                <w:color w:val="auto"/>
              </w:rPr>
            </w:pPr>
            <w:r>
              <w:rPr>
                <w:rFonts w:ascii="Arial" w:cs="Arial" w:eastAsia="Arial" w:hAnsi="Arial"/>
                <w:sz w:val="14"/>
                <w:szCs w:val="14"/>
                <w:color w:val="auto"/>
              </w:rPr>
              <w:t>Chief Financial</w:t>
            </w:r>
          </w:p>
        </w:tc>
        <w:tc>
          <w:tcPr>
            <w:tcW w:w="18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50"/>
        </w:trPr>
        <w:tc>
          <w:tcPr>
            <w:tcW w:w="14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8"/>
              </w:rPr>
              <w:t>Officer (“CFO”)</w:t>
            </w:r>
            <w:r>
              <w:rPr>
                <w:rFonts w:ascii="Arial" w:cs="Arial" w:eastAsia="Arial" w:hAnsi="Arial"/>
                <w:sz w:val="18"/>
                <w:szCs w:val="18"/>
                <w:color w:val="auto"/>
                <w:w w:val="98"/>
                <w:vertAlign w:val="superscript"/>
              </w:rPr>
              <w:t>(1)</w:t>
            </w:r>
          </w:p>
        </w:tc>
        <w:tc>
          <w:tcPr>
            <w:tcW w:w="18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4" w:lineRule="exact"/>
        <w:rPr>
          <w:sz w:val="20"/>
          <w:szCs w:val="20"/>
          <w:color w:val="auto"/>
        </w:rPr>
      </w:pPr>
    </w:p>
    <w:p>
      <w:pPr>
        <w:ind w:left="60"/>
        <w:spacing w:after="0"/>
        <w:tabs>
          <w:tab w:leader="none" w:pos="30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Effective February 1, 2026, Mr. Zaramella was appointed as COO, in addition to his role as EVP and CFO.</w:t>
      </w:r>
    </w:p>
    <w:p>
      <w:pPr>
        <w:spacing w:after="0" w:line="361" w:lineRule="exact"/>
        <w:rPr>
          <w:sz w:val="20"/>
          <w:szCs w:val="20"/>
          <w:color w:val="auto"/>
        </w:rPr>
      </w:pPr>
    </w:p>
    <w:p>
      <w:pPr>
        <w:ind w:left="120"/>
        <w:spacing w:after="0"/>
        <w:rPr>
          <w:sz w:val="20"/>
          <w:szCs w:val="20"/>
          <w:color w:val="auto"/>
        </w:rPr>
      </w:pPr>
      <w:r>
        <w:rPr>
          <w:sz w:val="1"/>
          <w:szCs w:val="1"/>
          <w:color w:val="auto"/>
        </w:rPr>
        <w:drawing>
          <wp:inline distT="0" distB="0" distL="0" distR="0">
            <wp:extent cx="162560" cy="16256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9"/>
          <w:szCs w:val="29"/>
          <w:b w:val="1"/>
          <w:bCs w:val="1"/>
          <w:color w:val="auto"/>
        </w:rPr>
        <w:t xml:space="preserve"> EXECUTIVE SUMMARY</w:t>
      </w:r>
    </w:p>
    <w:p>
      <w:pPr>
        <w:spacing w:after="0" w:line="30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582C83"/>
        </w:rPr>
        <w:t>COMPANY PERFORMANCE AND STRATEGY</w:t>
      </w:r>
    </w:p>
    <w:p>
      <w:pPr>
        <w:spacing w:after="0" w:line="118" w:lineRule="exact"/>
        <w:rPr>
          <w:sz w:val="20"/>
          <w:szCs w:val="20"/>
          <w:color w:val="auto"/>
        </w:rPr>
      </w:pPr>
    </w:p>
    <w:p>
      <w:pPr>
        <w:ind w:left="60" w:right="60"/>
        <w:spacing w:after="0" w:line="282" w:lineRule="auto"/>
        <w:rPr>
          <w:sz w:val="20"/>
          <w:szCs w:val="20"/>
          <w:color w:val="auto"/>
        </w:rPr>
      </w:pPr>
      <w:r>
        <w:rPr>
          <w:rFonts w:ascii="Arial" w:cs="Arial" w:eastAsia="Arial" w:hAnsi="Arial"/>
          <w:sz w:val="17"/>
          <w:szCs w:val="17"/>
          <w:color w:val="auto"/>
        </w:rPr>
        <w:t>We have continued to make significant progress against our Vision 2030 long-term strategy and aim to be the global leader in snacking by driving progress toward our four strategic priorities listed below. Our reward structure is tightly aligned with our strategy, using incentive plan metrics that are designed to drive high-quality results against each of our four strategic priorities.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2040" w:type="dxa"/>
            <w:vAlign w:val="bottom"/>
          </w:tcPr>
          <w:p>
            <w:pPr>
              <w:jc w:val="center"/>
              <w:spacing w:after="0"/>
              <w:rPr>
                <w:sz w:val="20"/>
                <w:szCs w:val="20"/>
                <w:color w:val="auto"/>
              </w:rPr>
            </w:pPr>
            <w:r>
              <w:rPr>
                <w:rFonts w:ascii="Arial" w:cs="Arial" w:eastAsia="Arial" w:hAnsi="Arial"/>
                <w:sz w:val="22"/>
                <w:szCs w:val="22"/>
                <w:b w:val="1"/>
                <w:bCs w:val="1"/>
                <w:color w:val="FFFFFF"/>
                <w:w w:val="99"/>
              </w:rPr>
              <w:t>GROWTH</w:t>
            </w:r>
          </w:p>
        </w:tc>
        <w:tc>
          <w:tcPr>
            <w:tcW w:w="2340" w:type="dxa"/>
            <w:vAlign w:val="bottom"/>
          </w:tcPr>
          <w:p>
            <w:pPr>
              <w:jc w:val="center"/>
              <w:ind w:left="163"/>
              <w:spacing w:after="0"/>
              <w:rPr>
                <w:sz w:val="20"/>
                <w:szCs w:val="20"/>
                <w:color w:val="auto"/>
              </w:rPr>
            </w:pPr>
            <w:r>
              <w:rPr>
                <w:rFonts w:ascii="Arial" w:cs="Arial" w:eastAsia="Arial" w:hAnsi="Arial"/>
                <w:sz w:val="22"/>
                <w:szCs w:val="22"/>
                <w:b w:val="1"/>
                <w:bCs w:val="1"/>
                <w:color w:val="582C83"/>
                <w:w w:val="98"/>
              </w:rPr>
              <w:t>EXECUTION</w:t>
            </w:r>
          </w:p>
        </w:tc>
        <w:tc>
          <w:tcPr>
            <w:tcW w:w="2260" w:type="dxa"/>
            <w:vAlign w:val="bottom"/>
          </w:tcPr>
          <w:p>
            <w:pPr>
              <w:jc w:val="center"/>
              <w:ind w:left="163"/>
              <w:spacing w:after="0"/>
              <w:rPr>
                <w:sz w:val="20"/>
                <w:szCs w:val="20"/>
                <w:color w:val="auto"/>
              </w:rPr>
            </w:pPr>
            <w:r>
              <w:rPr>
                <w:rFonts w:ascii="Arial" w:cs="Arial" w:eastAsia="Arial" w:hAnsi="Arial"/>
                <w:sz w:val="22"/>
                <w:szCs w:val="22"/>
                <w:b w:val="1"/>
                <w:bCs w:val="1"/>
                <w:color w:val="582C83"/>
                <w:w w:val="97"/>
              </w:rPr>
              <w:t>CULTURE</w:t>
            </w:r>
          </w:p>
        </w:tc>
        <w:tc>
          <w:tcPr>
            <w:tcW w:w="2240" w:type="dxa"/>
            <w:vAlign w:val="bottom"/>
          </w:tcPr>
          <w:p>
            <w:pPr>
              <w:jc w:val="center"/>
              <w:ind w:left="203"/>
              <w:spacing w:after="0"/>
              <w:rPr>
                <w:sz w:val="20"/>
                <w:szCs w:val="20"/>
                <w:color w:val="auto"/>
              </w:rPr>
            </w:pPr>
            <w:r>
              <w:rPr>
                <w:rFonts w:ascii="Arial" w:cs="Arial" w:eastAsia="Arial" w:hAnsi="Arial"/>
                <w:sz w:val="22"/>
                <w:szCs w:val="22"/>
                <w:b w:val="1"/>
                <w:bCs w:val="1"/>
                <w:color w:val="582C83"/>
                <w:w w:val="96"/>
              </w:rPr>
              <w:t>SUSTAINABILITY</w:t>
            </w:r>
          </w:p>
        </w:tc>
      </w:tr>
      <w:tr>
        <w:trPr>
          <w:trHeight w:val="204"/>
        </w:trPr>
        <w:tc>
          <w:tcPr>
            <w:tcW w:w="2040" w:type="dxa"/>
            <w:vAlign w:val="bottom"/>
          </w:tcPr>
          <w:p>
            <w:pPr>
              <w:jc w:val="center"/>
              <w:spacing w:after="0"/>
              <w:rPr>
                <w:sz w:val="20"/>
                <w:szCs w:val="20"/>
                <w:color w:val="auto"/>
              </w:rPr>
            </w:pPr>
            <w:r>
              <w:rPr>
                <w:rFonts w:ascii="Arial" w:cs="Arial" w:eastAsia="Arial" w:hAnsi="Arial"/>
                <w:sz w:val="14"/>
                <w:szCs w:val="14"/>
                <w:color w:val="FFFFFF"/>
              </w:rPr>
              <w:t>Accelerate</w:t>
            </w:r>
          </w:p>
        </w:tc>
        <w:tc>
          <w:tcPr>
            <w:tcW w:w="2340" w:type="dxa"/>
            <w:vAlign w:val="bottom"/>
          </w:tcPr>
          <w:p>
            <w:pPr>
              <w:jc w:val="center"/>
              <w:ind w:left="143"/>
              <w:spacing w:after="0"/>
              <w:rPr>
                <w:sz w:val="20"/>
                <w:szCs w:val="20"/>
                <w:color w:val="auto"/>
              </w:rPr>
            </w:pPr>
            <w:r>
              <w:rPr>
                <w:rFonts w:ascii="Arial" w:cs="Arial" w:eastAsia="Arial" w:hAnsi="Arial"/>
                <w:sz w:val="14"/>
                <w:szCs w:val="14"/>
                <w:color w:val="582C83"/>
              </w:rPr>
              <w:t>Drive operational</w:t>
            </w:r>
          </w:p>
        </w:tc>
        <w:tc>
          <w:tcPr>
            <w:tcW w:w="2260" w:type="dxa"/>
            <w:vAlign w:val="bottom"/>
          </w:tcPr>
          <w:p>
            <w:pPr>
              <w:jc w:val="center"/>
              <w:ind w:left="183"/>
              <w:spacing w:after="0"/>
              <w:rPr>
                <w:sz w:val="20"/>
                <w:szCs w:val="20"/>
                <w:color w:val="auto"/>
              </w:rPr>
            </w:pPr>
            <w:r>
              <w:rPr>
                <w:rFonts w:ascii="Arial" w:cs="Arial" w:eastAsia="Arial" w:hAnsi="Arial"/>
                <w:sz w:val="14"/>
                <w:szCs w:val="14"/>
                <w:color w:val="582C83"/>
              </w:rPr>
              <w:t>Build a winning</w:t>
            </w:r>
          </w:p>
        </w:tc>
        <w:tc>
          <w:tcPr>
            <w:tcW w:w="2240" w:type="dxa"/>
            <w:vAlign w:val="bottom"/>
          </w:tcPr>
          <w:p>
            <w:pPr>
              <w:jc w:val="center"/>
              <w:ind w:left="223"/>
              <w:spacing w:after="0"/>
              <w:rPr>
                <w:sz w:val="20"/>
                <w:szCs w:val="20"/>
                <w:color w:val="auto"/>
              </w:rPr>
            </w:pPr>
            <w:r>
              <w:rPr>
                <w:rFonts w:ascii="Arial" w:cs="Arial" w:eastAsia="Arial" w:hAnsi="Arial"/>
                <w:sz w:val="14"/>
                <w:szCs w:val="14"/>
                <w:color w:val="582C83"/>
              </w:rPr>
              <w:t>Scale sustainable</w:t>
            </w:r>
          </w:p>
        </w:tc>
      </w:tr>
      <w:tr>
        <w:trPr>
          <w:trHeight w:val="229"/>
        </w:trPr>
        <w:tc>
          <w:tcPr>
            <w:tcW w:w="2040" w:type="dxa"/>
            <w:vAlign w:val="bottom"/>
          </w:tcPr>
          <w:p>
            <w:pPr>
              <w:jc w:val="center"/>
              <w:spacing w:after="0"/>
              <w:rPr>
                <w:sz w:val="20"/>
                <w:szCs w:val="20"/>
                <w:color w:val="auto"/>
              </w:rPr>
            </w:pPr>
            <w:r>
              <w:rPr>
                <w:rFonts w:ascii="Arial" w:cs="Arial" w:eastAsia="Arial" w:hAnsi="Arial"/>
                <w:sz w:val="14"/>
                <w:szCs w:val="14"/>
                <w:color w:val="FFFFFF"/>
              </w:rPr>
              <w:t>consumer-centric growth</w:t>
            </w:r>
          </w:p>
        </w:tc>
        <w:tc>
          <w:tcPr>
            <w:tcW w:w="2340" w:type="dxa"/>
            <w:vAlign w:val="bottom"/>
          </w:tcPr>
          <w:p>
            <w:pPr>
              <w:jc w:val="center"/>
              <w:ind w:left="143"/>
              <w:spacing w:after="0"/>
              <w:rPr>
                <w:sz w:val="20"/>
                <w:szCs w:val="20"/>
                <w:color w:val="auto"/>
              </w:rPr>
            </w:pPr>
            <w:r>
              <w:rPr>
                <w:rFonts w:ascii="Arial" w:cs="Arial" w:eastAsia="Arial" w:hAnsi="Arial"/>
                <w:sz w:val="14"/>
                <w:szCs w:val="14"/>
                <w:color w:val="582C83"/>
              </w:rPr>
              <w:t>excellence</w:t>
            </w:r>
          </w:p>
        </w:tc>
        <w:tc>
          <w:tcPr>
            <w:tcW w:w="2260" w:type="dxa"/>
            <w:vAlign w:val="bottom"/>
          </w:tcPr>
          <w:p>
            <w:pPr>
              <w:jc w:val="center"/>
              <w:ind w:left="203"/>
              <w:spacing w:after="0"/>
              <w:rPr>
                <w:sz w:val="20"/>
                <w:szCs w:val="20"/>
                <w:color w:val="auto"/>
              </w:rPr>
            </w:pPr>
            <w:r>
              <w:rPr>
                <w:rFonts w:ascii="Arial" w:cs="Arial" w:eastAsia="Arial" w:hAnsi="Arial"/>
                <w:sz w:val="14"/>
                <w:szCs w:val="14"/>
                <w:color w:val="582C83"/>
              </w:rPr>
              <w:t>growth culture</w:t>
            </w:r>
          </w:p>
        </w:tc>
        <w:tc>
          <w:tcPr>
            <w:tcW w:w="2240" w:type="dxa"/>
            <w:vAlign w:val="bottom"/>
          </w:tcPr>
          <w:p>
            <w:pPr>
              <w:jc w:val="center"/>
              <w:ind w:left="223"/>
              <w:spacing w:after="0"/>
              <w:rPr>
                <w:sz w:val="20"/>
                <w:szCs w:val="20"/>
                <w:color w:val="auto"/>
              </w:rPr>
            </w:pPr>
            <w:r>
              <w:rPr>
                <w:rFonts w:ascii="Arial" w:cs="Arial" w:eastAsia="Arial" w:hAnsi="Arial"/>
                <w:sz w:val="14"/>
                <w:szCs w:val="14"/>
                <w:color w:val="582C83"/>
              </w:rPr>
              <w:t>snacking</w:t>
            </w:r>
          </w:p>
        </w:tc>
      </w:tr>
      <w:tr>
        <w:trPr>
          <w:trHeight w:val="485"/>
        </w:trPr>
        <w:tc>
          <w:tcPr>
            <w:tcW w:w="2040" w:type="dxa"/>
            <w:vAlign w:val="bottom"/>
          </w:tcPr>
          <w:p>
            <w:pPr>
              <w:spacing w:after="0"/>
              <w:rPr>
                <w:sz w:val="20"/>
                <w:szCs w:val="20"/>
                <w:color w:val="auto"/>
              </w:rPr>
            </w:pPr>
            <w:r>
              <w:rPr>
                <w:rFonts w:ascii="Arial" w:cs="Arial" w:eastAsia="Arial" w:hAnsi="Arial"/>
                <w:sz w:val="14"/>
                <w:szCs w:val="14"/>
                <w:color w:val="auto"/>
              </w:rPr>
              <w:t>Accelerating growth while</w:t>
            </w:r>
          </w:p>
        </w:tc>
        <w:tc>
          <w:tcPr>
            <w:tcW w:w="2340" w:type="dxa"/>
            <w:vAlign w:val="bottom"/>
          </w:tcPr>
          <w:p>
            <w:pPr>
              <w:ind w:left="240"/>
              <w:spacing w:after="0"/>
              <w:rPr>
                <w:sz w:val="20"/>
                <w:szCs w:val="20"/>
                <w:color w:val="auto"/>
              </w:rPr>
            </w:pPr>
            <w:r>
              <w:rPr>
                <w:rFonts w:ascii="Arial" w:cs="Arial" w:eastAsia="Arial" w:hAnsi="Arial"/>
                <w:sz w:val="14"/>
                <w:szCs w:val="14"/>
                <w:color w:val="auto"/>
              </w:rPr>
              <w:t>Accelerating operational,</w:t>
            </w:r>
          </w:p>
        </w:tc>
        <w:tc>
          <w:tcPr>
            <w:tcW w:w="2260" w:type="dxa"/>
            <w:vAlign w:val="bottom"/>
          </w:tcPr>
          <w:p>
            <w:pPr>
              <w:ind w:left="200"/>
              <w:spacing w:after="0"/>
              <w:rPr>
                <w:sz w:val="20"/>
                <w:szCs w:val="20"/>
                <w:color w:val="auto"/>
              </w:rPr>
            </w:pPr>
            <w:r>
              <w:rPr>
                <w:rFonts w:ascii="Arial" w:cs="Arial" w:eastAsia="Arial" w:hAnsi="Arial"/>
                <w:sz w:val="14"/>
                <w:szCs w:val="14"/>
                <w:color w:val="auto"/>
              </w:rPr>
              <w:t>Fueling the organization with</w:t>
            </w:r>
          </w:p>
        </w:tc>
        <w:tc>
          <w:tcPr>
            <w:tcW w:w="2240" w:type="dxa"/>
            <w:vAlign w:val="bottom"/>
          </w:tcPr>
          <w:p>
            <w:pPr>
              <w:ind w:left="240"/>
              <w:spacing w:after="0"/>
              <w:rPr>
                <w:sz w:val="20"/>
                <w:szCs w:val="20"/>
                <w:color w:val="auto"/>
              </w:rPr>
            </w:pPr>
            <w:r>
              <w:rPr>
                <w:rFonts w:ascii="Arial" w:cs="Arial" w:eastAsia="Arial" w:hAnsi="Arial"/>
                <w:sz w:val="14"/>
                <w:szCs w:val="14"/>
                <w:color w:val="auto"/>
              </w:rPr>
              <w:t>Advancing more sustainable</w:t>
            </w:r>
          </w:p>
        </w:tc>
      </w:tr>
      <w:tr>
        <w:trPr>
          <w:trHeight w:val="162"/>
        </w:trPr>
        <w:tc>
          <w:tcPr>
            <w:tcW w:w="2040" w:type="dxa"/>
            <w:vAlign w:val="bottom"/>
          </w:tcPr>
          <w:p>
            <w:pPr>
              <w:spacing w:after="0"/>
              <w:rPr>
                <w:sz w:val="20"/>
                <w:szCs w:val="20"/>
                <w:color w:val="auto"/>
              </w:rPr>
            </w:pPr>
            <w:r>
              <w:rPr>
                <w:rFonts w:ascii="Arial" w:cs="Arial" w:eastAsia="Arial" w:hAnsi="Arial"/>
                <w:sz w:val="14"/>
                <w:szCs w:val="14"/>
                <w:color w:val="auto"/>
              </w:rPr>
              <w:t>reshaping our portfolio to</w:t>
            </w:r>
          </w:p>
        </w:tc>
        <w:tc>
          <w:tcPr>
            <w:tcW w:w="2340" w:type="dxa"/>
            <w:vAlign w:val="bottom"/>
          </w:tcPr>
          <w:p>
            <w:pPr>
              <w:ind w:left="240"/>
              <w:spacing w:after="0"/>
              <w:rPr>
                <w:sz w:val="20"/>
                <w:szCs w:val="20"/>
                <w:color w:val="auto"/>
              </w:rPr>
            </w:pPr>
            <w:r>
              <w:rPr>
                <w:rFonts w:ascii="Arial" w:cs="Arial" w:eastAsia="Arial" w:hAnsi="Arial"/>
                <w:sz w:val="14"/>
                <w:szCs w:val="14"/>
                <w:color w:val="auto"/>
              </w:rPr>
              <w:t>commercial and supply chain</w:t>
            </w:r>
          </w:p>
        </w:tc>
        <w:tc>
          <w:tcPr>
            <w:tcW w:w="2260" w:type="dxa"/>
            <w:vAlign w:val="bottom"/>
          </w:tcPr>
          <w:p>
            <w:pPr>
              <w:ind w:left="200"/>
              <w:spacing w:after="0"/>
              <w:rPr>
                <w:sz w:val="20"/>
                <w:szCs w:val="20"/>
                <w:color w:val="auto"/>
              </w:rPr>
            </w:pPr>
            <w:r>
              <w:rPr>
                <w:rFonts w:ascii="Arial" w:cs="Arial" w:eastAsia="Arial" w:hAnsi="Arial"/>
                <w:sz w:val="14"/>
                <w:szCs w:val="14"/>
                <w:color w:val="auto"/>
              </w:rPr>
              <w:t>the talent needed to achieve</w:t>
            </w:r>
          </w:p>
        </w:tc>
        <w:tc>
          <w:tcPr>
            <w:tcW w:w="2240" w:type="dxa"/>
            <w:vAlign w:val="bottom"/>
          </w:tcPr>
          <w:p>
            <w:pPr>
              <w:ind w:left="240"/>
              <w:spacing w:after="0"/>
              <w:rPr>
                <w:sz w:val="20"/>
                <w:szCs w:val="20"/>
                <w:color w:val="auto"/>
              </w:rPr>
            </w:pPr>
            <w:r>
              <w:rPr>
                <w:rFonts w:ascii="Arial" w:cs="Arial" w:eastAsia="Arial" w:hAnsi="Arial"/>
                <w:sz w:val="14"/>
                <w:szCs w:val="14"/>
                <w:color w:val="auto"/>
              </w:rPr>
              <w:t>business practices, focused on</w:t>
            </w:r>
          </w:p>
        </w:tc>
      </w:tr>
      <w:tr>
        <w:trPr>
          <w:trHeight w:val="176"/>
        </w:trPr>
        <w:tc>
          <w:tcPr>
            <w:tcW w:w="2040" w:type="dxa"/>
            <w:vAlign w:val="bottom"/>
          </w:tcPr>
          <w:p>
            <w:pPr>
              <w:spacing w:after="0"/>
              <w:rPr>
                <w:sz w:val="20"/>
                <w:szCs w:val="20"/>
                <w:color w:val="auto"/>
              </w:rPr>
            </w:pPr>
            <w:r>
              <w:rPr>
                <w:rFonts w:ascii="Arial" w:cs="Arial" w:eastAsia="Arial" w:hAnsi="Arial"/>
                <w:sz w:val="14"/>
                <w:szCs w:val="14"/>
                <w:color w:val="auto"/>
              </w:rPr>
              <w:t>deliver 90% of revenue in</w:t>
            </w:r>
          </w:p>
        </w:tc>
        <w:tc>
          <w:tcPr>
            <w:tcW w:w="2340" w:type="dxa"/>
            <w:vAlign w:val="bottom"/>
          </w:tcPr>
          <w:p>
            <w:pPr>
              <w:ind w:left="240"/>
              <w:spacing w:after="0"/>
              <w:rPr>
                <w:sz w:val="20"/>
                <w:szCs w:val="20"/>
                <w:color w:val="auto"/>
              </w:rPr>
            </w:pPr>
            <w:r>
              <w:rPr>
                <w:rFonts w:ascii="Arial" w:cs="Arial" w:eastAsia="Arial" w:hAnsi="Arial"/>
                <w:sz w:val="14"/>
                <w:szCs w:val="14"/>
                <w:color w:val="auto"/>
              </w:rPr>
              <w:t>excellence – empowered</w:t>
            </w:r>
          </w:p>
        </w:tc>
        <w:tc>
          <w:tcPr>
            <w:tcW w:w="2260" w:type="dxa"/>
            <w:vAlign w:val="bottom"/>
          </w:tcPr>
          <w:p>
            <w:pPr>
              <w:ind w:left="200"/>
              <w:spacing w:after="0"/>
              <w:rPr>
                <w:sz w:val="20"/>
                <w:szCs w:val="20"/>
                <w:color w:val="auto"/>
              </w:rPr>
            </w:pPr>
            <w:r>
              <w:rPr>
                <w:rFonts w:ascii="Arial" w:cs="Arial" w:eastAsia="Arial" w:hAnsi="Arial"/>
                <w:sz w:val="14"/>
                <w:szCs w:val="14"/>
                <w:color w:val="auto"/>
              </w:rPr>
              <w:t>our growth ambitions, while</w:t>
            </w:r>
          </w:p>
        </w:tc>
        <w:tc>
          <w:tcPr>
            <w:tcW w:w="2240" w:type="dxa"/>
            <w:vAlign w:val="bottom"/>
          </w:tcPr>
          <w:p>
            <w:pPr>
              <w:ind w:left="240"/>
              <w:spacing w:after="0"/>
              <w:rPr>
                <w:sz w:val="20"/>
                <w:szCs w:val="20"/>
                <w:color w:val="auto"/>
              </w:rPr>
            </w:pPr>
            <w:r>
              <w:rPr>
                <w:rFonts w:ascii="Arial" w:cs="Arial" w:eastAsia="Arial" w:hAnsi="Arial"/>
                <w:sz w:val="14"/>
                <w:szCs w:val="14"/>
                <w:color w:val="auto"/>
              </w:rPr>
              <w:t>areas where we believe we can</w:t>
            </w:r>
          </w:p>
        </w:tc>
      </w:tr>
      <w:tr>
        <w:trPr>
          <w:trHeight w:val="190"/>
        </w:trPr>
        <w:tc>
          <w:tcPr>
            <w:tcW w:w="2040" w:type="dxa"/>
            <w:vAlign w:val="bottom"/>
          </w:tcPr>
          <w:p>
            <w:pPr>
              <w:spacing w:after="0"/>
              <w:rPr>
                <w:sz w:val="20"/>
                <w:szCs w:val="20"/>
                <w:color w:val="auto"/>
              </w:rPr>
            </w:pPr>
            <w:r>
              <w:rPr>
                <w:rFonts w:ascii="Arial" w:cs="Arial" w:eastAsia="Arial" w:hAnsi="Arial"/>
                <w:sz w:val="14"/>
                <w:szCs w:val="14"/>
                <w:color w:val="auto"/>
              </w:rPr>
              <w:t>chocolate, biscuits, and</w:t>
            </w:r>
          </w:p>
        </w:tc>
        <w:tc>
          <w:tcPr>
            <w:tcW w:w="2340" w:type="dxa"/>
            <w:vAlign w:val="bottom"/>
          </w:tcPr>
          <w:p>
            <w:pPr>
              <w:ind w:left="240"/>
              <w:spacing w:after="0"/>
              <w:rPr>
                <w:sz w:val="20"/>
                <w:szCs w:val="20"/>
                <w:color w:val="auto"/>
              </w:rPr>
            </w:pPr>
            <w:r>
              <w:rPr>
                <w:rFonts w:ascii="Arial" w:cs="Arial" w:eastAsia="Arial" w:hAnsi="Arial"/>
                <w:sz w:val="14"/>
                <w:szCs w:val="14"/>
                <w:color w:val="auto"/>
              </w:rPr>
              <w:t>through expansion of artificial</w:t>
            </w:r>
          </w:p>
        </w:tc>
        <w:tc>
          <w:tcPr>
            <w:tcW w:w="2260" w:type="dxa"/>
            <w:vAlign w:val="bottom"/>
          </w:tcPr>
          <w:p>
            <w:pPr>
              <w:ind w:left="200"/>
              <w:spacing w:after="0"/>
              <w:rPr>
                <w:sz w:val="20"/>
                <w:szCs w:val="20"/>
                <w:color w:val="auto"/>
              </w:rPr>
            </w:pPr>
            <w:r>
              <w:rPr>
                <w:rFonts w:ascii="Arial" w:cs="Arial" w:eastAsia="Arial" w:hAnsi="Arial"/>
                <w:sz w:val="14"/>
                <w:szCs w:val="14"/>
                <w:color w:val="auto"/>
              </w:rPr>
              <w:t>creating a thriving and</w:t>
            </w:r>
          </w:p>
        </w:tc>
        <w:tc>
          <w:tcPr>
            <w:tcW w:w="2240" w:type="dxa"/>
            <w:vAlign w:val="bottom"/>
          </w:tcPr>
          <w:p>
            <w:pPr>
              <w:ind w:left="240"/>
              <w:spacing w:after="0"/>
              <w:rPr>
                <w:sz w:val="20"/>
                <w:szCs w:val="20"/>
                <w:color w:val="auto"/>
              </w:rPr>
            </w:pPr>
            <w:r>
              <w:rPr>
                <w:rFonts w:ascii="Arial" w:cs="Arial" w:eastAsia="Arial" w:hAnsi="Arial"/>
                <w:sz w:val="14"/>
                <w:szCs w:val="14"/>
                <w:color w:val="auto"/>
              </w:rPr>
              <w:t>deliver impact at scale – as</w:t>
            </w:r>
          </w:p>
        </w:tc>
      </w:tr>
    </w:tbl>
    <w:p>
      <w:pPr>
        <w:sectPr>
          <w:pgSz w:w="11900" w:h="16838" w:orient="portrait"/>
          <w:cols w:equalWidth="0" w:num="1">
            <w:col w:w="9100"/>
          </w:cols>
          <w:pgMar w:left="1360" w:top="100" w:right="1439" w:bottom="0" w:gutter="0" w:footer="0" w:header="0"/>
          <w:type w:val="continuous"/>
        </w:sectPr>
      </w:pPr>
    </w:p>
    <w:bookmarkStart w:id="56" w:name="page57"/>
    <w:bookmarkEnd w:id="56"/>
    <w:p>
      <w:pPr>
        <w:ind w:left="60"/>
        <w:spacing w:after="0"/>
        <w:tabs>
          <w:tab w:leader="none" w:pos="2320" w:val="left"/>
          <w:tab w:leader="none" w:pos="4620" w:val="left"/>
          <w:tab w:leader="none" w:pos="6920" w:val="left"/>
        </w:tabs>
        <w:rPr>
          <w:sz w:val="20"/>
          <w:szCs w:val="20"/>
          <w:color w:val="auto"/>
        </w:rPr>
      </w:pPr>
      <w:r>
        <w:rPr>
          <w:rFonts w:ascii="Arial" w:cs="Arial" w:eastAsia="Arial" w:hAnsi="Arial"/>
          <w:sz w:val="14"/>
          <w:szCs w:val="14"/>
          <w:color w:val="auto"/>
        </w:rPr>
        <w:t>baked snacks.</w:t>
      </w:r>
      <w:r>
        <w:rPr>
          <w:sz w:val="20"/>
          <w:szCs w:val="20"/>
          <w:color w:val="auto"/>
        </w:rPr>
        <w:tab/>
      </w:r>
      <w:r>
        <w:rPr>
          <w:rFonts w:ascii="Arial" w:cs="Arial" w:eastAsia="Arial" w:hAnsi="Arial"/>
          <w:sz w:val="14"/>
          <w:szCs w:val="14"/>
          <w:color w:val="auto"/>
        </w:rPr>
        <w:t>intelligence, machine learning,</w:t>
      </w:r>
      <w:r>
        <w:rPr>
          <w:sz w:val="20"/>
          <w:szCs w:val="20"/>
          <w:color w:val="auto"/>
        </w:rPr>
        <w:tab/>
      </w:r>
      <w:r>
        <w:rPr>
          <w:rFonts w:ascii="Arial" w:cs="Arial" w:eastAsia="Arial" w:hAnsi="Arial"/>
          <w:sz w:val="14"/>
          <w:szCs w:val="14"/>
          <w:color w:val="auto"/>
        </w:rPr>
        <w:t>engaged culture.</w:t>
      </w:r>
      <w:r>
        <w:rPr>
          <w:sz w:val="20"/>
          <w:szCs w:val="20"/>
          <w:color w:val="auto"/>
        </w:rPr>
        <w:tab/>
      </w:r>
      <w:r>
        <w:rPr>
          <w:rFonts w:ascii="Arial" w:cs="Arial" w:eastAsia="Arial" w:hAnsi="Arial"/>
          <w:sz w:val="14"/>
          <w:szCs w:val="14"/>
          <w:color w:val="auto"/>
        </w:rPr>
        <w:t>detailed in our annual Snacking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-27940</wp:posOffset>
            </wp:positionV>
            <wp:extent cx="6810375" cy="11677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10375" cy="1167765"/>
                    </a:xfrm>
                    <a:prstGeom prst="rect">
                      <a:avLst/>
                    </a:prstGeom>
                    <a:noFill/>
                  </pic:spPr>
                </pic:pic>
              </a:graphicData>
            </a:graphic>
          </wp:anchor>
        </w:drawing>
      </w:r>
    </w:p>
    <w:p>
      <w:pPr>
        <w:ind w:left="2340"/>
        <w:spacing w:after="0"/>
        <w:tabs>
          <w:tab w:leader="none" w:pos="6920" w:val="left"/>
        </w:tabs>
        <w:rPr>
          <w:sz w:val="20"/>
          <w:szCs w:val="20"/>
          <w:color w:val="auto"/>
        </w:rPr>
      </w:pPr>
      <w:r>
        <w:rPr>
          <w:rFonts w:ascii="Arial" w:cs="Arial" w:eastAsia="Arial" w:hAnsi="Arial"/>
          <w:sz w:val="14"/>
          <w:szCs w:val="14"/>
          <w:color w:val="auto"/>
        </w:rPr>
        <w:t>cloud technologies and related</w:t>
      </w:r>
      <w:r>
        <w:rPr>
          <w:sz w:val="20"/>
          <w:szCs w:val="20"/>
          <w:color w:val="auto"/>
        </w:rPr>
        <w:tab/>
      </w:r>
      <w:r>
        <w:rPr>
          <w:rFonts w:ascii="Arial" w:cs="Arial" w:eastAsia="Arial" w:hAnsi="Arial"/>
          <w:sz w:val="14"/>
          <w:szCs w:val="14"/>
          <w:color w:val="auto"/>
        </w:rPr>
        <w:t>Made Right report.</w:t>
      </w:r>
    </w:p>
    <w:p>
      <w:pPr>
        <w:spacing w:after="0" w:line="15" w:lineRule="exact"/>
        <w:rPr>
          <w:sz w:val="20"/>
          <w:szCs w:val="20"/>
          <w:color w:val="auto"/>
        </w:rPr>
      </w:pPr>
    </w:p>
    <w:p>
      <w:pPr>
        <w:ind w:left="2340"/>
        <w:spacing w:after="0"/>
        <w:rPr>
          <w:sz w:val="20"/>
          <w:szCs w:val="20"/>
          <w:color w:val="auto"/>
        </w:rPr>
      </w:pPr>
      <w:r>
        <w:rPr>
          <w:rFonts w:ascii="Arial" w:cs="Arial" w:eastAsia="Arial" w:hAnsi="Arial"/>
          <w:sz w:val="14"/>
          <w:szCs w:val="14"/>
          <w:color w:val="auto"/>
        </w:rPr>
        <w:t>digital enablers.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8677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COMPENSATION DISCUSSION AND ANALYSIS (CD&amp;A)</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Executive Summary</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Performance</w:t>
      </w:r>
    </w:p>
    <w:p>
      <w:pPr>
        <w:spacing w:after="0" w:line="11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2025, we delivered solid results on top-line growth, including in most of our emerging markets, while navigating significant headwinds. Our earnings declined in 2025, similar to the performance of chocolate industry peers, as bottom-line performance was adversely impacted by unprecedented input cost increases in our largest commodity, cocoa. Cocoa price levels, paired with ongoing consumer uncertainty and broader macroeconomic pressures, created a more challenging operating environment. We offset many of these headwinds through sound execution of a clear, comprehensive chocolate business strategy – including strong pricing execution, revenue growth management, marketing and sales initiatives, and targeted cost savings.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Our top-line growth also led to strong free cash flow generation of $3.2 billion and the return of approximately</w:t>
      </w:r>
    </w:p>
    <w:p>
      <w:pPr>
        <w:spacing w:after="0" w:line="29" w:lineRule="exact"/>
        <w:rPr>
          <w:sz w:val="20"/>
          <w:szCs w:val="20"/>
          <w:color w:val="auto"/>
        </w:rPr>
      </w:pPr>
    </w:p>
    <w:p>
      <w:pPr>
        <w:ind w:right="500"/>
        <w:spacing w:after="0" w:line="277" w:lineRule="auto"/>
        <w:rPr>
          <w:sz w:val="20"/>
          <w:szCs w:val="20"/>
          <w:color w:val="auto"/>
        </w:rPr>
      </w:pPr>
      <w:r>
        <w:rPr>
          <w:rFonts w:ascii="Arial" w:cs="Arial" w:eastAsia="Arial" w:hAnsi="Arial"/>
          <w:sz w:val="17"/>
          <w:szCs w:val="17"/>
          <w:color w:val="auto"/>
        </w:rPr>
        <w:t>$4.9 billion to shareholders ($2.5 billion in dividends and $2.4 billion in share repurchases). Over the past several years, we have delivered strong top and bottom-line growth while taking a long-term, sustainable approach to reinvesting in the business to position ourselves well for multi-year volume growth.</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2025 Performance</w:t>
      </w:r>
      <w:r>
        <w:rPr>
          <w:rFonts w:ascii="Arial" w:cs="Arial" w:eastAsia="Arial" w:hAnsi="Arial"/>
          <w:sz w:val="18"/>
          <w:szCs w:val="18"/>
          <w:b w:val="1"/>
          <w:bCs w:val="1"/>
          <w:color w:val="auto"/>
          <w:vertAlign w:val="superscript"/>
        </w:rPr>
        <w:t>(1)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90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Net Revenues</w:t>
            </w:r>
          </w:p>
        </w:tc>
        <w:tc>
          <w:tcPr>
            <w:tcW w:w="2360" w:type="dxa"/>
            <w:vAlign w:val="bottom"/>
            <w:tcBorders>
              <w:bottom w:val="single" w:sz="8" w:color="582C83"/>
            </w:tcBorders>
          </w:tcPr>
          <w:p>
            <w:pPr>
              <w:spacing w:after="0"/>
              <w:rPr>
                <w:sz w:val="14"/>
                <w:szCs w:val="14"/>
                <w:color w:val="auto"/>
              </w:rPr>
            </w:pPr>
          </w:p>
        </w:tc>
        <w:tc>
          <w:tcPr>
            <w:tcW w:w="480" w:type="dxa"/>
            <w:vAlign w:val="bottom"/>
          </w:tcPr>
          <w:p>
            <w:pPr>
              <w:spacing w:after="0"/>
              <w:rPr>
                <w:sz w:val="14"/>
                <w:szCs w:val="14"/>
                <w:color w:val="auto"/>
              </w:rPr>
            </w:pPr>
          </w:p>
        </w:tc>
        <w:tc>
          <w:tcPr>
            <w:tcW w:w="426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Cash Flow</w:t>
            </w:r>
          </w:p>
        </w:tc>
      </w:tr>
      <w:tr>
        <w:trPr>
          <w:trHeight w:val="149"/>
        </w:trPr>
        <w:tc>
          <w:tcPr>
            <w:tcW w:w="1900" w:type="dxa"/>
            <w:vAlign w:val="bottom"/>
          </w:tcPr>
          <w:p>
            <w:pPr>
              <w:ind w:left="60"/>
              <w:spacing w:after="0" w:line="149" w:lineRule="exact"/>
              <w:rPr>
                <w:sz w:val="20"/>
                <w:szCs w:val="20"/>
                <w:color w:val="auto"/>
              </w:rPr>
            </w:pPr>
            <w:r>
              <w:rPr>
                <w:rFonts w:ascii="Arial" w:cs="Arial" w:eastAsia="Arial" w:hAnsi="Arial"/>
                <w:sz w:val="14"/>
                <w:szCs w:val="14"/>
                <w:color w:val="auto"/>
              </w:rPr>
              <w:t>Reported Net Revenues</w:t>
            </w:r>
          </w:p>
        </w:tc>
        <w:tc>
          <w:tcPr>
            <w:tcW w:w="28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Organic Net Revenues Growth</w:t>
            </w:r>
          </w:p>
        </w:tc>
        <w:tc>
          <w:tcPr>
            <w:tcW w:w="4260" w:type="dxa"/>
            <w:vAlign w:val="bottom"/>
          </w:tcPr>
          <w:p>
            <w:pPr>
              <w:ind w:left="60"/>
              <w:spacing w:after="0" w:line="149" w:lineRule="exact"/>
              <w:rPr>
                <w:sz w:val="20"/>
                <w:szCs w:val="20"/>
                <w:color w:val="auto"/>
              </w:rPr>
            </w:pPr>
            <w:r>
              <w:rPr>
                <w:rFonts w:ascii="Arial" w:cs="Arial" w:eastAsia="Arial" w:hAnsi="Arial"/>
                <w:sz w:val="14"/>
                <w:szCs w:val="14"/>
                <w:color w:val="auto"/>
              </w:rPr>
              <w:t>Reported Net Cash Provided by  Free Cash Flow (Non</w:t>
            </w:r>
            <w:r>
              <w:rPr>
                <w:rFonts w:ascii="MS PGothic" w:cs="MS PGothic" w:eastAsia="MS PGothic" w:hAnsi="MS PGothic"/>
                <w:sz w:val="14"/>
                <w:szCs w:val="14"/>
                <w:color w:val="auto"/>
              </w:rPr>
              <w:t>‑</w:t>
            </w:r>
            <w:r>
              <w:rPr>
                <w:rFonts w:ascii="Arial" w:cs="Arial" w:eastAsia="Arial" w:hAnsi="Arial"/>
                <w:sz w:val="14"/>
                <w:szCs w:val="14"/>
                <w:color w:val="auto"/>
              </w:rPr>
              <w:t>GAAP)</w:t>
            </w:r>
          </w:p>
        </w:tc>
      </w:tr>
      <w:tr>
        <w:trPr>
          <w:trHeight w:val="225"/>
        </w:trPr>
        <w:tc>
          <w:tcPr>
            <w:tcW w:w="1900" w:type="dxa"/>
            <w:vAlign w:val="bottom"/>
          </w:tcPr>
          <w:p>
            <w:pPr>
              <w:ind w:left="60"/>
              <w:spacing w:after="0"/>
              <w:rPr>
                <w:sz w:val="20"/>
                <w:szCs w:val="20"/>
                <w:color w:val="auto"/>
              </w:rPr>
            </w:pPr>
            <w:r>
              <w:rPr>
                <w:rFonts w:ascii="Arial" w:cs="Arial" w:eastAsia="Arial" w:hAnsi="Arial"/>
                <w:sz w:val="14"/>
                <w:szCs w:val="14"/>
                <w:color w:val="auto"/>
              </w:rPr>
              <w:t>Growth</w:t>
            </w:r>
          </w:p>
        </w:tc>
        <w:tc>
          <w:tcPr>
            <w:tcW w:w="2840" w:type="dxa"/>
            <w:vAlign w:val="bottom"/>
            <w:gridSpan w:val="2"/>
          </w:tcPr>
          <w:p>
            <w:pPr>
              <w:ind w:left="28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GAAP)</w:t>
            </w:r>
          </w:p>
        </w:tc>
        <w:tc>
          <w:tcPr>
            <w:tcW w:w="4260" w:type="dxa"/>
            <w:vAlign w:val="bottom"/>
          </w:tcPr>
          <w:p>
            <w:pPr>
              <w:ind w:left="60"/>
              <w:spacing w:after="0"/>
              <w:rPr>
                <w:sz w:val="20"/>
                <w:szCs w:val="20"/>
                <w:color w:val="auto"/>
              </w:rPr>
            </w:pPr>
            <w:r>
              <w:rPr>
                <w:rFonts w:ascii="Arial" w:cs="Arial" w:eastAsia="Arial" w:hAnsi="Arial"/>
                <w:sz w:val="14"/>
                <w:szCs w:val="14"/>
                <w:color w:val="auto"/>
              </w:rPr>
              <w:t>Operating Activities</w:t>
            </w:r>
          </w:p>
        </w:tc>
      </w:tr>
    </w:tbl>
    <w:p>
      <w:pPr>
        <w:spacing w:after="0" w:line="1" w:lineRule="exact"/>
        <w:rPr>
          <w:sz w:val="20"/>
          <w:szCs w:val="20"/>
          <w:color w:val="auto"/>
        </w:rPr>
      </w:pPr>
    </w:p>
    <w:p>
      <w:pPr>
        <w:sectPr>
          <w:pgSz w:w="11900" w:h="16838" w:orient="portrait"/>
          <w:cols w:equalWidth="0" w:num="1">
            <w:col w:w="9040"/>
          </w:cols>
          <w:pgMar w:left="1420" w:top="24" w:right="1439" w:bottom="619" w:gutter="0" w:footer="0" w:header="0"/>
        </w:sectPr>
      </w:pPr>
    </w:p>
    <w:p>
      <w:pPr>
        <w:ind w:left="60"/>
        <w:spacing w:after="0"/>
        <w:tabs>
          <w:tab w:leader="none" w:pos="2160" w:val="left"/>
        </w:tabs>
        <w:rPr>
          <w:sz w:val="20"/>
          <w:szCs w:val="20"/>
          <w:color w:val="auto"/>
        </w:rPr>
      </w:pPr>
      <w:r>
        <w:rPr>
          <w:rFonts w:ascii="Arial" w:cs="Arial" w:eastAsia="Arial" w:hAnsi="Arial"/>
          <w:sz w:val="29"/>
          <w:szCs w:val="29"/>
          <w:b w:val="1"/>
          <w:bCs w:val="1"/>
          <w:color w:val="582C83"/>
        </w:rPr>
        <w:t>5.8%</w:t>
      </w:r>
      <w:r>
        <w:rPr>
          <w:sz w:val="20"/>
          <w:szCs w:val="20"/>
          <w:color w:val="auto"/>
        </w:rPr>
        <w:tab/>
      </w:r>
      <w:r>
        <w:rPr>
          <w:rFonts w:ascii="Arial" w:cs="Arial" w:eastAsia="Arial" w:hAnsi="Arial"/>
          <w:sz w:val="28"/>
          <w:szCs w:val="28"/>
          <w:b w:val="1"/>
          <w:bCs w:val="1"/>
          <w:color w:val="582C83"/>
        </w:rPr>
        <w:t>4.3%</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Gross Profit</w:t>
      </w:r>
    </w:p>
    <w:p>
      <w:pPr>
        <w:spacing w:after="0" w:line="42" w:lineRule="exact"/>
        <w:rPr>
          <w:sz w:val="20"/>
          <w:szCs w:val="20"/>
          <w:color w:val="auto"/>
        </w:rPr>
      </w:pPr>
    </w:p>
    <w:p>
      <w:pPr>
        <w:ind w:left="60"/>
        <w:spacing w:after="0"/>
        <w:tabs>
          <w:tab w:leader="none" w:pos="2160" w:val="left"/>
        </w:tabs>
        <w:rPr>
          <w:sz w:val="20"/>
          <w:szCs w:val="20"/>
          <w:color w:val="auto"/>
        </w:rPr>
      </w:pPr>
      <w:r>
        <w:rPr>
          <w:rFonts w:ascii="Arial" w:cs="Arial" w:eastAsia="Arial" w:hAnsi="Arial"/>
          <w:sz w:val="14"/>
          <w:szCs w:val="14"/>
          <w:color w:val="auto"/>
        </w:rPr>
        <w:t>Reported Gross Profit Dollars</w:t>
      </w:r>
      <w:r>
        <w:rPr>
          <w:sz w:val="20"/>
          <w:szCs w:val="20"/>
          <w:color w:val="auto"/>
        </w:rPr>
        <w:tab/>
      </w:r>
      <w:r>
        <w:rPr>
          <w:rFonts w:ascii="Arial" w:cs="Arial" w:eastAsia="Arial" w:hAnsi="Arial"/>
          <w:sz w:val="14"/>
          <w:szCs w:val="14"/>
          <w:color w:val="auto"/>
        </w:rPr>
        <w:t>Adjusted Gross Profit Dollars</w:t>
      </w:r>
    </w:p>
    <w:p>
      <w:pPr>
        <w:spacing w:after="0" w:line="29" w:lineRule="exact"/>
        <w:rPr>
          <w:sz w:val="20"/>
          <w:szCs w:val="20"/>
          <w:color w:val="auto"/>
        </w:rPr>
      </w:pPr>
    </w:p>
    <w:p>
      <w:pPr>
        <w:ind w:left="60"/>
        <w:spacing w:after="0"/>
        <w:tabs>
          <w:tab w:leader="none" w:pos="2160" w:val="left"/>
        </w:tabs>
        <w:rPr>
          <w:sz w:val="20"/>
          <w:szCs w:val="20"/>
          <w:color w:val="auto"/>
        </w:rPr>
      </w:pPr>
      <w:r>
        <w:rPr>
          <w:rFonts w:ascii="Arial" w:cs="Arial" w:eastAsia="Arial" w:hAnsi="Arial"/>
          <w:sz w:val="14"/>
          <w:szCs w:val="14"/>
          <w:color w:val="auto"/>
        </w:rPr>
        <w:t>Growth</w:t>
      </w:r>
      <w:r>
        <w:rPr>
          <w:sz w:val="20"/>
          <w:szCs w:val="20"/>
          <w:color w:val="auto"/>
        </w:rPr>
        <w:tab/>
      </w:r>
      <w:r>
        <w:rPr>
          <w:rFonts w:ascii="Arial" w:cs="Arial" w:eastAsia="Arial" w:hAnsi="Arial"/>
          <w:sz w:val="14"/>
          <w:szCs w:val="14"/>
          <w:color w:val="auto"/>
        </w:rPr>
        <w:t>Growth @ Constant Currency</w:t>
      </w:r>
    </w:p>
    <w:p>
      <w:pPr>
        <w:spacing w:after="0" w:line="11" w:lineRule="exact"/>
        <w:rPr>
          <w:sz w:val="20"/>
          <w:szCs w:val="20"/>
          <w:color w:val="auto"/>
        </w:rPr>
      </w:pPr>
    </w:p>
    <w:p>
      <w:pPr>
        <w:ind w:left="218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GAAP)</w:t>
      </w:r>
    </w:p>
    <w:p>
      <w:pPr>
        <w:spacing w:after="0" w:line="20" w:lineRule="exact"/>
        <w:rPr>
          <w:sz w:val="20"/>
          <w:szCs w:val="20"/>
          <w:color w:val="auto"/>
        </w:rPr>
      </w:pPr>
      <w:r>
        <w:rPr>
          <w:sz w:val="20"/>
          <w:szCs w:val="20"/>
          <w:color w:val="auto"/>
        </w:rPr>
        <w:br w:type="column"/>
      </w:r>
    </w:p>
    <w:p>
      <w:pPr>
        <w:spacing w:after="0"/>
        <w:tabs>
          <w:tab w:leader="none" w:pos="2100" w:val="left"/>
        </w:tabs>
        <w:rPr>
          <w:sz w:val="20"/>
          <w:szCs w:val="20"/>
          <w:color w:val="auto"/>
        </w:rPr>
      </w:pPr>
      <w:r>
        <w:rPr>
          <w:rFonts w:ascii="Arial" w:cs="Arial" w:eastAsia="Arial" w:hAnsi="Arial"/>
          <w:sz w:val="29"/>
          <w:szCs w:val="29"/>
          <w:b w:val="1"/>
          <w:bCs w:val="1"/>
          <w:color w:val="582C83"/>
        </w:rPr>
        <w:t>$4.5B</w:t>
      </w:r>
      <w:r>
        <w:rPr>
          <w:sz w:val="20"/>
          <w:szCs w:val="20"/>
          <w:color w:val="auto"/>
        </w:rPr>
        <w:tab/>
      </w:r>
      <w:r>
        <w:rPr>
          <w:rFonts w:ascii="Arial" w:cs="Arial" w:eastAsia="Arial" w:hAnsi="Arial"/>
          <w:sz w:val="29"/>
          <w:szCs w:val="29"/>
          <w:b w:val="1"/>
          <w:bCs w:val="1"/>
          <w:color w:val="582C83"/>
        </w:rPr>
        <w:t>$3.2B</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EPS</w:t>
      </w:r>
      <w:r>
        <w:rPr>
          <w:rFonts w:ascii="Arial" w:cs="Arial" w:eastAsia="Arial" w:hAnsi="Arial"/>
          <w:sz w:val="18"/>
          <w:szCs w:val="18"/>
          <w:b w:val="1"/>
          <w:bCs w:val="1"/>
          <w:color w:val="auto"/>
          <w:vertAlign w:val="superscript"/>
        </w:rPr>
        <w:t>(2)</w:t>
      </w:r>
    </w:p>
    <w:p>
      <w:pPr>
        <w:spacing w:after="0" w:line="25" w:lineRule="exact"/>
        <w:rPr>
          <w:sz w:val="20"/>
          <w:szCs w:val="20"/>
          <w:color w:val="auto"/>
        </w:rPr>
      </w:pPr>
    </w:p>
    <w:p>
      <w:pPr>
        <w:spacing w:after="0"/>
        <w:tabs>
          <w:tab w:leader="none" w:pos="2100" w:val="left"/>
        </w:tabs>
        <w:rPr>
          <w:sz w:val="20"/>
          <w:szCs w:val="20"/>
          <w:color w:val="auto"/>
        </w:rPr>
      </w:pPr>
      <w:r>
        <w:rPr>
          <w:rFonts w:ascii="Arial" w:cs="Arial" w:eastAsia="Arial" w:hAnsi="Arial"/>
          <w:sz w:val="14"/>
          <w:szCs w:val="14"/>
          <w:color w:val="auto"/>
        </w:rPr>
        <w:t>Reported Diluted EPS Growth</w:t>
        <w:tab/>
        <w:t>Adjusted EPS Growth @</w:t>
      </w:r>
    </w:p>
    <w:p>
      <w:pPr>
        <w:spacing w:after="0" w:line="15"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Constant Currency</w:t>
      </w:r>
    </w:p>
    <w:p>
      <w:pPr>
        <w:spacing w:after="0" w:line="15" w:lineRule="exact"/>
        <w:rPr>
          <w:sz w:val="20"/>
          <w:szCs w:val="20"/>
          <w:color w:val="auto"/>
        </w:rPr>
      </w:pPr>
    </w:p>
    <w:p>
      <w:pPr>
        <w:ind w:left="212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GAAP)</w:t>
      </w:r>
    </w:p>
    <w:p>
      <w:pPr>
        <w:spacing w:after="0" w:line="33" w:lineRule="exact"/>
        <w:rPr>
          <w:sz w:val="20"/>
          <w:szCs w:val="20"/>
          <w:color w:val="auto"/>
        </w:rPr>
      </w:pPr>
    </w:p>
    <w:p>
      <w:pPr>
        <w:sectPr>
          <w:pgSz w:w="11900" w:h="16838" w:orient="portrait"/>
          <w:cols w:equalWidth="0" w:num="2">
            <w:col w:w="4080" w:space="720"/>
            <w:col w:w="4240"/>
          </w:cols>
          <w:pgMar w:left="1420" w:top="24" w:right="1439" w:bottom="619" w:gutter="0" w:footer="0" w:header="0"/>
          <w:type w:val="continuous"/>
        </w:sectPr>
      </w:pPr>
    </w:p>
    <w:p>
      <w:pPr>
        <w:ind w:left="60"/>
        <w:spacing w:after="0"/>
        <w:tabs>
          <w:tab w:leader="none" w:pos="2160" w:val="left"/>
          <w:tab w:leader="none" w:pos="4780" w:val="left"/>
          <w:tab w:leader="none" w:pos="6900" w:val="left"/>
        </w:tabs>
        <w:rPr>
          <w:sz w:val="20"/>
          <w:szCs w:val="20"/>
          <w:color w:val="auto"/>
        </w:rPr>
      </w:pPr>
      <w:r>
        <w:rPr>
          <w:rFonts w:ascii="Arial" w:cs="Arial" w:eastAsia="Arial" w:hAnsi="Arial"/>
          <w:sz w:val="29"/>
          <w:szCs w:val="29"/>
          <w:b w:val="1"/>
          <w:bCs w:val="1"/>
          <w:color w:val="582C83"/>
        </w:rPr>
        <w:t>(23.3)%</w:t>
      </w:r>
      <w:r>
        <w:rPr>
          <w:sz w:val="20"/>
          <w:szCs w:val="20"/>
          <w:color w:val="auto"/>
        </w:rPr>
        <w:tab/>
      </w:r>
      <w:r>
        <w:rPr>
          <w:rFonts w:ascii="Arial" w:cs="Arial" w:eastAsia="Arial" w:hAnsi="Arial"/>
          <w:sz w:val="29"/>
          <w:szCs w:val="29"/>
          <w:b w:val="1"/>
          <w:bCs w:val="1"/>
          <w:color w:val="582C83"/>
        </w:rPr>
        <w:t>(11.4)%</w:t>
      </w:r>
      <w:r>
        <w:rPr>
          <w:sz w:val="20"/>
          <w:szCs w:val="20"/>
          <w:color w:val="auto"/>
        </w:rPr>
        <w:tab/>
      </w:r>
      <w:r>
        <w:rPr>
          <w:rFonts w:ascii="Arial" w:cs="Arial" w:eastAsia="Arial" w:hAnsi="Arial"/>
          <w:sz w:val="29"/>
          <w:szCs w:val="29"/>
          <w:b w:val="1"/>
          <w:bCs w:val="1"/>
          <w:color w:val="582C83"/>
        </w:rPr>
        <w:t>(44.7)%</w:t>
      </w:r>
      <w:r>
        <w:rPr>
          <w:sz w:val="20"/>
          <w:szCs w:val="20"/>
          <w:color w:val="auto"/>
        </w:rPr>
        <w:tab/>
      </w:r>
      <w:r>
        <w:rPr>
          <w:rFonts w:ascii="Arial" w:cs="Arial" w:eastAsia="Arial" w:hAnsi="Arial"/>
          <w:sz w:val="29"/>
          <w:szCs w:val="29"/>
          <w:b w:val="1"/>
          <w:bCs w:val="1"/>
          <w:color w:val="582C83"/>
        </w:rPr>
        <w:t>(14.6)%</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Annualized TSR</w:t>
      </w:r>
    </w:p>
    <w:p>
      <w:pPr>
        <w:spacing w:after="0" w:line="177"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Our TSR performance exceeded the S&amp;P Food Products Index for all periods below. We believe this index is a more relevant comparator than the broader S&amp;P 500, which has been driven by outsized growth in a limited number of large technology companies.</w:t>
      </w:r>
    </w:p>
    <w:p>
      <w:pPr>
        <w:spacing w:after="0" w:line="6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unprecedented cocoa prices described above put significant pressure on our stock price. Further, cocoa costs disproportionately affected our stock price relative to our Performance Peer Group because most peers do not sell chocolate products. These factors account for the overwhelming majority of the negative performance reflected below. While our 2025 TSR was below our Performance Peer Group median, our organic revenue growth was above the peer median, third among multinational peers and first among U.S.-focused peers. Prior to facing unprecedented cocoa costs beginning in 2024, from 2019 to 2023, we delivered the highest TSR among our peers in four out of five years. Moving forward, we remain focused on clear strategic plans and actions to continue to drive long-term, sustainable, and profitable growth across our business.</w:t>
      </w:r>
    </w:p>
    <w:p>
      <w:pPr>
        <w:spacing w:after="0" w:line="91" w:lineRule="exact"/>
        <w:rPr>
          <w:sz w:val="20"/>
          <w:szCs w:val="20"/>
          <w:color w:val="auto"/>
        </w:rPr>
      </w:pPr>
    </w:p>
    <w:p>
      <w:pPr>
        <w:ind w:left="1100"/>
        <w:spacing w:after="0"/>
        <w:tabs>
          <w:tab w:leader="none" w:pos="4200" w:val="left"/>
          <w:tab w:leader="none" w:pos="7320" w:val="left"/>
        </w:tabs>
        <w:rPr>
          <w:sz w:val="20"/>
          <w:szCs w:val="20"/>
          <w:color w:val="auto"/>
        </w:rPr>
      </w:pPr>
      <w:r>
        <w:rPr>
          <w:rFonts w:ascii="Arial" w:cs="Arial" w:eastAsia="Arial" w:hAnsi="Arial"/>
          <w:sz w:val="16"/>
          <w:szCs w:val="16"/>
          <w:b w:val="1"/>
          <w:bCs w:val="1"/>
          <w:color w:val="582C83"/>
        </w:rPr>
        <w:t>1-YEAR</w:t>
      </w:r>
      <w:r>
        <w:rPr>
          <w:sz w:val="20"/>
          <w:szCs w:val="20"/>
          <w:color w:val="auto"/>
        </w:rPr>
        <w:tab/>
      </w:r>
      <w:r>
        <w:rPr>
          <w:rFonts w:ascii="Arial" w:cs="Arial" w:eastAsia="Arial" w:hAnsi="Arial"/>
          <w:sz w:val="16"/>
          <w:szCs w:val="16"/>
          <w:b w:val="1"/>
          <w:bCs w:val="1"/>
          <w:color w:val="582C83"/>
        </w:rPr>
        <w:t>3-YEAR</w:t>
      </w:r>
      <w:r>
        <w:rPr>
          <w:sz w:val="20"/>
          <w:szCs w:val="20"/>
          <w:color w:val="auto"/>
        </w:rPr>
        <w:tab/>
      </w:r>
      <w:r>
        <w:rPr>
          <w:rFonts w:ascii="Arial" w:cs="Arial" w:eastAsia="Arial" w:hAnsi="Arial"/>
          <w:sz w:val="16"/>
          <w:szCs w:val="16"/>
          <w:b w:val="1"/>
          <w:bCs w:val="1"/>
          <w:color w:val="582C83"/>
        </w:rPr>
        <w:t>5-YEAR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60"/>
        <w:spacing w:after="0"/>
        <w:tabs>
          <w:tab w:leader="none" w:pos="2620" w:val="left"/>
          <w:tab w:leader="none" w:pos="5000" w:val="left"/>
          <w:tab w:leader="none" w:pos="8040" w:val="left"/>
        </w:tabs>
        <w:rPr>
          <w:sz w:val="20"/>
          <w:szCs w:val="20"/>
          <w:color w:val="auto"/>
        </w:rPr>
      </w:pPr>
      <w:r>
        <w:rPr>
          <w:rFonts w:ascii="Arial" w:cs="Arial" w:eastAsia="Arial" w:hAnsi="Arial"/>
          <w:sz w:val="14"/>
          <w:szCs w:val="14"/>
          <w:b w:val="1"/>
          <w:bCs w:val="1"/>
          <w:color w:val="8A6BA8"/>
        </w:rPr>
        <w:t xml:space="preserve">ò </w:t>
      </w:r>
      <w:r>
        <w:rPr>
          <w:rFonts w:ascii="Arial" w:cs="Arial" w:eastAsia="Arial" w:hAnsi="Arial"/>
          <w:sz w:val="14"/>
          <w:szCs w:val="14"/>
          <w:color w:val="000000"/>
        </w:rPr>
        <w:t>S&amp;P Food Products</w:t>
      </w:r>
      <w:r>
        <w:rPr>
          <w:sz w:val="20"/>
          <w:szCs w:val="20"/>
          <w:color w:val="auto"/>
        </w:rPr>
        <w:tab/>
      </w:r>
      <w:r>
        <w:rPr>
          <w:rFonts w:ascii="Arial" w:cs="Arial" w:eastAsia="Arial" w:hAnsi="Arial"/>
          <w:sz w:val="14"/>
          <w:szCs w:val="14"/>
          <w:b w:val="1"/>
          <w:bCs w:val="1"/>
          <w:color w:val="582C83"/>
        </w:rPr>
        <w:t xml:space="preserve">ò </w:t>
      </w:r>
      <w:r>
        <w:rPr>
          <w:rFonts w:ascii="Arial" w:cs="Arial" w:eastAsia="Arial" w:hAnsi="Arial"/>
          <w:sz w:val="14"/>
          <w:szCs w:val="14"/>
          <w:color w:val="000000"/>
        </w:rPr>
        <w:t>Mondelēz International</w:t>
      </w:r>
      <w:r>
        <w:rPr>
          <w:sz w:val="20"/>
          <w:szCs w:val="20"/>
          <w:color w:val="auto"/>
        </w:rPr>
        <w:tab/>
      </w:r>
      <w:r>
        <w:rPr>
          <w:rFonts w:ascii="Arial" w:cs="Arial" w:eastAsia="Arial" w:hAnsi="Arial"/>
          <w:sz w:val="14"/>
          <w:szCs w:val="14"/>
          <w:b w:val="1"/>
          <w:bCs w:val="1"/>
          <w:color w:val="666666"/>
        </w:rPr>
        <w:t xml:space="preserve">ò </w:t>
      </w:r>
      <w:r>
        <w:rPr>
          <w:rFonts w:ascii="Arial" w:cs="Arial" w:eastAsia="Arial" w:hAnsi="Arial"/>
          <w:sz w:val="14"/>
          <w:szCs w:val="14"/>
          <w:color w:val="000000"/>
        </w:rPr>
        <w:t>Performance Peer Group Median</w:t>
      </w:r>
      <w:r>
        <w:rPr>
          <w:sz w:val="20"/>
          <w:szCs w:val="20"/>
          <w:color w:val="auto"/>
        </w:rPr>
        <w:tab/>
      </w:r>
      <w:r>
        <w:rPr>
          <w:rFonts w:ascii="Arial" w:cs="Arial" w:eastAsia="Arial" w:hAnsi="Arial"/>
          <w:sz w:val="14"/>
          <w:szCs w:val="14"/>
          <w:b w:val="1"/>
          <w:bCs w:val="1"/>
          <w:color w:val="E0DBEA"/>
        </w:rPr>
        <w:t xml:space="preserve">ò </w:t>
      </w:r>
      <w:r>
        <w:rPr>
          <w:rFonts w:ascii="Arial" w:cs="Arial" w:eastAsia="Arial" w:hAnsi="Arial"/>
          <w:sz w:val="14"/>
          <w:szCs w:val="14"/>
          <w:color w:val="000000"/>
        </w:rPr>
        <w:t>S&amp;P 500</w:t>
      </w:r>
    </w:p>
    <w:p>
      <w:pPr>
        <w:spacing w:after="0" w:line="73" w:lineRule="exact"/>
        <w:rPr>
          <w:sz w:val="20"/>
          <w:szCs w:val="20"/>
          <w:color w:val="auto"/>
        </w:rPr>
      </w:pPr>
    </w:p>
    <w:p>
      <w:pPr>
        <w:jc w:val="both"/>
        <w:ind w:left="260" w:right="520" w:hanging="253"/>
        <w:spacing w:after="0" w:line="262" w:lineRule="auto"/>
        <w:tabs>
          <w:tab w:leader="none" w:pos="260" w:val="left"/>
        </w:tabs>
        <w:numPr>
          <w:ilvl w:val="0"/>
          <w:numId w:val="76"/>
        </w:numPr>
        <w:rPr>
          <w:rFonts w:ascii="Arial" w:cs="Arial" w:eastAsia="Arial" w:hAnsi="Arial"/>
          <w:sz w:val="13"/>
          <w:szCs w:val="13"/>
          <w:color w:val="auto"/>
        </w:rPr>
      </w:pPr>
      <w:r>
        <w:rPr>
          <w:rFonts w:ascii="Arial" w:cs="Arial" w:eastAsia="Arial" w:hAnsi="Arial"/>
          <w:sz w:val="13"/>
          <w:szCs w:val="13"/>
          <w:color w:val="auto"/>
        </w:rPr>
        <w:t>Reflects year-over-year and/or 2025 highlights. We report our financial results in accordance with U.S. GAAP. However, we use non-GAAP financial measures in making financial, operating, and planning decisions and in evaluating our performance. See definitions of these measures and GAAP to non-GAAP reconciliations in Annex A.</w:t>
      </w:r>
    </w:p>
    <w:p>
      <w:pPr>
        <w:ind w:left="260" w:right="100" w:hanging="253"/>
        <w:spacing w:after="0" w:line="286" w:lineRule="auto"/>
        <w:tabs>
          <w:tab w:leader="none" w:pos="260" w:val="left"/>
        </w:tabs>
        <w:numPr>
          <w:ilvl w:val="0"/>
          <w:numId w:val="76"/>
        </w:numPr>
        <w:rPr>
          <w:rFonts w:ascii="Arial" w:cs="Arial" w:eastAsia="Arial" w:hAnsi="Arial"/>
          <w:sz w:val="12"/>
          <w:szCs w:val="12"/>
          <w:color w:val="auto"/>
        </w:rPr>
      </w:pPr>
      <w:r>
        <w:rPr>
          <w:rFonts w:ascii="Arial" w:cs="Arial" w:eastAsia="Arial" w:hAnsi="Arial"/>
          <w:sz w:val="12"/>
          <w:szCs w:val="12"/>
          <w:color w:val="auto"/>
        </w:rPr>
        <w:t>Given the nature of non-recurring items that impacted our 2025 reported diluted EPS growth, we believe adjusted EPS growth provides the most accurate picture of our 2025 performance. Our 2025 reported diluted EPS performance was negatively affected by several items impacting comparability including an unfavorable year-over-year change in mark-to-market impacts from commodity and foreign currency derivatives, a decrease in Adjusted EPS, settlement losses related to pension plan buy-outs, an unfavorable year-over-year change in acquisition-related items, lapping prior-year divestiture-related items and higher costs incurred for the ERP System Implementation program. Please refer to Annex A for more information on these items.</w:t>
      </w:r>
    </w:p>
    <w:p>
      <w:pPr>
        <w:spacing w:after="0" w:line="30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64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3162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10375" cy="316230"/>
                    </a:xfrm>
                    <a:prstGeom prst="rect">
                      <a:avLst/>
                    </a:prstGeom>
                    <a:noFill/>
                  </pic:spPr>
                </pic:pic>
              </a:graphicData>
            </a:graphic>
          </wp:anchor>
        </w:drawing>
      </w:r>
    </w:p>
    <w:p>
      <w:pPr>
        <w:sectPr>
          <w:pgSz w:w="11900" w:h="16838" w:orient="portrait"/>
          <w:cols w:equalWidth="0" w:num="1">
            <w:col w:w="9040"/>
          </w:cols>
          <w:pgMar w:left="1420" w:top="24" w:right="1439" w:bottom="619" w:gutter="0" w:footer="0" w:header="0"/>
          <w:type w:val="continuous"/>
        </w:sectPr>
      </w:pPr>
    </w:p>
    <w:bookmarkStart w:id="57" w:name="page58"/>
    <w:bookmarkEnd w:id="57"/>
    <w:p>
      <w:pPr>
        <w:ind w:left="334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5401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10375" cy="8540115"/>
                    </a:xfrm>
                    <a:prstGeom prst="rect">
                      <a:avLst/>
                    </a:prstGeom>
                    <a:noFill/>
                  </pic:spPr>
                </pic:pic>
              </a:graphicData>
            </a:graphic>
          </wp:anchor>
        </w:drawing>
        <w:t>COMPENSATION DISCUSSION AND ANALYSIS (CD&amp;A)</w:t>
      </w:r>
    </w:p>
    <w:p>
      <w:pPr>
        <w:spacing w:after="0" w:line="48" w:lineRule="exact"/>
        <w:rPr>
          <w:sz w:val="20"/>
          <w:szCs w:val="20"/>
          <w:color w:val="auto"/>
        </w:rPr>
      </w:pPr>
    </w:p>
    <w:p>
      <w:pPr>
        <w:ind w:left="7720"/>
        <w:spacing w:after="0"/>
        <w:rPr>
          <w:sz w:val="20"/>
          <w:szCs w:val="20"/>
          <w:color w:val="auto"/>
        </w:rPr>
      </w:pPr>
      <w:r>
        <w:rPr>
          <w:rFonts w:ascii="Arial" w:cs="Arial" w:eastAsia="Arial" w:hAnsi="Arial"/>
          <w:sz w:val="14"/>
          <w:szCs w:val="14"/>
          <w:color w:val="auto"/>
        </w:rPr>
        <w:t>Executive Summary</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OVERVIEW OF PAY ELEMENTS</w:t>
      </w:r>
    </w:p>
    <w:p>
      <w:pPr>
        <w:spacing w:after="0" w:line="118"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This table describes the primary elements and objectives of the 2025 executive compensation program for our NEOs, reflecting the philosophy of our People and Compensation Committee (“PCC”) to set challenging but attainable targets to reward performance. The performance metrics below are aligned directly to the key business goals and strategy highlighted above.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Pay</w:t>
            </w:r>
          </w:p>
        </w:tc>
        <w:tc>
          <w:tcPr>
            <w:tcW w:w="1140" w:type="dxa"/>
            <w:vAlign w:val="bottom"/>
          </w:tcPr>
          <w:p>
            <w:pPr>
              <w:spacing w:after="0"/>
              <w:rPr>
                <w:sz w:val="14"/>
                <w:szCs w:val="14"/>
                <w:color w:val="auto"/>
              </w:rPr>
            </w:pPr>
          </w:p>
        </w:tc>
        <w:tc>
          <w:tcPr>
            <w:tcW w:w="3800" w:type="dxa"/>
            <w:vAlign w:val="bottom"/>
          </w:tcPr>
          <w:p>
            <w:pPr>
              <w:ind w:left="560"/>
              <w:spacing w:after="0"/>
              <w:rPr>
                <w:sz w:val="20"/>
                <w:szCs w:val="20"/>
                <w:color w:val="auto"/>
              </w:rPr>
            </w:pPr>
            <w:r>
              <w:rPr>
                <w:rFonts w:ascii="Arial" w:cs="Arial" w:eastAsia="Arial" w:hAnsi="Arial"/>
                <w:sz w:val="14"/>
                <w:szCs w:val="14"/>
                <w:b w:val="1"/>
                <w:bCs w:val="1"/>
                <w:color w:val="auto"/>
              </w:rPr>
              <w:t>2025 Performance Measures &amp;</w:t>
            </w:r>
          </w:p>
        </w:tc>
        <w:tc>
          <w:tcPr>
            <w:tcW w:w="3140" w:type="dxa"/>
            <w:vAlign w:val="bottom"/>
          </w:tcPr>
          <w:p>
            <w:pPr>
              <w:spacing w:after="0"/>
              <w:rPr>
                <w:sz w:val="14"/>
                <w:szCs w:val="14"/>
                <w:color w:val="auto"/>
              </w:rPr>
            </w:pPr>
          </w:p>
        </w:tc>
      </w:tr>
      <w:tr>
        <w:trPr>
          <w:trHeight w:val="181"/>
        </w:trPr>
        <w:tc>
          <w:tcPr>
            <w:tcW w:w="96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Element</w:t>
            </w:r>
          </w:p>
        </w:tc>
        <w:tc>
          <w:tcPr>
            <w:tcW w:w="1140" w:type="dxa"/>
            <w:vAlign w:val="bottom"/>
            <w:tcBorders>
              <w:bottom w:val="single" w:sz="8" w:color="582C83"/>
            </w:tcBorders>
          </w:tcPr>
          <w:p>
            <w:pPr>
              <w:ind w:left="80"/>
              <w:spacing w:after="0"/>
              <w:rPr>
                <w:sz w:val="20"/>
                <w:szCs w:val="20"/>
                <w:color w:val="auto"/>
              </w:rPr>
            </w:pPr>
            <w:r>
              <w:rPr>
                <w:rFonts w:ascii="Arial" w:cs="Arial" w:eastAsia="Arial" w:hAnsi="Arial"/>
                <w:sz w:val="14"/>
                <w:szCs w:val="14"/>
                <w:b w:val="1"/>
                <w:bCs w:val="1"/>
                <w:color w:val="auto"/>
              </w:rPr>
              <w:t>Vehicle</w:t>
            </w:r>
          </w:p>
        </w:tc>
        <w:tc>
          <w:tcPr>
            <w:tcW w:w="3800" w:type="dxa"/>
            <w:vAlign w:val="bottom"/>
            <w:tcBorders>
              <w:bottom w:val="single" w:sz="8" w:color="582C83"/>
            </w:tcBorders>
          </w:tcPr>
          <w:p>
            <w:pPr>
              <w:ind w:left="560"/>
              <w:spacing w:after="0" w:line="174" w:lineRule="exact"/>
              <w:rPr>
                <w:sz w:val="20"/>
                <w:szCs w:val="20"/>
                <w:color w:val="auto"/>
              </w:rPr>
            </w:pPr>
            <w:r>
              <w:rPr>
                <w:rFonts w:ascii="Arial" w:cs="Arial" w:eastAsia="Arial" w:hAnsi="Arial"/>
                <w:sz w:val="14"/>
                <w:szCs w:val="14"/>
                <w:b w:val="1"/>
                <w:bCs w:val="1"/>
                <w:color w:val="auto"/>
              </w:rPr>
              <w:t>Key Characteristics</w:t>
            </w:r>
            <w:r>
              <w:rPr>
                <w:rFonts w:ascii="Arial" w:cs="Arial" w:eastAsia="Arial" w:hAnsi="Arial"/>
                <w:sz w:val="18"/>
                <w:szCs w:val="18"/>
                <w:b w:val="1"/>
                <w:bCs w:val="1"/>
                <w:color w:val="auto"/>
                <w:vertAlign w:val="superscript"/>
              </w:rPr>
              <w:t>(1)</w:t>
            </w:r>
          </w:p>
        </w:tc>
        <w:tc>
          <w:tcPr>
            <w:tcW w:w="3140" w:type="dxa"/>
            <w:vAlign w:val="bottom"/>
            <w:tcBorders>
              <w:bottom w:val="single" w:sz="8" w:color="582C83"/>
            </w:tcBorders>
          </w:tcPr>
          <w:p>
            <w:pPr>
              <w:ind w:left="1140"/>
              <w:spacing w:after="0"/>
              <w:rPr>
                <w:sz w:val="20"/>
                <w:szCs w:val="20"/>
                <w:color w:val="auto"/>
              </w:rPr>
            </w:pPr>
            <w:r>
              <w:rPr>
                <w:rFonts w:ascii="Arial" w:cs="Arial" w:eastAsia="Arial" w:hAnsi="Arial"/>
                <w:sz w:val="14"/>
                <w:szCs w:val="14"/>
                <w:b w:val="1"/>
                <w:bCs w:val="1"/>
                <w:color w:val="auto"/>
              </w:rPr>
              <w:t>2025 Objectives</w:t>
            </w:r>
          </w:p>
        </w:tc>
      </w:tr>
      <w:tr>
        <w:trPr>
          <w:trHeight w:val="193"/>
        </w:trPr>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Base Salary</w:t>
            </w: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rPr>
              <w:t>Cash</w:t>
            </w:r>
          </w:p>
        </w:tc>
        <w:tc>
          <w:tcPr>
            <w:tcW w:w="3800" w:type="dxa"/>
            <w:vAlign w:val="bottom"/>
          </w:tcPr>
          <w:p>
            <w:pPr>
              <w:ind w:left="560"/>
              <w:spacing w:after="0"/>
              <w:rPr>
                <w:sz w:val="20"/>
                <w:szCs w:val="20"/>
                <w:color w:val="auto"/>
              </w:rPr>
            </w:pPr>
            <w:r>
              <w:rPr>
                <w:rFonts w:ascii="Arial" w:cs="Arial" w:eastAsia="Arial" w:hAnsi="Arial"/>
                <w:sz w:val="14"/>
                <w:szCs w:val="14"/>
                <w:color w:val="auto"/>
              </w:rPr>
              <w:t>Fixed cash paid regularly</w:t>
            </w:r>
          </w:p>
        </w:tc>
        <w:tc>
          <w:tcPr>
            <w:tcW w:w="3140" w:type="dxa"/>
            <w:vAlign w:val="bottom"/>
          </w:tcPr>
          <w:p>
            <w:pPr>
              <w:ind w:left="1140"/>
              <w:spacing w:after="0"/>
              <w:rPr>
                <w:sz w:val="20"/>
                <w:szCs w:val="20"/>
                <w:color w:val="auto"/>
              </w:rPr>
            </w:pPr>
            <w:r>
              <w:rPr>
                <w:rFonts w:ascii="Arial" w:cs="Arial" w:eastAsia="Arial" w:hAnsi="Arial"/>
                <w:sz w:val="14"/>
                <w:szCs w:val="14"/>
                <w:color w:val="auto"/>
              </w:rPr>
              <w:t>Attract and retain world-class</w:t>
            </w:r>
          </w:p>
        </w:tc>
      </w:tr>
      <w:tr>
        <w:trPr>
          <w:trHeight w:val="189"/>
        </w:trPr>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140" w:type="dxa"/>
            <w:vAlign w:val="bottom"/>
          </w:tcPr>
          <w:p>
            <w:pPr>
              <w:ind w:left="1140"/>
              <w:spacing w:after="0"/>
              <w:rPr>
                <w:sz w:val="20"/>
                <w:szCs w:val="20"/>
                <w:color w:val="auto"/>
              </w:rPr>
            </w:pPr>
            <w:r>
              <w:rPr>
                <w:rFonts w:ascii="Arial" w:cs="Arial" w:eastAsia="Arial" w:hAnsi="Arial"/>
                <w:sz w:val="14"/>
                <w:szCs w:val="14"/>
                <w:color w:val="auto"/>
              </w:rPr>
              <w:t>business leaders by offering</w:t>
            </w:r>
          </w:p>
        </w:tc>
      </w:tr>
      <w:tr>
        <w:trPr>
          <w:trHeight w:val="189"/>
        </w:trPr>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140" w:type="dxa"/>
            <w:vAlign w:val="bottom"/>
          </w:tcPr>
          <w:p>
            <w:pPr>
              <w:ind w:left="1140"/>
              <w:spacing w:after="0"/>
              <w:rPr>
                <w:sz w:val="20"/>
                <w:szCs w:val="20"/>
                <w:color w:val="auto"/>
              </w:rPr>
            </w:pPr>
            <w:r>
              <w:rPr>
                <w:rFonts w:ascii="Arial" w:cs="Arial" w:eastAsia="Arial" w:hAnsi="Arial"/>
                <w:sz w:val="14"/>
                <w:szCs w:val="14"/>
                <w:color w:val="auto"/>
              </w:rPr>
              <w:t>market-competitive salaries</w:t>
            </w:r>
          </w:p>
        </w:tc>
      </w:tr>
      <w:tr>
        <w:trPr>
          <w:trHeight w:val="189"/>
        </w:trPr>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140" w:type="dxa"/>
            <w:vAlign w:val="bottom"/>
          </w:tcPr>
          <w:p>
            <w:pPr>
              <w:ind w:left="1140"/>
              <w:spacing w:after="0"/>
              <w:rPr>
                <w:sz w:val="20"/>
                <w:szCs w:val="20"/>
                <w:color w:val="auto"/>
              </w:rPr>
            </w:pPr>
            <w:r>
              <w:rPr>
                <w:rFonts w:ascii="Arial" w:cs="Arial" w:eastAsia="Arial" w:hAnsi="Arial"/>
                <w:sz w:val="14"/>
                <w:szCs w:val="14"/>
                <w:color w:val="auto"/>
              </w:rPr>
              <w:t>based on role, responsibilities,</w:t>
            </w:r>
          </w:p>
        </w:tc>
      </w:tr>
      <w:tr>
        <w:trPr>
          <w:trHeight w:val="189"/>
        </w:trPr>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140" w:type="dxa"/>
            <w:vAlign w:val="bottom"/>
          </w:tcPr>
          <w:p>
            <w:pPr>
              <w:ind w:left="1140"/>
              <w:spacing w:after="0"/>
              <w:rPr>
                <w:sz w:val="20"/>
                <w:szCs w:val="20"/>
                <w:color w:val="auto"/>
              </w:rPr>
            </w:pPr>
            <w:r>
              <w:rPr>
                <w:rFonts w:ascii="Arial" w:cs="Arial" w:eastAsia="Arial" w:hAnsi="Arial"/>
                <w:sz w:val="14"/>
                <w:szCs w:val="14"/>
                <w:color w:val="auto"/>
              </w:rPr>
              <w:t>experience, individual</w:t>
            </w:r>
          </w:p>
        </w:tc>
      </w:tr>
      <w:tr>
        <w:trPr>
          <w:trHeight w:val="189"/>
        </w:trPr>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140" w:type="dxa"/>
            <w:vAlign w:val="bottom"/>
          </w:tcPr>
          <w:p>
            <w:pPr>
              <w:ind w:left="1140"/>
              <w:spacing w:after="0"/>
              <w:rPr>
                <w:sz w:val="20"/>
                <w:szCs w:val="20"/>
                <w:color w:val="auto"/>
              </w:rPr>
            </w:pPr>
            <w:r>
              <w:rPr>
                <w:rFonts w:ascii="Arial" w:cs="Arial" w:eastAsia="Arial" w:hAnsi="Arial"/>
                <w:sz w:val="14"/>
                <w:szCs w:val="14"/>
                <w:color w:val="auto"/>
              </w:rPr>
              <w:t>performance, and</w:t>
            </w:r>
          </w:p>
        </w:tc>
      </w:tr>
      <w:tr>
        <w:trPr>
          <w:trHeight w:val="185"/>
        </w:trPr>
        <w:tc>
          <w:tcPr>
            <w:tcW w:w="960" w:type="dxa"/>
            <w:vAlign w:val="bottom"/>
            <w:tcBorders>
              <w:bottom w:val="single" w:sz="8" w:color="5E2D91"/>
            </w:tcBorders>
          </w:tcPr>
          <w:p>
            <w:pPr>
              <w:spacing w:after="0"/>
              <w:rPr>
                <w:sz w:val="16"/>
                <w:szCs w:val="16"/>
                <w:color w:val="auto"/>
              </w:rPr>
            </w:pPr>
          </w:p>
        </w:tc>
        <w:tc>
          <w:tcPr>
            <w:tcW w:w="1140" w:type="dxa"/>
            <w:vAlign w:val="bottom"/>
            <w:tcBorders>
              <w:bottom w:val="single" w:sz="8" w:color="5E2D91"/>
            </w:tcBorders>
          </w:tcPr>
          <w:p>
            <w:pPr>
              <w:spacing w:after="0"/>
              <w:rPr>
                <w:sz w:val="16"/>
                <w:szCs w:val="16"/>
                <w:color w:val="auto"/>
              </w:rPr>
            </w:pPr>
          </w:p>
        </w:tc>
        <w:tc>
          <w:tcPr>
            <w:tcW w:w="3800" w:type="dxa"/>
            <w:vAlign w:val="bottom"/>
            <w:tcBorders>
              <w:bottom w:val="single" w:sz="8" w:color="5E2D91"/>
            </w:tcBorders>
          </w:tcPr>
          <w:p>
            <w:pPr>
              <w:spacing w:after="0"/>
              <w:rPr>
                <w:sz w:val="16"/>
                <w:szCs w:val="16"/>
                <w:color w:val="auto"/>
              </w:rPr>
            </w:pPr>
          </w:p>
        </w:tc>
        <w:tc>
          <w:tcPr>
            <w:tcW w:w="3140" w:type="dxa"/>
            <w:vAlign w:val="bottom"/>
            <w:tcBorders>
              <w:bottom w:val="single" w:sz="8" w:color="5E2D91"/>
            </w:tcBorders>
          </w:tcPr>
          <w:p>
            <w:pPr>
              <w:ind w:left="1140"/>
              <w:spacing w:after="0"/>
              <w:rPr>
                <w:sz w:val="20"/>
                <w:szCs w:val="20"/>
                <w:color w:val="auto"/>
              </w:rPr>
            </w:pPr>
            <w:r>
              <w:rPr>
                <w:rFonts w:ascii="Arial" w:cs="Arial" w:eastAsia="Arial" w:hAnsi="Arial"/>
                <w:sz w:val="14"/>
                <w:szCs w:val="14"/>
                <w:color w:val="auto"/>
              </w:rPr>
              <w:t>internal equity</w:t>
            </w:r>
          </w:p>
        </w:tc>
      </w:tr>
    </w:tbl>
    <w:p>
      <w:pPr>
        <w:spacing w:after="0" w:line="18" w:lineRule="exact"/>
        <w:rPr>
          <w:sz w:val="20"/>
          <w:szCs w:val="20"/>
          <w:color w:val="auto"/>
        </w:rPr>
      </w:pPr>
    </w:p>
    <w:p>
      <w:pPr>
        <w:sectPr>
          <w:pgSz w:w="11900" w:h="16838" w:orient="portrait"/>
          <w:cols w:equalWidth="0" w:num="1">
            <w:col w:w="9040"/>
          </w:cols>
          <w:pgMar w:left="1420" w:top="300" w:right="1439" w:bottom="0" w:gutter="0" w:footer="0" w:header="0"/>
        </w:sectPr>
      </w:pPr>
    </w:p>
    <w:tbl>
      <w:tblPr>
        <w:tblLayout w:type="fixed"/>
        <w:tblInd w:w="6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b w:val="1"/>
                <w:bCs w:val="1"/>
                <w:color w:val="auto"/>
              </w:rPr>
              <w:t>Annual</w:t>
            </w:r>
          </w:p>
        </w:tc>
        <w:tc>
          <w:tcPr>
            <w:tcW w:w="1260" w:type="dxa"/>
            <w:vAlign w:val="bottom"/>
          </w:tcPr>
          <w:p>
            <w:pPr>
              <w:ind w:left="80"/>
              <w:spacing w:after="0"/>
              <w:rPr>
                <w:sz w:val="20"/>
                <w:szCs w:val="20"/>
                <w:color w:val="auto"/>
              </w:rPr>
            </w:pPr>
            <w:r>
              <w:rPr>
                <w:rFonts w:ascii="Arial" w:cs="Arial" w:eastAsia="Arial" w:hAnsi="Arial"/>
                <w:sz w:val="14"/>
                <w:szCs w:val="14"/>
                <w:b w:val="1"/>
                <w:bCs w:val="1"/>
                <w:color w:val="auto"/>
              </w:rPr>
              <w:t>100%</w:t>
            </w:r>
          </w:p>
        </w:tc>
        <w:tc>
          <w:tcPr>
            <w:tcW w:w="3600" w:type="dxa"/>
            <w:vAlign w:val="bottom"/>
            <w:gridSpan w:val="2"/>
          </w:tcPr>
          <w:p>
            <w:pPr>
              <w:ind w:left="440"/>
              <w:spacing w:after="0"/>
              <w:rPr>
                <w:sz w:val="20"/>
                <w:szCs w:val="20"/>
                <w:color w:val="auto"/>
              </w:rPr>
            </w:pPr>
            <w:r>
              <w:rPr>
                <w:rFonts w:ascii="Arial" w:cs="Arial" w:eastAsia="Arial" w:hAnsi="Arial"/>
                <w:sz w:val="14"/>
                <w:szCs w:val="14"/>
                <w:b w:val="1"/>
                <w:bCs w:val="1"/>
                <w:color w:val="auto"/>
              </w:rPr>
              <w:t>80% Financial Measures: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Arial" w:cs="Arial" w:eastAsia="Arial" w:hAnsi="Arial"/>
                <w:sz w:val="14"/>
                <w:szCs w:val="14"/>
                <w:b w:val="1"/>
                <w:bCs w:val="1"/>
                <w:color w:val="auto"/>
              </w:rPr>
              <w:t>Incentive</w:t>
            </w:r>
          </w:p>
        </w:tc>
        <w:tc>
          <w:tcPr>
            <w:tcW w:w="1260" w:type="dxa"/>
            <w:vAlign w:val="bottom"/>
          </w:tcPr>
          <w:p>
            <w:pPr>
              <w:ind w:left="80"/>
              <w:spacing w:after="0"/>
              <w:rPr>
                <w:sz w:val="20"/>
                <w:szCs w:val="20"/>
                <w:color w:val="auto"/>
              </w:rPr>
            </w:pPr>
            <w:r>
              <w:rPr>
                <w:rFonts w:ascii="Arial" w:cs="Arial" w:eastAsia="Arial" w:hAnsi="Arial"/>
                <w:sz w:val="14"/>
                <w:szCs w:val="14"/>
                <w:color w:val="auto"/>
              </w:rPr>
              <w:t>At-risk cash</w:t>
            </w:r>
          </w:p>
        </w:tc>
        <w:tc>
          <w:tcPr>
            <w:tcW w:w="540" w:type="dxa"/>
            <w:vAlign w:val="bottom"/>
          </w:tcPr>
          <w:p>
            <w:pPr>
              <w:ind w:left="440"/>
              <w:spacing w:after="0" w:line="176" w:lineRule="exact"/>
              <w:rPr>
                <w:sz w:val="20"/>
                <w:szCs w:val="20"/>
                <w:color w:val="auto"/>
              </w:rPr>
            </w:pPr>
            <w:r>
              <w:rPr>
                <w:rFonts w:ascii="Arial" w:cs="Arial" w:eastAsia="Arial" w:hAnsi="Arial"/>
                <w:sz w:val="17"/>
                <w:szCs w:val="17"/>
                <w:color w:val="582C83"/>
              </w:rPr>
              <w:t>•</w:t>
            </w:r>
          </w:p>
        </w:tc>
        <w:tc>
          <w:tcPr>
            <w:tcW w:w="3060" w:type="dxa"/>
            <w:vAlign w:val="bottom"/>
          </w:tcPr>
          <w:p>
            <w:pPr>
              <w:ind w:left="20"/>
              <w:spacing w:after="0"/>
              <w:rPr>
                <w:sz w:val="20"/>
                <w:szCs w:val="20"/>
                <w:color w:val="auto"/>
              </w:rPr>
            </w:pPr>
            <w:r>
              <w:rPr>
                <w:rFonts w:ascii="Arial" w:cs="Arial" w:eastAsia="Arial" w:hAnsi="Arial"/>
                <w:sz w:val="14"/>
                <w:szCs w:val="14"/>
                <w:color w:val="auto"/>
              </w:rPr>
              <w:t>Organic Volume Growth (15%)</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20"/>
                <w:szCs w:val="20"/>
                <w:color w:val="auto"/>
              </w:rPr>
            </w:pPr>
            <w:r>
              <w:rPr>
                <w:rFonts w:ascii="Arial" w:cs="Arial" w:eastAsia="Arial" w:hAnsi="Arial"/>
                <w:sz w:val="14"/>
                <w:szCs w:val="14"/>
                <w:b w:val="1"/>
                <w:bCs w:val="1"/>
                <w:color w:val="auto"/>
              </w:rPr>
              <w:t>Plan (“AIP”)</w:t>
            </w:r>
          </w:p>
        </w:tc>
        <w:tc>
          <w:tcPr>
            <w:tcW w:w="1260" w:type="dxa"/>
            <w:vAlign w:val="bottom"/>
          </w:tcPr>
          <w:p>
            <w:pPr>
              <w:spacing w:after="0"/>
              <w:rPr>
                <w:sz w:val="17"/>
                <w:szCs w:val="17"/>
                <w:color w:val="auto"/>
              </w:rPr>
            </w:pPr>
          </w:p>
        </w:tc>
        <w:tc>
          <w:tcPr>
            <w:tcW w:w="540" w:type="dxa"/>
            <w:vAlign w:val="bottom"/>
            <w:vMerge w:val="restart"/>
          </w:tcPr>
          <w:p>
            <w:pPr>
              <w:ind w:left="440"/>
              <w:spacing w:after="0"/>
              <w:rPr>
                <w:sz w:val="20"/>
                <w:szCs w:val="20"/>
                <w:color w:val="auto"/>
              </w:rPr>
            </w:pPr>
            <w:r>
              <w:rPr>
                <w:rFonts w:ascii="Arial" w:cs="Arial" w:eastAsia="Arial" w:hAnsi="Arial"/>
                <w:sz w:val="17"/>
                <w:szCs w:val="17"/>
                <w:color w:val="582C83"/>
              </w:rPr>
              <w:t>•</w:t>
            </w:r>
          </w:p>
        </w:tc>
        <w:tc>
          <w:tcPr>
            <w:tcW w:w="3060" w:type="dxa"/>
            <w:vAlign w:val="bottom"/>
            <w:vMerge w:val="restart"/>
          </w:tcPr>
          <w:p>
            <w:pPr>
              <w:ind w:left="20"/>
              <w:spacing w:after="0"/>
              <w:rPr>
                <w:sz w:val="20"/>
                <w:szCs w:val="20"/>
                <w:color w:val="auto"/>
              </w:rPr>
            </w:pPr>
            <w:r>
              <w:rPr>
                <w:rFonts w:ascii="Arial" w:cs="Arial" w:eastAsia="Arial" w:hAnsi="Arial"/>
                <w:sz w:val="14"/>
                <w:szCs w:val="14"/>
                <w:color w:val="auto"/>
              </w:rPr>
              <w:t>Organic Net Revenue Growth (15%)</w:t>
            </w:r>
          </w:p>
        </w:tc>
        <w:tc>
          <w:tcPr>
            <w:tcW w:w="880" w:type="dxa"/>
            <w:vAlign w:val="bottom"/>
            <w:vMerge w:val="restart"/>
          </w:tcPr>
          <w:p>
            <w:pPr>
              <w:ind w:left="380"/>
              <w:spacing w:after="0"/>
              <w:rPr>
                <w:sz w:val="20"/>
                <w:szCs w:val="20"/>
                <w:color w:val="auto"/>
              </w:rPr>
            </w:pPr>
            <w:r>
              <w:rPr>
                <w:rFonts w:ascii="Arial" w:cs="Arial" w:eastAsia="Arial" w:hAnsi="Arial"/>
                <w:sz w:val="14"/>
                <w:szCs w:val="14"/>
                <w:color w:val="auto"/>
              </w:rPr>
              <w:t>30pp</w:t>
            </w:r>
          </w:p>
        </w:tc>
        <w:tc>
          <w:tcPr>
            <w:tcW w:w="0" w:type="dxa"/>
            <w:vAlign w:val="bottom"/>
          </w:tcPr>
          <w:p>
            <w:pPr>
              <w:spacing w:after="0"/>
              <w:rPr>
                <w:sz w:val="1"/>
                <w:szCs w:val="1"/>
                <w:color w:val="auto"/>
              </w:rPr>
            </w:pPr>
          </w:p>
        </w:tc>
      </w:tr>
      <w:tr>
        <w:trPr>
          <w:trHeight w:val="60"/>
        </w:trPr>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0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ind w:left="440"/>
              <w:spacing w:after="0" w:line="185" w:lineRule="exact"/>
              <w:rPr>
                <w:sz w:val="20"/>
                <w:szCs w:val="20"/>
                <w:color w:val="auto"/>
              </w:rPr>
            </w:pPr>
            <w:r>
              <w:rPr>
                <w:rFonts w:ascii="Arial" w:cs="Arial" w:eastAsia="Arial" w:hAnsi="Arial"/>
                <w:sz w:val="17"/>
                <w:szCs w:val="17"/>
                <w:color w:val="582C83"/>
              </w:rPr>
              <w:t>•</w:t>
            </w:r>
          </w:p>
        </w:tc>
        <w:tc>
          <w:tcPr>
            <w:tcW w:w="3060" w:type="dxa"/>
            <w:vAlign w:val="bottom"/>
          </w:tcPr>
          <w:p>
            <w:pPr>
              <w:ind w:left="20"/>
              <w:spacing w:after="0"/>
              <w:rPr>
                <w:sz w:val="20"/>
                <w:szCs w:val="20"/>
                <w:color w:val="auto"/>
              </w:rPr>
            </w:pPr>
            <w:r>
              <w:rPr>
                <w:rFonts w:ascii="Arial" w:cs="Arial" w:eastAsia="Arial" w:hAnsi="Arial"/>
                <w:sz w:val="14"/>
                <w:szCs w:val="14"/>
                <w:color w:val="auto"/>
              </w:rPr>
              <w:t>Adjusted Gross Profit Growth (35%)</w:t>
            </w:r>
          </w:p>
        </w:tc>
        <w:tc>
          <w:tcPr>
            <w:tcW w:w="880" w:type="dxa"/>
            <w:vAlign w:val="bottom"/>
          </w:tcPr>
          <w:p>
            <w:pPr>
              <w:ind w:left="380"/>
              <w:spacing w:after="0"/>
              <w:rPr>
                <w:sz w:val="20"/>
                <w:szCs w:val="20"/>
                <w:color w:val="auto"/>
              </w:rPr>
            </w:pPr>
            <w:r>
              <w:rPr>
                <w:rFonts w:ascii="Arial" w:cs="Arial" w:eastAsia="Arial" w:hAnsi="Arial"/>
                <w:sz w:val="14"/>
                <w:szCs w:val="14"/>
                <w:color w:val="auto"/>
              </w:rPr>
              <w:t>Market</w:t>
            </w:r>
          </w:p>
        </w:tc>
        <w:tc>
          <w:tcPr>
            <w:tcW w:w="0" w:type="dxa"/>
            <w:vAlign w:val="bottom"/>
          </w:tcPr>
          <w:p>
            <w:pPr>
              <w:spacing w:after="0"/>
              <w:rPr>
                <w:sz w:val="1"/>
                <w:szCs w:val="1"/>
                <w:color w:val="auto"/>
              </w:rPr>
            </w:pPr>
          </w:p>
        </w:tc>
      </w:tr>
      <w:tr>
        <w:trPr>
          <w:trHeight w:val="166"/>
        </w:trPr>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vMerge w:val="restart"/>
          </w:tcPr>
          <w:p>
            <w:pPr>
              <w:ind w:left="440"/>
              <w:spacing w:after="0"/>
              <w:rPr>
                <w:sz w:val="20"/>
                <w:szCs w:val="20"/>
                <w:color w:val="auto"/>
              </w:rPr>
            </w:pPr>
            <w:r>
              <w:rPr>
                <w:rFonts w:ascii="Arial" w:cs="Arial" w:eastAsia="Arial" w:hAnsi="Arial"/>
                <w:sz w:val="17"/>
                <w:szCs w:val="17"/>
                <w:color w:val="582C83"/>
              </w:rPr>
              <w:t>•</w:t>
            </w:r>
          </w:p>
        </w:tc>
        <w:tc>
          <w:tcPr>
            <w:tcW w:w="3060" w:type="dxa"/>
            <w:vAlign w:val="bottom"/>
            <w:vMerge w:val="restart"/>
          </w:tcPr>
          <w:p>
            <w:pPr>
              <w:ind w:left="20"/>
              <w:spacing w:after="0"/>
              <w:rPr>
                <w:sz w:val="20"/>
                <w:szCs w:val="20"/>
                <w:color w:val="auto"/>
              </w:rPr>
            </w:pPr>
            <w:r>
              <w:rPr>
                <w:rFonts w:ascii="Arial" w:cs="Arial" w:eastAsia="Arial" w:hAnsi="Arial"/>
                <w:sz w:val="14"/>
                <w:szCs w:val="14"/>
                <w:color w:val="auto"/>
              </w:rPr>
              <w:t>Adjusted Operating Income Growth (15%)</w:t>
            </w:r>
          </w:p>
        </w:tc>
        <w:tc>
          <w:tcPr>
            <w:tcW w:w="880" w:type="dxa"/>
            <w:vAlign w:val="bottom"/>
          </w:tcPr>
          <w:p>
            <w:pPr>
              <w:ind w:left="380"/>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09"/>
        </w:trPr>
        <w:tc>
          <w:tcPr>
            <w:tcW w:w="9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3060" w:type="dxa"/>
            <w:vAlign w:val="bottom"/>
            <w:vMerge w:val="continue"/>
          </w:tcPr>
          <w:p>
            <w:pPr>
              <w:spacing w:after="0"/>
              <w:rPr>
                <w:sz w:val="9"/>
                <w:szCs w:val="9"/>
                <w:color w:val="auto"/>
              </w:rPr>
            </w:pPr>
          </w:p>
        </w:tc>
        <w:tc>
          <w:tcPr>
            <w:tcW w:w="880" w:type="dxa"/>
            <w:vAlign w:val="bottom"/>
            <w:vMerge w:val="restart"/>
          </w:tcPr>
          <w:p>
            <w:pPr>
              <w:ind w:left="380"/>
              <w:spacing w:after="0"/>
              <w:rPr>
                <w:sz w:val="20"/>
                <w:szCs w:val="20"/>
                <w:color w:val="auto"/>
              </w:rPr>
            </w:pPr>
            <w:r>
              <w:rPr>
                <w:rFonts w:ascii="Arial" w:cs="Arial" w:eastAsia="Arial" w:hAnsi="Arial"/>
                <w:sz w:val="14"/>
                <w:szCs w:val="14"/>
                <w:color w:val="auto"/>
                <w:w w:val="99"/>
              </w:rPr>
              <w:t>Overlay</w:t>
            </w:r>
          </w:p>
        </w:tc>
        <w:tc>
          <w:tcPr>
            <w:tcW w:w="0" w:type="dxa"/>
            <w:vAlign w:val="bottom"/>
          </w:tcPr>
          <w:p>
            <w:pPr>
              <w:spacing w:after="0"/>
              <w:rPr>
                <w:sz w:val="1"/>
                <w:szCs w:val="1"/>
                <w:color w:val="auto"/>
              </w:rPr>
            </w:pPr>
          </w:p>
        </w:tc>
      </w:tr>
      <w:tr>
        <w:trPr>
          <w:trHeight w:val="82"/>
        </w:trPr>
        <w:tc>
          <w:tcPr>
            <w:tcW w:w="9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40" w:type="dxa"/>
            <w:vAlign w:val="bottom"/>
            <w:vMerge w:val="restart"/>
          </w:tcPr>
          <w:p>
            <w:pPr>
              <w:ind w:left="440"/>
              <w:spacing w:after="0"/>
              <w:rPr>
                <w:sz w:val="20"/>
                <w:szCs w:val="20"/>
                <w:color w:val="auto"/>
              </w:rPr>
            </w:pPr>
            <w:r>
              <w:rPr>
                <w:rFonts w:ascii="Arial" w:cs="Arial" w:eastAsia="Arial" w:hAnsi="Arial"/>
                <w:sz w:val="17"/>
                <w:szCs w:val="17"/>
                <w:color w:val="582C83"/>
              </w:rPr>
              <w:t>•</w:t>
            </w:r>
          </w:p>
        </w:tc>
        <w:tc>
          <w:tcPr>
            <w:tcW w:w="3060" w:type="dxa"/>
            <w:vAlign w:val="bottom"/>
            <w:vMerge w:val="restart"/>
          </w:tcPr>
          <w:p>
            <w:pPr>
              <w:ind w:left="20"/>
              <w:spacing w:after="0"/>
              <w:rPr>
                <w:sz w:val="20"/>
                <w:szCs w:val="20"/>
                <w:color w:val="auto"/>
              </w:rPr>
            </w:pPr>
            <w:r>
              <w:rPr>
                <w:rFonts w:ascii="Arial" w:cs="Arial" w:eastAsia="Arial" w:hAnsi="Arial"/>
                <w:sz w:val="14"/>
                <w:szCs w:val="14"/>
                <w:color w:val="auto"/>
              </w:rPr>
              <w:t>Free Cash Flow (20%)</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0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auto"/>
        </w:rPr>
        <w:t>20% Strategic Progress Indicator</w:t>
      </w:r>
    </w:p>
    <w:p>
      <w:pPr>
        <w:spacing w:after="0" w:line="7"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auto"/>
        </w:rPr>
        <w:t>(“SPI”) Goals</w:t>
      </w:r>
      <w:r>
        <w:rPr>
          <w:rFonts w:ascii="Arial" w:cs="Arial" w:eastAsia="Arial" w:hAnsi="Arial"/>
          <w:sz w:val="18"/>
          <w:szCs w:val="18"/>
          <w:b w:val="1"/>
          <w:bCs w:val="1"/>
          <w:color w:val="auto"/>
          <w:vertAlign w:val="superscript"/>
        </w:rPr>
        <w:t>(2)</w:t>
      </w:r>
    </w:p>
    <w:p>
      <w:pPr>
        <w:spacing w:after="0" w:line="20" w:lineRule="exact"/>
        <w:rPr>
          <w:sz w:val="20"/>
          <w:szCs w:val="20"/>
          <w:color w:val="auto"/>
        </w:rPr>
      </w:pPr>
      <w:r>
        <w:rPr>
          <w:sz w:val="20"/>
          <w:szCs w:val="20"/>
          <w:color w:val="auto"/>
        </w:rPr>
        <w:br w:type="column"/>
      </w:r>
    </w:p>
    <w:p>
      <w:pPr>
        <w:ind w:right="160"/>
        <w:spacing w:after="0" w:line="286" w:lineRule="auto"/>
        <w:rPr>
          <w:sz w:val="20"/>
          <w:szCs w:val="20"/>
          <w:color w:val="auto"/>
        </w:rPr>
      </w:pPr>
      <w:r>
        <w:rPr>
          <w:rFonts w:ascii="Arial" w:cs="Arial" w:eastAsia="Arial" w:hAnsi="Arial"/>
          <w:sz w:val="14"/>
          <w:szCs w:val="14"/>
          <w:color w:val="auto"/>
        </w:rPr>
        <w:t>Reward and motivate annual achievements of critical financial goals and strategic objectives across four priorities: growth, execution, culture, and sustainability</w:t>
      </w:r>
    </w:p>
    <w:p>
      <w:pPr>
        <w:spacing w:after="0" w:line="930" w:lineRule="exact"/>
        <w:rPr>
          <w:sz w:val="20"/>
          <w:szCs w:val="20"/>
          <w:color w:val="auto"/>
        </w:rPr>
      </w:pPr>
    </w:p>
    <w:p>
      <w:pPr>
        <w:sectPr>
          <w:pgSz w:w="11900" w:h="16838" w:orient="portrait"/>
          <w:cols w:equalWidth="0" w:num="2">
            <w:col w:w="6700" w:space="340"/>
            <w:col w:w="2000"/>
          </w:cols>
          <w:pgMar w:left="1420" w:top="300" w:right="1439" w:bottom="0" w:gutter="0" w:footer="0" w:header="0"/>
          <w:type w:val="continuous"/>
        </w:sectPr>
      </w:pPr>
    </w:p>
    <w:tbl>
      <w:tblPr>
        <w:tblLayout w:type="fixed"/>
        <w:tblInd w:w="60" w:type="dxa"/>
        <w:tblCellMar>
          <w:top w:w="0" w:type="dxa"/>
          <w:left w:w="0" w:type="dxa"/>
          <w:bottom w:w="0" w:type="dxa"/>
          <w:right w:w="0" w:type="dxa"/>
        </w:tblCellMar>
      </w:tblPr>
      <w:tr>
        <w:trPr>
          <w:trHeight w:val="195"/>
        </w:trPr>
        <w:tc>
          <w:tcPr>
            <w:tcW w:w="920" w:type="dxa"/>
            <w:vAlign w:val="bottom"/>
          </w:tcPr>
          <w:p>
            <w:pPr>
              <w:spacing w:after="0"/>
              <w:rPr>
                <w:sz w:val="20"/>
                <w:szCs w:val="20"/>
                <w:color w:val="auto"/>
              </w:rPr>
            </w:pPr>
            <w:r>
              <w:rPr>
                <w:rFonts w:ascii="Arial" w:cs="Arial" w:eastAsia="Arial" w:hAnsi="Arial"/>
                <w:sz w:val="14"/>
                <w:szCs w:val="14"/>
                <w:b w:val="1"/>
                <w:bCs w:val="1"/>
                <w:color w:val="auto"/>
              </w:rPr>
              <w:t>Long-Term</w:t>
            </w:r>
          </w:p>
        </w:tc>
        <w:tc>
          <w:tcPr>
            <w:tcW w:w="1560" w:type="dxa"/>
            <w:vAlign w:val="bottom"/>
          </w:tcPr>
          <w:p>
            <w:pPr>
              <w:ind w:left="60"/>
              <w:spacing w:after="0"/>
              <w:rPr>
                <w:sz w:val="20"/>
                <w:szCs w:val="20"/>
                <w:color w:val="auto"/>
              </w:rPr>
            </w:pPr>
            <w:r>
              <w:rPr>
                <w:rFonts w:ascii="Arial" w:cs="Arial" w:eastAsia="Arial" w:hAnsi="Arial"/>
                <w:sz w:val="14"/>
                <w:szCs w:val="14"/>
                <w:b w:val="1"/>
                <w:bCs w:val="1"/>
                <w:color w:val="auto"/>
              </w:rPr>
              <w:t>75% Performance</w:t>
            </w:r>
          </w:p>
        </w:tc>
        <w:tc>
          <w:tcPr>
            <w:tcW w:w="220" w:type="dxa"/>
            <w:vAlign w:val="bottom"/>
          </w:tcPr>
          <w:p>
            <w:pPr>
              <w:ind w:left="120"/>
              <w:spacing w:after="0"/>
              <w:rPr>
                <w:sz w:val="20"/>
                <w:szCs w:val="20"/>
                <w:color w:val="auto"/>
              </w:rPr>
            </w:pPr>
            <w:r>
              <w:rPr>
                <w:rFonts w:ascii="Arial" w:cs="Arial" w:eastAsia="Arial" w:hAnsi="Arial"/>
                <w:sz w:val="17"/>
                <w:szCs w:val="17"/>
                <w:color w:val="582C83"/>
              </w:rPr>
              <w:t>•</w:t>
            </w:r>
          </w:p>
        </w:tc>
        <w:tc>
          <w:tcPr>
            <w:tcW w:w="2880" w:type="dxa"/>
            <w:vAlign w:val="bottom"/>
          </w:tcPr>
          <w:p>
            <w:pPr>
              <w:ind w:left="20"/>
              <w:spacing w:after="0"/>
              <w:rPr>
                <w:sz w:val="20"/>
                <w:szCs w:val="20"/>
                <w:color w:val="auto"/>
              </w:rPr>
            </w:pPr>
            <w:r>
              <w:rPr>
                <w:rFonts w:ascii="Arial" w:cs="Arial" w:eastAsia="Arial" w:hAnsi="Arial"/>
                <w:sz w:val="14"/>
                <w:szCs w:val="14"/>
                <w:color w:val="auto"/>
              </w:rPr>
              <w:t>Organic Net Revenue Growth (50%)</w:t>
            </w:r>
          </w:p>
        </w:tc>
        <w:tc>
          <w:tcPr>
            <w:tcW w:w="1360" w:type="dxa"/>
            <w:vAlign w:val="bottom"/>
          </w:tcPr>
          <w:p>
            <w:pPr>
              <w:ind w:left="560"/>
              <w:spacing w:after="0"/>
              <w:rPr>
                <w:sz w:val="20"/>
                <w:szCs w:val="20"/>
                <w:color w:val="auto"/>
              </w:rPr>
            </w:pPr>
            <w:r>
              <w:rPr>
                <w:rFonts w:ascii="Arial" w:cs="Arial" w:eastAsia="Arial" w:hAnsi="Arial"/>
                <w:sz w:val="14"/>
                <w:szCs w:val="14"/>
                <w:color w:val="auto"/>
              </w:rPr>
              <w:t>25pp</w:t>
            </w:r>
          </w:p>
        </w:tc>
      </w:tr>
      <w:tr>
        <w:trPr>
          <w:trHeight w:val="203"/>
        </w:trPr>
        <w:tc>
          <w:tcPr>
            <w:tcW w:w="920" w:type="dxa"/>
            <w:vAlign w:val="bottom"/>
          </w:tcPr>
          <w:p>
            <w:pPr>
              <w:spacing w:after="0"/>
              <w:rPr>
                <w:sz w:val="20"/>
                <w:szCs w:val="20"/>
                <w:color w:val="auto"/>
              </w:rPr>
            </w:pPr>
            <w:r>
              <w:rPr>
                <w:rFonts w:ascii="Arial" w:cs="Arial" w:eastAsia="Arial" w:hAnsi="Arial"/>
                <w:sz w:val="14"/>
                <w:szCs w:val="14"/>
                <w:b w:val="1"/>
                <w:bCs w:val="1"/>
                <w:color w:val="auto"/>
              </w:rPr>
              <w:t>Incentive</w:t>
            </w:r>
          </w:p>
        </w:tc>
        <w:tc>
          <w:tcPr>
            <w:tcW w:w="1560" w:type="dxa"/>
            <w:vAlign w:val="bottom"/>
          </w:tcPr>
          <w:p>
            <w:pPr>
              <w:ind w:left="60"/>
              <w:spacing w:after="0"/>
              <w:rPr>
                <w:sz w:val="20"/>
                <w:szCs w:val="20"/>
                <w:color w:val="auto"/>
              </w:rPr>
            </w:pPr>
            <w:r>
              <w:rPr>
                <w:rFonts w:ascii="Arial" w:cs="Arial" w:eastAsia="Arial" w:hAnsi="Arial"/>
                <w:sz w:val="14"/>
                <w:szCs w:val="14"/>
                <w:b w:val="1"/>
                <w:bCs w:val="1"/>
                <w:color w:val="auto"/>
              </w:rPr>
              <w:t>Share Units</w:t>
            </w:r>
          </w:p>
        </w:tc>
        <w:tc>
          <w:tcPr>
            <w:tcW w:w="220" w:type="dxa"/>
            <w:vAlign w:val="bottom"/>
          </w:tcPr>
          <w:p>
            <w:pPr>
              <w:ind w:left="120"/>
              <w:spacing w:after="0"/>
              <w:rPr>
                <w:sz w:val="20"/>
                <w:szCs w:val="20"/>
                <w:color w:val="auto"/>
              </w:rPr>
            </w:pPr>
            <w:r>
              <w:rPr>
                <w:rFonts w:ascii="Arial" w:cs="Arial" w:eastAsia="Arial" w:hAnsi="Arial"/>
                <w:sz w:val="17"/>
                <w:szCs w:val="17"/>
                <w:color w:val="582C83"/>
              </w:rPr>
              <w:t>•</w:t>
            </w:r>
          </w:p>
        </w:tc>
        <w:tc>
          <w:tcPr>
            <w:tcW w:w="2880" w:type="dxa"/>
            <w:vAlign w:val="bottom"/>
          </w:tcPr>
          <w:p>
            <w:pPr>
              <w:ind w:left="20"/>
              <w:spacing w:after="0"/>
              <w:rPr>
                <w:sz w:val="20"/>
                <w:szCs w:val="20"/>
                <w:color w:val="auto"/>
              </w:rPr>
            </w:pPr>
            <w:r>
              <w:rPr>
                <w:rFonts w:ascii="Arial" w:cs="Arial" w:eastAsia="Arial" w:hAnsi="Arial"/>
                <w:sz w:val="14"/>
                <w:szCs w:val="14"/>
                <w:color w:val="auto"/>
              </w:rPr>
              <w:t>Adjusted EPS Growth (50%)</w:t>
            </w:r>
          </w:p>
        </w:tc>
        <w:tc>
          <w:tcPr>
            <w:tcW w:w="1360" w:type="dxa"/>
            <w:vAlign w:val="bottom"/>
          </w:tcPr>
          <w:p>
            <w:pPr>
              <w:ind w:left="560"/>
              <w:spacing w:after="0"/>
              <w:rPr>
                <w:sz w:val="20"/>
                <w:szCs w:val="20"/>
                <w:color w:val="auto"/>
              </w:rPr>
            </w:pPr>
            <w:r>
              <w:rPr>
                <w:rFonts w:ascii="Arial" w:cs="Arial" w:eastAsia="Arial" w:hAnsi="Arial"/>
                <w:sz w:val="14"/>
                <w:szCs w:val="14"/>
                <w:color w:val="auto"/>
              </w:rPr>
              <w:t>Annualized</w:t>
            </w:r>
          </w:p>
        </w:tc>
      </w:tr>
      <w:tr>
        <w:trPr>
          <w:trHeight w:val="139"/>
        </w:trPr>
        <w:tc>
          <w:tcPr>
            <w:tcW w:w="920" w:type="dxa"/>
            <w:vAlign w:val="bottom"/>
          </w:tcPr>
          <w:p>
            <w:pPr>
              <w:spacing w:after="0" w:line="139" w:lineRule="exact"/>
              <w:rPr>
                <w:sz w:val="20"/>
                <w:szCs w:val="20"/>
                <w:color w:val="auto"/>
              </w:rPr>
            </w:pPr>
            <w:r>
              <w:rPr>
                <w:rFonts w:ascii="Arial" w:cs="Arial" w:eastAsia="Arial" w:hAnsi="Arial"/>
                <w:sz w:val="14"/>
                <w:szCs w:val="14"/>
                <w:b w:val="1"/>
                <w:bCs w:val="1"/>
                <w:color w:val="auto"/>
              </w:rPr>
              <w:t>(“LTI”)</w:t>
            </w:r>
          </w:p>
        </w:tc>
        <w:tc>
          <w:tcPr>
            <w:tcW w:w="156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(“PSUs”)</w:t>
            </w:r>
          </w:p>
        </w:tc>
        <w:tc>
          <w:tcPr>
            <w:tcW w:w="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360" w:type="dxa"/>
            <w:vAlign w:val="bottom"/>
          </w:tcPr>
          <w:p>
            <w:pPr>
              <w:ind w:left="560"/>
              <w:spacing w:after="0" w:line="139" w:lineRule="exact"/>
              <w:rPr>
                <w:sz w:val="20"/>
                <w:szCs w:val="20"/>
                <w:color w:val="auto"/>
              </w:rPr>
            </w:pPr>
            <w:r>
              <w:rPr>
                <w:rFonts w:ascii="Arial" w:cs="Arial" w:eastAsia="Arial" w:hAnsi="Arial"/>
                <w:sz w:val="14"/>
                <w:szCs w:val="14"/>
                <w:color w:val="auto"/>
              </w:rPr>
              <w:t>Relative</w:t>
            </w:r>
          </w:p>
        </w:tc>
      </w:tr>
      <w:tr>
        <w:trPr>
          <w:trHeight w:val="187"/>
        </w:trPr>
        <w:tc>
          <w:tcPr>
            <w:tcW w:w="920" w:type="dxa"/>
            <w:vAlign w:val="bottom"/>
          </w:tcPr>
          <w:p>
            <w:pPr>
              <w:spacing w:after="0"/>
              <w:rPr>
                <w:sz w:val="20"/>
                <w:szCs w:val="20"/>
                <w:color w:val="auto"/>
              </w:rPr>
            </w:pPr>
            <w:r>
              <w:rPr>
                <w:rFonts w:ascii="Arial" w:cs="Arial" w:eastAsia="Arial" w:hAnsi="Arial"/>
                <w:sz w:val="14"/>
                <w:szCs w:val="14"/>
                <w:b w:val="1"/>
                <w:bCs w:val="1"/>
                <w:color w:val="auto"/>
              </w:rPr>
              <w:t>Program</w:t>
            </w:r>
          </w:p>
        </w:tc>
        <w:tc>
          <w:tcPr>
            <w:tcW w:w="1560" w:type="dxa"/>
            <w:vAlign w:val="bottom"/>
          </w:tcPr>
          <w:p>
            <w:pPr>
              <w:ind w:left="60"/>
              <w:spacing w:after="0"/>
              <w:rPr>
                <w:sz w:val="20"/>
                <w:szCs w:val="20"/>
                <w:color w:val="auto"/>
              </w:rPr>
            </w:pPr>
            <w:r>
              <w:rPr>
                <w:rFonts w:ascii="Arial" w:cs="Arial" w:eastAsia="Arial" w:hAnsi="Arial"/>
                <w:sz w:val="14"/>
                <w:szCs w:val="14"/>
                <w:color w:val="auto"/>
              </w:rPr>
              <w:t>3-year cliff vesting</w:t>
            </w:r>
          </w:p>
        </w:tc>
        <w:tc>
          <w:tcPr>
            <w:tcW w:w="2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360" w:type="dxa"/>
            <w:vAlign w:val="bottom"/>
          </w:tcPr>
          <w:p>
            <w:pPr>
              <w:ind w:left="560"/>
              <w:spacing w:after="0"/>
              <w:rPr>
                <w:sz w:val="20"/>
                <w:szCs w:val="20"/>
                <w:color w:val="auto"/>
              </w:rPr>
            </w:pPr>
            <w:r>
              <w:rPr>
                <w:rFonts w:ascii="Arial" w:cs="Arial" w:eastAsia="Arial" w:hAnsi="Arial"/>
                <w:sz w:val="14"/>
                <w:szCs w:val="14"/>
                <w:color w:val="auto"/>
              </w:rPr>
              <w:t>TSR</w:t>
            </w:r>
          </w:p>
        </w:tc>
      </w:tr>
      <w:tr>
        <w:trPr>
          <w:trHeight w:val="228"/>
        </w:trPr>
        <w:tc>
          <w:tcPr>
            <w:tcW w:w="920" w:type="dxa"/>
            <w:vAlign w:val="bottom"/>
          </w:tcPr>
          <w:p>
            <w:pPr>
              <w:spacing w:after="0"/>
              <w:rPr>
                <w:sz w:val="19"/>
                <w:szCs w:val="19"/>
                <w:color w:val="auto"/>
              </w:rPr>
            </w:pPr>
          </w:p>
        </w:tc>
        <w:tc>
          <w:tcPr>
            <w:tcW w:w="1560" w:type="dxa"/>
            <w:vAlign w:val="bottom"/>
            <w:tcBorders>
              <w:bottom w:val="single" w:sz="8" w:color="5E2D91"/>
            </w:tcBorders>
          </w:tcPr>
          <w:p>
            <w:pPr>
              <w:spacing w:after="0"/>
              <w:rPr>
                <w:sz w:val="19"/>
                <w:szCs w:val="19"/>
                <w:color w:val="auto"/>
              </w:rPr>
            </w:pPr>
          </w:p>
        </w:tc>
        <w:tc>
          <w:tcPr>
            <w:tcW w:w="220" w:type="dxa"/>
            <w:vAlign w:val="bottom"/>
            <w:tcBorders>
              <w:bottom w:val="single" w:sz="8" w:color="5E2D91"/>
            </w:tcBorders>
          </w:tcPr>
          <w:p>
            <w:pPr>
              <w:spacing w:after="0"/>
              <w:rPr>
                <w:sz w:val="19"/>
                <w:szCs w:val="19"/>
                <w:color w:val="auto"/>
              </w:rPr>
            </w:pPr>
          </w:p>
        </w:tc>
        <w:tc>
          <w:tcPr>
            <w:tcW w:w="2880" w:type="dxa"/>
            <w:vAlign w:val="bottom"/>
            <w:tcBorders>
              <w:bottom w:val="single" w:sz="8" w:color="5E2D91"/>
            </w:tcBorders>
          </w:tcPr>
          <w:p>
            <w:pPr>
              <w:spacing w:after="0"/>
              <w:rPr>
                <w:sz w:val="19"/>
                <w:szCs w:val="19"/>
                <w:color w:val="auto"/>
              </w:rPr>
            </w:pPr>
          </w:p>
        </w:tc>
        <w:tc>
          <w:tcPr>
            <w:tcW w:w="1360" w:type="dxa"/>
            <w:vAlign w:val="bottom"/>
            <w:tcBorders>
              <w:bottom w:val="single" w:sz="8" w:color="5E2D91"/>
            </w:tcBorders>
          </w:tcPr>
          <w:p>
            <w:pPr>
              <w:ind w:left="560"/>
              <w:spacing w:after="0"/>
              <w:rPr>
                <w:sz w:val="20"/>
                <w:szCs w:val="20"/>
                <w:color w:val="auto"/>
              </w:rPr>
            </w:pPr>
            <w:r>
              <w:rPr>
                <w:rFonts w:ascii="Arial" w:cs="Arial" w:eastAsia="Arial" w:hAnsi="Arial"/>
                <w:sz w:val="14"/>
                <w:szCs w:val="14"/>
                <w:color w:val="auto"/>
              </w:rPr>
              <w:t>Modifier</w:t>
            </w:r>
            <w:r>
              <w:rPr>
                <w:rFonts w:ascii="Arial" w:cs="Arial" w:eastAsia="Arial" w:hAnsi="Arial"/>
                <w:sz w:val="18"/>
                <w:szCs w:val="18"/>
                <w:color w:val="auto"/>
                <w:vertAlign w:val="superscript"/>
              </w:rPr>
              <w:t>(3)</w:t>
            </w:r>
          </w:p>
        </w:tc>
      </w:tr>
      <w:tr>
        <w:trPr>
          <w:trHeight w:val="187"/>
        </w:trPr>
        <w:tc>
          <w:tcPr>
            <w:tcW w:w="920" w:type="dxa"/>
            <w:vAlign w:val="bottom"/>
          </w:tcPr>
          <w:p>
            <w:pPr>
              <w:spacing w:after="0"/>
              <w:rPr>
                <w:sz w:val="16"/>
                <w:szCs w:val="16"/>
                <w:color w:val="auto"/>
              </w:rPr>
            </w:pPr>
          </w:p>
        </w:tc>
        <w:tc>
          <w:tcPr>
            <w:tcW w:w="1560" w:type="dxa"/>
            <w:vAlign w:val="bottom"/>
          </w:tcPr>
          <w:p>
            <w:pPr>
              <w:ind w:left="60"/>
              <w:spacing w:after="0"/>
              <w:rPr>
                <w:sz w:val="20"/>
                <w:szCs w:val="20"/>
                <w:color w:val="auto"/>
              </w:rPr>
            </w:pPr>
            <w:r>
              <w:rPr>
                <w:rFonts w:ascii="Arial" w:cs="Arial" w:eastAsia="Arial" w:hAnsi="Arial"/>
                <w:sz w:val="14"/>
                <w:szCs w:val="14"/>
                <w:b w:val="1"/>
                <w:bCs w:val="1"/>
                <w:color w:val="auto"/>
              </w:rPr>
              <w:t>25% Stock Options</w:t>
            </w:r>
          </w:p>
        </w:tc>
        <w:tc>
          <w:tcPr>
            <w:tcW w:w="3100" w:type="dxa"/>
            <w:vAlign w:val="bottom"/>
            <w:gridSpan w:val="2"/>
          </w:tcPr>
          <w:p>
            <w:pPr>
              <w:ind w:left="120"/>
              <w:spacing w:after="0"/>
              <w:rPr>
                <w:sz w:val="20"/>
                <w:szCs w:val="20"/>
                <w:color w:val="auto"/>
              </w:rPr>
            </w:pPr>
            <w:r>
              <w:rPr>
                <w:rFonts w:ascii="Arial" w:cs="Arial" w:eastAsia="Arial" w:hAnsi="Arial"/>
                <w:sz w:val="14"/>
                <w:szCs w:val="14"/>
                <w:color w:val="auto"/>
              </w:rPr>
              <w:t>Stock Price</w:t>
            </w:r>
          </w:p>
        </w:tc>
        <w:tc>
          <w:tcPr>
            <w:tcW w:w="1360" w:type="dxa"/>
            <w:vAlign w:val="bottom"/>
          </w:tcPr>
          <w:p>
            <w:pPr>
              <w:spacing w:after="0"/>
              <w:rPr>
                <w:sz w:val="16"/>
                <w:szCs w:val="16"/>
                <w:color w:val="auto"/>
              </w:rPr>
            </w:pPr>
          </w:p>
        </w:tc>
      </w:tr>
      <w:tr>
        <w:trPr>
          <w:trHeight w:val="190"/>
        </w:trPr>
        <w:tc>
          <w:tcPr>
            <w:tcW w:w="920" w:type="dxa"/>
            <w:vAlign w:val="bottom"/>
          </w:tcPr>
          <w:p>
            <w:pPr>
              <w:spacing w:after="0"/>
              <w:rPr>
                <w:sz w:val="16"/>
                <w:szCs w:val="16"/>
                <w:color w:val="auto"/>
              </w:rPr>
            </w:pPr>
          </w:p>
        </w:tc>
        <w:tc>
          <w:tcPr>
            <w:tcW w:w="1560" w:type="dxa"/>
            <w:vAlign w:val="bottom"/>
          </w:tcPr>
          <w:p>
            <w:pPr>
              <w:ind w:left="60"/>
              <w:spacing w:after="0"/>
              <w:rPr>
                <w:sz w:val="20"/>
                <w:szCs w:val="20"/>
                <w:color w:val="auto"/>
              </w:rPr>
            </w:pPr>
            <w:r>
              <w:rPr>
                <w:rFonts w:ascii="Arial" w:cs="Arial" w:eastAsia="Arial" w:hAnsi="Arial"/>
                <w:sz w:val="14"/>
                <w:szCs w:val="14"/>
                <w:color w:val="auto"/>
              </w:rPr>
              <w:t>3-year ratable vesting</w:t>
            </w:r>
          </w:p>
        </w:tc>
        <w:tc>
          <w:tcPr>
            <w:tcW w:w="2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3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60"/>
        <w:spacing w:after="0" w:line="287" w:lineRule="auto"/>
        <w:rPr>
          <w:sz w:val="20"/>
          <w:szCs w:val="20"/>
          <w:color w:val="auto"/>
        </w:rPr>
      </w:pPr>
      <w:r>
        <w:rPr>
          <w:rFonts w:ascii="Arial" w:cs="Arial" w:eastAsia="Arial" w:hAnsi="Arial"/>
          <w:sz w:val="14"/>
          <w:szCs w:val="14"/>
          <w:color w:val="auto"/>
        </w:rPr>
        <w:t>Reward long-term performance for delivering sustained long-term growth and creating shareholder value</w:t>
      </w:r>
    </w:p>
    <w:p>
      <w:pPr>
        <w:spacing w:after="0" w:line="446" w:lineRule="exact"/>
        <w:rPr>
          <w:sz w:val="20"/>
          <w:szCs w:val="20"/>
          <w:color w:val="auto"/>
        </w:rPr>
      </w:pPr>
    </w:p>
    <w:p>
      <w:pPr>
        <w:sectPr>
          <w:pgSz w:w="11900" w:h="16838" w:orient="portrait"/>
          <w:cols w:equalWidth="0" w:num="2">
            <w:col w:w="7000" w:space="40"/>
            <w:col w:w="2000"/>
          </w:cols>
          <w:pgMar w:left="1420" w:top="300" w:right="1439" w:bottom="0" w:gutter="0" w:footer="0" w:header="0"/>
          <w:type w:val="continuous"/>
        </w:sectPr>
      </w:pPr>
    </w:p>
    <w:p>
      <w:pPr>
        <w:ind w:left="260" w:hanging="253"/>
        <w:spacing w:after="0"/>
        <w:tabs>
          <w:tab w:leader="none" w:pos="260" w:val="left"/>
        </w:tabs>
        <w:numPr>
          <w:ilvl w:val="0"/>
          <w:numId w:val="77"/>
        </w:numPr>
        <w:rPr>
          <w:rFonts w:ascii="Arial" w:cs="Arial" w:eastAsia="Arial" w:hAnsi="Arial"/>
          <w:sz w:val="13"/>
          <w:szCs w:val="13"/>
          <w:color w:val="auto"/>
        </w:rPr>
      </w:pPr>
      <w:r>
        <w:rPr>
          <w:rFonts w:ascii="Arial" w:cs="Arial" w:eastAsia="Arial" w:hAnsi="Arial"/>
          <w:sz w:val="13"/>
          <w:szCs w:val="13"/>
          <w:color w:val="auto"/>
        </w:rPr>
        <w:t>A more detailed discussion, including definitions of the financial measures, appears later in this CD&amp;A and in Annex A.</w:t>
      </w:r>
    </w:p>
    <w:p>
      <w:pPr>
        <w:spacing w:after="0" w:line="16" w:lineRule="exact"/>
        <w:rPr>
          <w:rFonts w:ascii="Arial" w:cs="Arial" w:eastAsia="Arial" w:hAnsi="Arial"/>
          <w:sz w:val="13"/>
          <w:szCs w:val="13"/>
          <w:color w:val="auto"/>
        </w:rPr>
      </w:pPr>
    </w:p>
    <w:p>
      <w:pPr>
        <w:ind w:left="260" w:hanging="253"/>
        <w:spacing w:after="0"/>
        <w:tabs>
          <w:tab w:leader="none" w:pos="260" w:val="left"/>
        </w:tabs>
        <w:numPr>
          <w:ilvl w:val="0"/>
          <w:numId w:val="77"/>
        </w:numPr>
        <w:rPr>
          <w:rFonts w:ascii="Arial" w:cs="Arial" w:eastAsia="Arial" w:hAnsi="Arial"/>
          <w:sz w:val="13"/>
          <w:szCs w:val="13"/>
          <w:color w:val="auto"/>
        </w:rPr>
      </w:pPr>
      <w:r>
        <w:rPr>
          <w:rFonts w:ascii="Arial" w:cs="Arial" w:eastAsia="Arial" w:hAnsi="Arial"/>
          <w:sz w:val="13"/>
          <w:szCs w:val="13"/>
          <w:color w:val="auto"/>
        </w:rPr>
        <w:t>See “Strategic Progress Indicator Goals” on page 72 for details.</w:t>
      </w:r>
    </w:p>
    <w:p>
      <w:pPr>
        <w:spacing w:after="0" w:line="12" w:lineRule="exact"/>
        <w:rPr>
          <w:rFonts w:ascii="Arial" w:cs="Arial" w:eastAsia="Arial" w:hAnsi="Arial"/>
          <w:sz w:val="13"/>
          <w:szCs w:val="13"/>
          <w:color w:val="auto"/>
        </w:rPr>
      </w:pPr>
    </w:p>
    <w:p>
      <w:pPr>
        <w:ind w:left="260" w:hanging="253"/>
        <w:spacing w:after="0"/>
        <w:tabs>
          <w:tab w:leader="none" w:pos="260" w:val="left"/>
        </w:tabs>
        <w:numPr>
          <w:ilvl w:val="0"/>
          <w:numId w:val="77"/>
        </w:numPr>
        <w:rPr>
          <w:rFonts w:ascii="Arial" w:cs="Arial" w:eastAsia="Arial" w:hAnsi="Arial"/>
          <w:sz w:val="13"/>
          <w:szCs w:val="13"/>
          <w:color w:val="auto"/>
        </w:rPr>
      </w:pPr>
      <w:r>
        <w:rPr>
          <w:rFonts w:ascii="Arial" w:cs="Arial" w:eastAsia="Arial" w:hAnsi="Arial"/>
          <w:sz w:val="13"/>
          <w:szCs w:val="13"/>
          <w:color w:val="auto"/>
        </w:rPr>
        <w:t>For PSUs, require above median performance (60</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percentile) for the relative TSR modifier to have a positive impact on payouts.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Compensation Program Design Changes</w:t>
      </w:r>
    </w:p>
    <w:p>
      <w:pPr>
        <w:spacing w:after="0" w:line="114"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We did not make any material changes to our 2025 design relative to our design in 2024, except for PSUs. For the 2025-2027 PSUs, we retained the same three performance metrics as prior years. However, we shifted relative TSR from a 50% weighting to a modifier, which may increase or decrease the number of PSUs earned by up to 25pp (the “Relative TSR Modifier”). This change aligns with the prevalent market practice and emphasizes the two equally weighted financial metrics (Organic Net Revenue Growth and Adjusted EPS Growth), which are vital in accomplishing our long-term strategy, while continuing to include relative TSR. Relative TSR remains an important metric for measuring relative outperformance and incentivizing shareholder value creation. The Relative TSR Modifier will not have a positive impact on the number of earned PSUs unless our relative TSR meets or exceeds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Further, the Relative TSR Modifier cannot result in a PSU payout greater than 200% of target.</w:t>
      </w:r>
    </w:p>
    <w:p>
      <w:pPr>
        <w:spacing w:after="0" w:line="83" w:lineRule="exact"/>
        <w:rPr>
          <w:sz w:val="20"/>
          <w:szCs w:val="20"/>
          <w:color w:val="auto"/>
        </w:rPr>
      </w:pPr>
    </w:p>
    <w:p>
      <w:pPr>
        <w:ind w:right="320"/>
        <w:spacing w:after="0" w:line="301" w:lineRule="auto"/>
        <w:rPr>
          <w:sz w:val="20"/>
          <w:szCs w:val="20"/>
          <w:color w:val="auto"/>
        </w:rPr>
      </w:pPr>
      <w:r>
        <w:rPr>
          <w:rFonts w:ascii="Arial" w:cs="Arial" w:eastAsia="Arial" w:hAnsi="Arial"/>
          <w:sz w:val="17"/>
          <w:szCs w:val="17"/>
          <w:color w:val="auto"/>
        </w:rPr>
        <w:t>Our program remains aligned with our business strategy and reflects the strength of ongoing shareholder feedback, demonstrated by the strong levels of support we have received historically from shareholders on our Say-on-Pay.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582C83"/>
        </w:rPr>
        <w:t>2026 PROXY STATEMENT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18935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10375" cy="189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COMPENSATION DISCUSSION AND ANALYSIS (CD&amp;A)</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Executive Summary</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EXECUTIVE COMPENSATION GOALS AND PRINCIPLES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Our executive compensation program is designed to focus on four primary principles.</w:t>
      </w:r>
    </w:p>
    <w:p>
      <w:pPr>
        <w:sectPr>
          <w:pgSz w:w="11900" w:h="16838" w:orient="portrait"/>
          <w:cols w:equalWidth="0" w:num="1">
            <w:col w:w="9040"/>
          </w:cols>
          <w:pgMar w:left="1420" w:top="300" w:right="1439"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60"/>
        <w:spacing w:after="0"/>
        <w:tabs>
          <w:tab w:leader="none" w:pos="2280" w:val="left"/>
        </w:tabs>
        <w:rPr>
          <w:sz w:val="20"/>
          <w:szCs w:val="20"/>
          <w:color w:val="auto"/>
        </w:rPr>
      </w:pPr>
      <w:r>
        <w:rPr>
          <w:rFonts w:ascii="Arial" w:cs="Arial" w:eastAsia="Arial" w:hAnsi="Arial"/>
          <w:sz w:val="14"/>
          <w:szCs w:val="14"/>
          <w:color w:val="auto"/>
        </w:rPr>
        <w:t>Attract, retain and motivate</w:t>
      </w:r>
      <w:r>
        <w:rPr>
          <w:sz w:val="20"/>
          <w:szCs w:val="20"/>
          <w:color w:val="auto"/>
        </w:rPr>
        <w:tab/>
      </w:r>
      <w:r>
        <w:rPr>
          <w:rFonts w:ascii="Arial" w:cs="Arial" w:eastAsia="Arial" w:hAnsi="Arial"/>
          <w:sz w:val="17"/>
          <w:szCs w:val="17"/>
          <w:color w:val="582C83"/>
        </w:rPr>
        <w:t xml:space="preserve">• </w:t>
      </w:r>
      <w:r>
        <w:rPr>
          <w:rFonts w:ascii="Arial" w:cs="Arial" w:eastAsia="Arial" w:hAnsi="Arial"/>
          <w:sz w:val="14"/>
          <w:szCs w:val="14"/>
          <w:color w:val="000000"/>
        </w:rPr>
        <w:t>Align our executive pay packages with comparable positions at companies in our Compensation</w:t>
      </w:r>
    </w:p>
    <w:p>
      <w:pPr>
        <w:sectPr>
          <w:pgSz w:w="11900" w:h="16838" w:orient="portrait"/>
          <w:cols w:equalWidth="0" w:num="1">
            <w:col w:w="9040"/>
          </w:cols>
          <w:pgMar w:left="1420" w:top="300" w:right="1439" w:bottom="0" w:gutter="0" w:footer="0" w:header="0"/>
          <w:type w:val="continuous"/>
        </w:sectPr>
      </w:pPr>
    </w:p>
    <w:bookmarkStart w:id="58" w:name="page59"/>
    <w:bookmarkEnd w:id="58"/>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ind w:left="60"/>
              <w:spacing w:after="0"/>
              <w:rPr>
                <w:sz w:val="20"/>
                <w:szCs w:val="20"/>
                <w:color w:val="auto"/>
              </w:rPr>
            </w:pPr>
            <w:r>
              <w:rPr>
                <w:rFonts w:ascii="Arial" w:cs="Arial" w:eastAsia="Arial" w:hAnsi="Arial"/>
                <w:sz w:val="14"/>
                <w:szCs w:val="14"/>
                <w:color w:val="auto"/>
              </w:rPr>
              <w:t>talented executives and develop</w:t>
            </w:r>
          </w:p>
        </w:tc>
        <w:tc>
          <w:tcPr>
            <w:tcW w:w="160" w:type="dxa"/>
            <w:vAlign w:val="bottom"/>
          </w:tcPr>
          <w:p>
            <w:pPr>
              <w:spacing w:after="0"/>
              <w:rPr>
                <w:sz w:val="14"/>
                <w:szCs w:val="14"/>
                <w:color w:val="auto"/>
              </w:rPr>
            </w:pPr>
          </w:p>
        </w:tc>
        <w:tc>
          <w:tcPr>
            <w:tcW w:w="6640" w:type="dxa"/>
            <w:vAlign w:val="bottom"/>
          </w:tcPr>
          <w:p>
            <w:pPr>
              <w:ind w:left="20"/>
              <w:spacing w:after="0"/>
              <w:rPr>
                <w:sz w:val="20"/>
                <w:szCs w:val="20"/>
                <w:color w:val="auto"/>
              </w:rPr>
            </w:pPr>
            <w:r>
              <w:rPr>
                <w:rFonts w:ascii="Arial" w:cs="Arial" w:eastAsia="Arial" w:hAnsi="Arial"/>
                <w:sz w:val="14"/>
                <w:szCs w:val="14"/>
                <w:color w:val="auto"/>
              </w:rPr>
              <w:t>Survey Peer Group, taking into account tenure, experience, performance, and complexity of scope</w:t>
            </w:r>
          </w:p>
        </w:tc>
        <w:tc>
          <w:tcPr>
            <w:tcW w:w="0" w:type="dxa"/>
            <w:vAlign w:val="bottom"/>
          </w:tcPr>
          <w:p>
            <w:pPr>
              <w:spacing w:after="0"/>
              <w:rPr>
                <w:sz w:val="1"/>
                <w:szCs w:val="1"/>
                <w:color w:val="auto"/>
              </w:rPr>
            </w:pPr>
          </w:p>
        </w:tc>
      </w:tr>
      <w:tr>
        <w:trPr>
          <w:trHeight w:val="68"/>
        </w:trPr>
        <w:tc>
          <w:tcPr>
            <w:tcW w:w="2240" w:type="dxa"/>
            <w:vAlign w:val="bottom"/>
          </w:tcPr>
          <w:p>
            <w:pPr>
              <w:ind w:left="60"/>
              <w:spacing w:after="0" w:line="68" w:lineRule="exact"/>
              <w:rPr>
                <w:sz w:val="20"/>
                <w:szCs w:val="20"/>
                <w:color w:val="auto"/>
              </w:rPr>
            </w:pPr>
            <w:r>
              <w:rPr>
                <w:rFonts w:ascii="Arial" w:cs="Arial" w:eastAsia="Arial" w:hAnsi="Arial"/>
                <w:sz w:val="7"/>
                <w:szCs w:val="7"/>
                <w:b w:val="1"/>
                <w:bCs w:val="1"/>
                <w:color w:val="auto"/>
              </w:rPr>
              <w:t>Principle</w:t>
            </w:r>
          </w:p>
        </w:tc>
        <w:tc>
          <w:tcPr>
            <w:tcW w:w="6800" w:type="dxa"/>
            <w:vAlign w:val="bottom"/>
            <w:gridSpan w:val="2"/>
          </w:tcPr>
          <w:p>
            <w:pPr>
              <w:ind w:left="60"/>
              <w:spacing w:after="0" w:line="68" w:lineRule="exact"/>
              <w:rPr>
                <w:sz w:val="20"/>
                <w:szCs w:val="20"/>
                <w:color w:val="auto"/>
              </w:rPr>
            </w:pPr>
            <w:r>
              <w:rPr>
                <w:rFonts w:ascii="Arial" w:cs="Arial" w:eastAsia="Arial" w:hAnsi="Arial"/>
                <w:sz w:val="7"/>
                <w:szCs w:val="7"/>
                <w:b w:val="1"/>
                <w:bCs w:val="1"/>
                <w:color w:val="auto"/>
              </w:rPr>
              <w:t>How We Accomplish</w:t>
            </w:r>
          </w:p>
        </w:tc>
        <w:tc>
          <w:tcPr>
            <w:tcW w:w="0" w:type="dxa"/>
            <w:vAlign w:val="bottom"/>
          </w:tcPr>
          <w:p>
            <w:pPr>
              <w:spacing w:after="0"/>
              <w:rPr>
                <w:sz w:val="1"/>
                <w:szCs w:val="1"/>
                <w:color w:val="auto"/>
              </w:rPr>
            </w:pPr>
          </w:p>
        </w:tc>
      </w:tr>
      <w:tr>
        <w:trPr>
          <w:trHeight w:val="61"/>
        </w:trPr>
        <w:tc>
          <w:tcPr>
            <w:tcW w:w="2240" w:type="dxa"/>
            <w:vAlign w:val="bottom"/>
          </w:tcPr>
          <w:p>
            <w:pPr>
              <w:ind w:left="60"/>
              <w:spacing w:after="0" w:line="61" w:lineRule="exact"/>
              <w:rPr>
                <w:sz w:val="20"/>
                <w:szCs w:val="20"/>
                <w:color w:val="auto"/>
              </w:rPr>
            </w:pPr>
            <w:r>
              <w:rPr>
                <w:rFonts w:ascii="Arial" w:cs="Arial" w:eastAsia="Arial" w:hAnsi="Arial"/>
                <w:sz w:val="7"/>
                <w:szCs w:val="7"/>
                <w:color w:val="auto"/>
              </w:rPr>
              <w:t>world-class business leaders</w:t>
            </w:r>
          </w:p>
        </w:tc>
        <w:tc>
          <w:tcPr>
            <w:tcW w:w="160" w:type="dxa"/>
            <w:vAlign w:val="bottom"/>
            <w:tcBorders>
              <w:bottom w:val="single" w:sz="8" w:color="E0DBEA"/>
            </w:tcBorders>
          </w:tcPr>
          <w:p>
            <w:pPr>
              <w:spacing w:after="0"/>
              <w:rPr>
                <w:sz w:val="5"/>
                <w:szCs w:val="5"/>
                <w:color w:val="auto"/>
              </w:rPr>
            </w:pPr>
          </w:p>
        </w:tc>
        <w:tc>
          <w:tcPr>
            <w:tcW w:w="6640" w:type="dxa"/>
            <w:vAlign w:val="bottom"/>
            <w:tcBorders>
              <w:bottom w:val="single" w:sz="8" w:color="E0DBEA"/>
            </w:tcBorders>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240" w:type="dxa"/>
            <w:vAlign w:val="bottom"/>
          </w:tcPr>
          <w:p>
            <w:pPr>
              <w:ind w:left="60"/>
              <w:spacing w:after="0"/>
              <w:rPr>
                <w:sz w:val="20"/>
                <w:szCs w:val="20"/>
                <w:color w:val="auto"/>
              </w:rPr>
            </w:pPr>
            <w:r>
              <w:rPr>
                <w:rFonts w:ascii="Arial" w:cs="Arial" w:eastAsia="Arial" w:hAnsi="Arial"/>
                <w:sz w:val="14"/>
                <w:szCs w:val="14"/>
                <w:color w:val="auto"/>
              </w:rPr>
              <w:t>Align executive pay</w:t>
            </w:r>
          </w:p>
        </w:tc>
        <w:tc>
          <w:tcPr>
            <w:tcW w:w="160" w:type="dxa"/>
            <w:vAlign w:val="bottom"/>
          </w:tcPr>
          <w:p>
            <w:pPr>
              <w:ind w:left="60"/>
              <w:spacing w:after="0"/>
              <w:rPr>
                <w:sz w:val="20"/>
                <w:szCs w:val="20"/>
                <w:color w:val="auto"/>
              </w:rPr>
            </w:pPr>
            <w:r>
              <w:rPr>
                <w:rFonts w:ascii="Arial" w:cs="Arial" w:eastAsia="Arial" w:hAnsi="Arial"/>
                <w:sz w:val="17"/>
                <w:szCs w:val="17"/>
                <w:color w:val="582C83"/>
              </w:rPr>
              <w:t>•</w:t>
            </w:r>
          </w:p>
        </w:tc>
        <w:tc>
          <w:tcPr>
            <w:tcW w:w="6640" w:type="dxa"/>
            <w:vAlign w:val="bottom"/>
          </w:tcPr>
          <w:p>
            <w:pPr>
              <w:ind w:left="20"/>
              <w:spacing w:after="0"/>
              <w:rPr>
                <w:sz w:val="20"/>
                <w:szCs w:val="20"/>
                <w:color w:val="auto"/>
              </w:rPr>
            </w:pPr>
            <w:r>
              <w:rPr>
                <w:rFonts w:ascii="Arial" w:cs="Arial" w:eastAsia="Arial" w:hAnsi="Arial"/>
                <w:sz w:val="14"/>
                <w:szCs w:val="14"/>
                <w:color w:val="auto"/>
              </w:rPr>
              <w:t>Make a significant portion of our executives’ compensation dependent on achieving robust financial</w:t>
            </w:r>
          </w:p>
        </w:tc>
        <w:tc>
          <w:tcPr>
            <w:tcW w:w="0" w:type="dxa"/>
            <w:vAlign w:val="bottom"/>
          </w:tcPr>
          <w:p>
            <w:pPr>
              <w:spacing w:after="0"/>
              <w:rPr>
                <w:sz w:val="1"/>
                <w:szCs w:val="1"/>
                <w:color w:val="auto"/>
              </w:rPr>
            </w:pPr>
          </w:p>
        </w:tc>
      </w:tr>
      <w:tr>
        <w:trPr>
          <w:trHeight w:val="204"/>
        </w:trPr>
        <w:tc>
          <w:tcPr>
            <w:tcW w:w="2240" w:type="dxa"/>
            <w:vAlign w:val="bottom"/>
          </w:tcPr>
          <w:p>
            <w:pPr>
              <w:ind w:left="60"/>
              <w:spacing w:after="0"/>
              <w:rPr>
                <w:sz w:val="20"/>
                <w:szCs w:val="20"/>
                <w:color w:val="auto"/>
              </w:rPr>
            </w:pPr>
            <w:r>
              <w:rPr>
                <w:rFonts w:ascii="Arial" w:cs="Arial" w:eastAsia="Arial" w:hAnsi="Arial"/>
                <w:sz w:val="14"/>
                <w:szCs w:val="14"/>
                <w:color w:val="auto"/>
              </w:rPr>
              <w:t>and performance</w:t>
            </w:r>
          </w:p>
        </w:tc>
        <w:tc>
          <w:tcPr>
            <w:tcW w:w="160" w:type="dxa"/>
            <w:vAlign w:val="bottom"/>
          </w:tcPr>
          <w:p>
            <w:pPr>
              <w:spacing w:after="0"/>
              <w:rPr>
                <w:sz w:val="17"/>
                <w:szCs w:val="17"/>
                <w:color w:val="auto"/>
              </w:rPr>
            </w:pPr>
          </w:p>
        </w:tc>
        <w:tc>
          <w:tcPr>
            <w:tcW w:w="6640" w:type="dxa"/>
            <w:vAlign w:val="bottom"/>
          </w:tcPr>
          <w:p>
            <w:pPr>
              <w:ind w:left="20"/>
              <w:spacing w:after="0"/>
              <w:rPr>
                <w:sz w:val="20"/>
                <w:szCs w:val="20"/>
                <w:color w:val="auto"/>
              </w:rPr>
            </w:pPr>
            <w:r>
              <w:rPr>
                <w:rFonts w:ascii="Arial" w:cs="Arial" w:eastAsia="Arial" w:hAnsi="Arial"/>
                <w:sz w:val="14"/>
                <w:szCs w:val="14"/>
                <w:color w:val="auto"/>
              </w:rPr>
              <w:t>and strategic goals which are set at the beginning of performance cycles</w:t>
            </w:r>
          </w:p>
        </w:tc>
        <w:tc>
          <w:tcPr>
            <w:tcW w:w="0" w:type="dxa"/>
            <w:vAlign w:val="bottom"/>
          </w:tcPr>
          <w:p>
            <w:pPr>
              <w:spacing w:after="0"/>
              <w:rPr>
                <w:sz w:val="1"/>
                <w:szCs w:val="1"/>
                <w:color w:val="auto"/>
              </w:rPr>
            </w:pPr>
          </w:p>
        </w:tc>
      </w:tr>
      <w:tr>
        <w:trPr>
          <w:trHeight w:val="242"/>
        </w:trPr>
        <w:tc>
          <w:tcPr>
            <w:tcW w:w="2240" w:type="dxa"/>
            <w:vAlign w:val="bottom"/>
          </w:tcPr>
          <w:p>
            <w:pPr>
              <w:ind w:left="60"/>
              <w:spacing w:after="0"/>
              <w:rPr>
                <w:sz w:val="20"/>
                <w:szCs w:val="20"/>
                <w:color w:val="auto"/>
              </w:rPr>
            </w:pPr>
            <w:r>
              <w:rPr>
                <w:rFonts w:ascii="Arial" w:cs="Arial" w:eastAsia="Arial" w:hAnsi="Arial"/>
                <w:sz w:val="14"/>
                <w:szCs w:val="14"/>
                <w:color w:val="auto"/>
              </w:rPr>
              <w:t>Put pay at risk by heavily</w:t>
            </w:r>
          </w:p>
        </w:tc>
        <w:tc>
          <w:tcPr>
            <w:tcW w:w="160" w:type="dxa"/>
            <w:vAlign w:val="bottom"/>
          </w:tcPr>
          <w:p>
            <w:pPr>
              <w:ind w:left="60"/>
              <w:spacing w:after="0"/>
              <w:rPr>
                <w:sz w:val="20"/>
                <w:szCs w:val="20"/>
                <w:color w:val="auto"/>
              </w:rPr>
            </w:pPr>
            <w:r>
              <w:rPr>
                <w:rFonts w:ascii="Arial" w:cs="Arial" w:eastAsia="Arial" w:hAnsi="Arial"/>
                <w:sz w:val="17"/>
                <w:szCs w:val="17"/>
                <w:color w:val="582C83"/>
              </w:rPr>
              <w:t>•</w:t>
            </w:r>
          </w:p>
        </w:tc>
        <w:tc>
          <w:tcPr>
            <w:tcW w:w="6640" w:type="dxa"/>
            <w:vAlign w:val="bottom"/>
          </w:tcPr>
          <w:p>
            <w:pPr>
              <w:ind w:left="20"/>
              <w:spacing w:after="0"/>
              <w:rPr>
                <w:sz w:val="20"/>
                <w:szCs w:val="20"/>
                <w:color w:val="auto"/>
              </w:rPr>
            </w:pPr>
            <w:r>
              <w:rPr>
                <w:rFonts w:ascii="Arial" w:cs="Arial" w:eastAsia="Arial" w:hAnsi="Arial"/>
                <w:sz w:val="14"/>
                <w:szCs w:val="14"/>
                <w:color w:val="auto"/>
              </w:rPr>
              <w:t>93% of our CEO’s target compensation and on average 85% of the other NEOs’ target compensation is</w:t>
            </w:r>
          </w:p>
        </w:tc>
        <w:tc>
          <w:tcPr>
            <w:tcW w:w="0" w:type="dxa"/>
            <w:vAlign w:val="bottom"/>
          </w:tcPr>
          <w:p>
            <w:pPr>
              <w:spacing w:after="0"/>
              <w:rPr>
                <w:sz w:val="1"/>
                <w:szCs w:val="1"/>
                <w:color w:val="auto"/>
              </w:rPr>
            </w:pPr>
          </w:p>
        </w:tc>
      </w:tr>
      <w:tr>
        <w:trPr>
          <w:trHeight w:val="189"/>
        </w:trPr>
        <w:tc>
          <w:tcPr>
            <w:tcW w:w="2240" w:type="dxa"/>
            <w:vAlign w:val="bottom"/>
          </w:tcPr>
          <w:p>
            <w:pPr>
              <w:ind w:left="60"/>
              <w:spacing w:after="0"/>
              <w:rPr>
                <w:sz w:val="20"/>
                <w:szCs w:val="20"/>
                <w:color w:val="auto"/>
              </w:rPr>
            </w:pPr>
            <w:r>
              <w:rPr>
                <w:rFonts w:ascii="Arial" w:cs="Arial" w:eastAsia="Arial" w:hAnsi="Arial"/>
                <w:sz w:val="14"/>
                <w:szCs w:val="14"/>
                <w:color w:val="auto"/>
              </w:rPr>
              <w:t>weighting the mix of fixed and</w:t>
            </w:r>
          </w:p>
        </w:tc>
        <w:tc>
          <w:tcPr>
            <w:tcW w:w="160" w:type="dxa"/>
            <w:vAlign w:val="bottom"/>
          </w:tcPr>
          <w:p>
            <w:pPr>
              <w:spacing w:after="0"/>
              <w:rPr>
                <w:sz w:val="16"/>
                <w:szCs w:val="16"/>
                <w:color w:val="auto"/>
              </w:rPr>
            </w:pPr>
          </w:p>
        </w:tc>
        <w:tc>
          <w:tcPr>
            <w:tcW w:w="6640" w:type="dxa"/>
            <w:vAlign w:val="bottom"/>
          </w:tcPr>
          <w:p>
            <w:pPr>
              <w:ind w:left="20"/>
              <w:spacing w:after="0"/>
              <w:rPr>
                <w:sz w:val="20"/>
                <w:szCs w:val="20"/>
                <w:color w:val="auto"/>
              </w:rPr>
            </w:pPr>
            <w:r>
              <w:rPr>
                <w:rFonts w:ascii="Arial" w:cs="Arial" w:eastAsia="Arial" w:hAnsi="Arial"/>
                <w:sz w:val="14"/>
                <w:szCs w:val="14"/>
                <w:color w:val="auto"/>
              </w:rPr>
              <w:t>at risk</w:t>
            </w:r>
          </w:p>
        </w:tc>
        <w:tc>
          <w:tcPr>
            <w:tcW w:w="0" w:type="dxa"/>
            <w:vAlign w:val="bottom"/>
          </w:tcPr>
          <w:p>
            <w:pPr>
              <w:spacing w:after="0"/>
              <w:rPr>
                <w:sz w:val="1"/>
                <w:szCs w:val="1"/>
                <w:color w:val="auto"/>
              </w:rPr>
            </w:pPr>
          </w:p>
        </w:tc>
      </w:tr>
      <w:tr>
        <w:trPr>
          <w:trHeight w:val="158"/>
        </w:trPr>
        <w:tc>
          <w:tcPr>
            <w:tcW w:w="2240" w:type="dxa"/>
            <w:vAlign w:val="bottom"/>
            <w:tcBorders>
              <w:bottom w:val="single" w:sz="8" w:color="582C83"/>
            </w:tcBorders>
          </w:tcPr>
          <w:p>
            <w:pPr>
              <w:ind w:left="60"/>
              <w:spacing w:after="0" w:line="158" w:lineRule="exact"/>
              <w:rPr>
                <w:sz w:val="20"/>
                <w:szCs w:val="20"/>
                <w:color w:val="auto"/>
              </w:rPr>
            </w:pPr>
            <w:r>
              <w:rPr>
                <w:rFonts w:ascii="Arial" w:cs="Arial" w:eastAsia="Arial" w:hAnsi="Arial"/>
                <w:sz w:val="14"/>
                <w:szCs w:val="14"/>
                <w:color w:val="auto"/>
              </w:rPr>
              <w:t>variable compensation toward</w:t>
            </w:r>
          </w:p>
        </w:tc>
        <w:tc>
          <w:tcPr>
            <w:tcW w:w="160" w:type="dxa"/>
            <w:vAlign w:val="bottom"/>
            <w:tcBorders>
              <w:bottom w:val="single" w:sz="8" w:color="582C83"/>
            </w:tcBorders>
          </w:tcPr>
          <w:p>
            <w:pPr>
              <w:spacing w:after="0"/>
              <w:rPr>
                <w:sz w:val="13"/>
                <w:szCs w:val="13"/>
                <w:color w:val="auto"/>
              </w:rPr>
            </w:pPr>
          </w:p>
        </w:tc>
        <w:tc>
          <w:tcPr>
            <w:tcW w:w="6640" w:type="dxa"/>
            <w:vAlign w:val="bottom"/>
            <w:tcBorders>
              <w:bottom w:val="single" w:sz="8" w:color="582C83"/>
            </w:tcBorders>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240" w:type="dxa"/>
            <w:vAlign w:val="bottom"/>
          </w:tcPr>
          <w:p>
            <w:pPr>
              <w:ind w:left="60"/>
              <w:spacing w:after="0"/>
              <w:rPr>
                <w:sz w:val="20"/>
                <w:szCs w:val="20"/>
                <w:color w:val="auto"/>
              </w:rPr>
            </w:pPr>
            <w:r>
              <w:rPr>
                <w:rFonts w:ascii="Arial" w:cs="Arial" w:eastAsia="Arial" w:hAnsi="Arial"/>
                <w:sz w:val="14"/>
                <w:szCs w:val="14"/>
                <w:color w:val="auto"/>
              </w:rPr>
              <w:t>variable components</w:t>
            </w:r>
          </w:p>
        </w:tc>
        <w:tc>
          <w:tcPr>
            <w:tcW w:w="16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40" w:type="dxa"/>
            <w:vAlign w:val="bottom"/>
          </w:tcPr>
          <w:p>
            <w:pPr>
              <w:ind w:left="60"/>
              <w:spacing w:after="0"/>
              <w:rPr>
                <w:sz w:val="20"/>
                <w:szCs w:val="20"/>
                <w:color w:val="auto"/>
              </w:rPr>
            </w:pPr>
            <w:r>
              <w:rPr>
                <w:rFonts w:ascii="Arial" w:cs="Arial" w:eastAsia="Arial" w:hAnsi="Arial"/>
                <w:sz w:val="14"/>
                <w:szCs w:val="14"/>
                <w:color w:val="auto"/>
              </w:rPr>
              <w:t>Align our executives’ and</w:t>
            </w:r>
          </w:p>
        </w:tc>
        <w:tc>
          <w:tcPr>
            <w:tcW w:w="160" w:type="dxa"/>
            <w:vAlign w:val="bottom"/>
          </w:tcPr>
          <w:p>
            <w:pPr>
              <w:ind w:left="60"/>
              <w:spacing w:after="0"/>
              <w:rPr>
                <w:sz w:val="20"/>
                <w:szCs w:val="20"/>
                <w:color w:val="auto"/>
              </w:rPr>
            </w:pPr>
            <w:r>
              <w:rPr>
                <w:rFonts w:ascii="Arial" w:cs="Arial" w:eastAsia="Arial" w:hAnsi="Arial"/>
                <w:sz w:val="17"/>
                <w:szCs w:val="17"/>
                <w:color w:val="582C83"/>
              </w:rPr>
              <w:t>•</w:t>
            </w:r>
          </w:p>
        </w:tc>
        <w:tc>
          <w:tcPr>
            <w:tcW w:w="6640" w:type="dxa"/>
            <w:vAlign w:val="bottom"/>
          </w:tcPr>
          <w:p>
            <w:pPr>
              <w:ind w:left="20"/>
              <w:spacing w:after="0"/>
              <w:rPr>
                <w:sz w:val="20"/>
                <w:szCs w:val="20"/>
                <w:color w:val="auto"/>
              </w:rPr>
            </w:pPr>
            <w:r>
              <w:rPr>
                <w:rFonts w:ascii="Arial" w:cs="Arial" w:eastAsia="Arial" w:hAnsi="Arial"/>
                <w:sz w:val="14"/>
                <w:szCs w:val="14"/>
                <w:color w:val="auto"/>
              </w:rPr>
              <w:t>78% of our CEO’s target compensation and on average 67% of the other NEOs’ target compensation is</w:t>
            </w:r>
          </w:p>
        </w:tc>
        <w:tc>
          <w:tcPr>
            <w:tcW w:w="0" w:type="dxa"/>
            <w:vAlign w:val="bottom"/>
          </w:tcPr>
          <w:p>
            <w:pPr>
              <w:spacing w:after="0"/>
              <w:rPr>
                <w:sz w:val="1"/>
                <w:szCs w:val="1"/>
                <w:color w:val="auto"/>
              </w:rPr>
            </w:pPr>
          </w:p>
        </w:tc>
      </w:tr>
      <w:tr>
        <w:trPr>
          <w:trHeight w:val="189"/>
        </w:trPr>
        <w:tc>
          <w:tcPr>
            <w:tcW w:w="2240" w:type="dxa"/>
            <w:vAlign w:val="bottom"/>
          </w:tcPr>
          <w:p>
            <w:pPr>
              <w:ind w:left="60"/>
              <w:spacing w:after="0"/>
              <w:rPr>
                <w:sz w:val="20"/>
                <w:szCs w:val="20"/>
                <w:color w:val="auto"/>
              </w:rPr>
            </w:pPr>
            <w:r>
              <w:rPr>
                <w:rFonts w:ascii="Arial" w:cs="Arial" w:eastAsia="Arial" w:hAnsi="Arial"/>
                <w:sz w:val="14"/>
                <w:szCs w:val="14"/>
                <w:color w:val="auto"/>
              </w:rPr>
              <w:t>shareholders’ interests to</w:t>
            </w:r>
          </w:p>
        </w:tc>
        <w:tc>
          <w:tcPr>
            <w:tcW w:w="160" w:type="dxa"/>
            <w:vAlign w:val="bottom"/>
          </w:tcPr>
          <w:p>
            <w:pPr>
              <w:spacing w:after="0"/>
              <w:rPr>
                <w:sz w:val="16"/>
                <w:szCs w:val="16"/>
                <w:color w:val="auto"/>
              </w:rPr>
            </w:pPr>
          </w:p>
        </w:tc>
        <w:tc>
          <w:tcPr>
            <w:tcW w:w="6640" w:type="dxa"/>
            <w:vAlign w:val="bottom"/>
          </w:tcPr>
          <w:p>
            <w:pPr>
              <w:ind w:left="20"/>
              <w:spacing w:after="0"/>
              <w:rPr>
                <w:sz w:val="20"/>
                <w:szCs w:val="20"/>
                <w:color w:val="auto"/>
              </w:rPr>
            </w:pPr>
            <w:r>
              <w:rPr>
                <w:rFonts w:ascii="Arial" w:cs="Arial" w:eastAsia="Arial" w:hAnsi="Arial"/>
                <w:sz w:val="14"/>
                <w:szCs w:val="14"/>
                <w:color w:val="auto"/>
              </w:rPr>
              <w:t>in equity-based grants, comprising PSUs (75%) and stock options (25%)</w:t>
            </w:r>
          </w:p>
        </w:tc>
        <w:tc>
          <w:tcPr>
            <w:tcW w:w="0" w:type="dxa"/>
            <w:vAlign w:val="bottom"/>
          </w:tcPr>
          <w:p>
            <w:pPr>
              <w:spacing w:after="0"/>
              <w:rPr>
                <w:sz w:val="1"/>
                <w:szCs w:val="1"/>
                <w:color w:val="auto"/>
              </w:rPr>
            </w:pPr>
          </w:p>
        </w:tc>
      </w:tr>
      <w:tr>
        <w:trPr>
          <w:trHeight w:val="171"/>
        </w:trPr>
        <w:tc>
          <w:tcPr>
            <w:tcW w:w="2240" w:type="dxa"/>
            <w:vAlign w:val="bottom"/>
          </w:tcPr>
          <w:p>
            <w:pPr>
              <w:ind w:left="60"/>
              <w:spacing w:after="0"/>
              <w:rPr>
                <w:sz w:val="20"/>
                <w:szCs w:val="20"/>
                <w:color w:val="auto"/>
              </w:rPr>
            </w:pPr>
            <w:r>
              <w:rPr>
                <w:rFonts w:ascii="Arial" w:cs="Arial" w:eastAsia="Arial" w:hAnsi="Arial"/>
                <w:sz w:val="14"/>
                <w:szCs w:val="14"/>
                <w:color w:val="auto"/>
              </w:rPr>
              <w:t>promote sustained and superior</w:t>
            </w:r>
          </w:p>
        </w:tc>
        <w:tc>
          <w:tcPr>
            <w:tcW w:w="160" w:type="dxa"/>
            <w:vAlign w:val="bottom"/>
            <w:vMerge w:val="restart"/>
          </w:tcPr>
          <w:p>
            <w:pPr>
              <w:ind w:left="60"/>
              <w:spacing w:after="0"/>
              <w:rPr>
                <w:sz w:val="20"/>
                <w:szCs w:val="20"/>
                <w:color w:val="auto"/>
              </w:rPr>
            </w:pPr>
            <w:r>
              <w:rPr>
                <w:rFonts w:ascii="Arial" w:cs="Arial" w:eastAsia="Arial" w:hAnsi="Arial"/>
                <w:sz w:val="17"/>
                <w:szCs w:val="17"/>
                <w:color w:val="582C83"/>
              </w:rPr>
              <w:t>•</w:t>
            </w:r>
          </w:p>
        </w:tc>
        <w:tc>
          <w:tcPr>
            <w:tcW w:w="6640" w:type="dxa"/>
            <w:vAlign w:val="bottom"/>
            <w:vMerge w:val="restart"/>
          </w:tcPr>
          <w:p>
            <w:pPr>
              <w:ind w:left="20"/>
              <w:spacing w:after="0"/>
              <w:rPr>
                <w:sz w:val="20"/>
                <w:szCs w:val="20"/>
                <w:color w:val="auto"/>
              </w:rPr>
            </w:pPr>
            <w:r>
              <w:rPr>
                <w:rFonts w:ascii="Arial" w:cs="Arial" w:eastAsia="Arial" w:hAnsi="Arial"/>
                <w:sz w:val="14"/>
                <w:szCs w:val="14"/>
                <w:color w:val="auto"/>
              </w:rPr>
              <w:t>For PSUs, require above median performance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for the Relative TSR Modifier to have a</w:t>
            </w:r>
          </w:p>
        </w:tc>
        <w:tc>
          <w:tcPr>
            <w:tcW w:w="0" w:type="dxa"/>
            <w:vAlign w:val="bottom"/>
          </w:tcPr>
          <w:p>
            <w:pPr>
              <w:spacing w:after="0"/>
              <w:rPr>
                <w:sz w:val="1"/>
                <w:szCs w:val="1"/>
                <w:color w:val="auto"/>
              </w:rPr>
            </w:pPr>
          </w:p>
        </w:tc>
      </w:tr>
      <w:tr>
        <w:trPr>
          <w:trHeight w:val="72"/>
        </w:trPr>
        <w:tc>
          <w:tcPr>
            <w:tcW w:w="2240" w:type="dxa"/>
            <w:vAlign w:val="bottom"/>
            <w:vMerge w:val="restart"/>
          </w:tcPr>
          <w:p>
            <w:pPr>
              <w:ind w:left="60"/>
              <w:spacing w:after="0"/>
              <w:rPr>
                <w:sz w:val="20"/>
                <w:szCs w:val="20"/>
                <w:color w:val="auto"/>
              </w:rPr>
            </w:pPr>
            <w:r>
              <w:rPr>
                <w:rFonts w:ascii="Arial" w:cs="Arial" w:eastAsia="Arial" w:hAnsi="Arial"/>
                <w:sz w:val="14"/>
                <w:szCs w:val="14"/>
                <w:color w:val="auto"/>
              </w:rPr>
              <w:t>long-term shareholder returns</w:t>
            </w:r>
          </w:p>
        </w:tc>
        <w:tc>
          <w:tcPr>
            <w:tcW w:w="160" w:type="dxa"/>
            <w:vAlign w:val="bottom"/>
            <w:vMerge w:val="continue"/>
          </w:tcPr>
          <w:p>
            <w:pPr>
              <w:spacing w:after="0"/>
              <w:rPr>
                <w:sz w:val="6"/>
                <w:szCs w:val="6"/>
                <w:color w:val="auto"/>
              </w:rPr>
            </w:pPr>
          </w:p>
        </w:tc>
        <w:tc>
          <w:tcPr>
            <w:tcW w:w="6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2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640" w:type="dxa"/>
            <w:vAlign w:val="bottom"/>
            <w:vMerge w:val="restart"/>
          </w:tcPr>
          <w:p>
            <w:pPr>
              <w:ind w:left="20"/>
              <w:spacing w:after="0"/>
              <w:rPr>
                <w:sz w:val="20"/>
                <w:szCs w:val="20"/>
                <w:color w:val="auto"/>
              </w:rPr>
            </w:pPr>
            <w:r>
              <w:rPr>
                <w:rFonts w:ascii="Arial" w:cs="Arial" w:eastAsia="Arial" w:hAnsi="Arial"/>
                <w:sz w:val="14"/>
                <w:szCs w:val="14"/>
                <w:color w:val="auto"/>
              </w:rPr>
              <w:t>positive impact on payouts</w:t>
            </w: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160" w:type="dxa"/>
            <w:vAlign w:val="bottom"/>
            <w:vMerge w:val="restart"/>
          </w:tcPr>
          <w:p>
            <w:pPr>
              <w:ind w:left="60"/>
              <w:spacing w:after="0"/>
              <w:rPr>
                <w:sz w:val="20"/>
                <w:szCs w:val="20"/>
                <w:color w:val="auto"/>
              </w:rPr>
            </w:pPr>
            <w:r>
              <w:rPr>
                <w:rFonts w:ascii="Arial" w:cs="Arial" w:eastAsia="Arial" w:hAnsi="Arial"/>
                <w:sz w:val="17"/>
                <w:szCs w:val="17"/>
                <w:color w:val="582C83"/>
              </w:rPr>
              <w:t>•</w:t>
            </w:r>
          </w:p>
        </w:tc>
        <w:tc>
          <w:tcPr>
            <w:tcW w:w="6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640" w:type="dxa"/>
            <w:vAlign w:val="bottom"/>
          </w:tcPr>
          <w:p>
            <w:pPr>
              <w:ind w:left="20"/>
              <w:spacing w:after="0"/>
              <w:rPr>
                <w:sz w:val="20"/>
                <w:szCs w:val="20"/>
                <w:color w:val="auto"/>
              </w:rPr>
            </w:pPr>
            <w:r>
              <w:rPr>
                <w:rFonts w:ascii="Arial" w:cs="Arial" w:eastAsia="Arial" w:hAnsi="Arial"/>
                <w:sz w:val="14"/>
                <w:szCs w:val="14"/>
                <w:color w:val="auto"/>
              </w:rPr>
              <w:t>Maintain stock ownership policy that requires ownership at or above peer benchmark levels (CEO must</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40" w:type="dxa"/>
            <w:vAlign w:val="bottom"/>
          </w:tcPr>
          <w:p>
            <w:pPr>
              <w:ind w:left="20"/>
              <w:spacing w:after="0"/>
              <w:rPr>
                <w:sz w:val="20"/>
                <w:szCs w:val="20"/>
                <w:color w:val="auto"/>
              </w:rPr>
            </w:pPr>
            <w:r>
              <w:rPr>
                <w:rFonts w:ascii="Arial" w:cs="Arial" w:eastAsia="Arial" w:hAnsi="Arial"/>
                <w:sz w:val="14"/>
                <w:szCs w:val="14"/>
                <w:color w:val="auto"/>
              </w:rPr>
              <w:t>hold shares equal to 8 times salary and other NEOs must hold shares equal to 4 times salary)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-1768475</wp:posOffset>
            </wp:positionV>
            <wp:extent cx="6810375" cy="69627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10375" cy="696277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SHAREHOLDER ENGAGEMENT ON EXECUTIVE COMPENSATION</w:t>
      </w:r>
    </w:p>
    <w:p>
      <w:pPr>
        <w:spacing w:after="0" w:line="13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Board encourages open and constructive dialogue with shareholders regarding our executive compensation policies and practices. At the 2025 Annual Meeting of Shareholders, approximately 94% of the votes cast in our Say-on-Pay advisory vote were in favor of our executive compensation policies and practices. Additionally, independent members of our Board as well as members of the management team reached out to our top shareholders on compensation and other governance issues. As part of its regular review process, the PCC considered the results of the advisory vote and shareholder feedback and concluded that the overall compensation program continued to reflect our strongly performance-based pay practices and aligned with long-term value creation.</w:t>
      </w:r>
    </w:p>
    <w:p>
      <w:pPr>
        <w:spacing w:after="0" w:line="303" w:lineRule="exact"/>
        <w:rPr>
          <w:sz w:val="20"/>
          <w:szCs w:val="20"/>
          <w:color w:val="auto"/>
        </w:rPr>
      </w:pPr>
    </w:p>
    <w:tbl>
      <w:tblPr>
        <w:tblLayout w:type="fixed"/>
        <w:tblInd w:w="140" w:type="dxa"/>
        <w:tblCellMar>
          <w:top w:w="0" w:type="dxa"/>
          <w:left w:w="0" w:type="dxa"/>
          <w:bottom w:w="0" w:type="dxa"/>
          <w:right w:w="0" w:type="dxa"/>
        </w:tblCellMar>
      </w:tblPr>
      <w:tr>
        <w:trPr>
          <w:trHeight w:val="221"/>
        </w:trPr>
        <w:tc>
          <w:tcPr>
            <w:tcW w:w="2780" w:type="dxa"/>
            <w:vAlign w:val="bottom"/>
          </w:tcPr>
          <w:p>
            <w:pPr>
              <w:jc w:val="center"/>
              <w:ind w:right="279"/>
              <w:spacing w:after="0"/>
              <w:rPr>
                <w:sz w:val="20"/>
                <w:szCs w:val="20"/>
                <w:color w:val="auto"/>
              </w:rPr>
            </w:pPr>
            <w:r>
              <w:rPr>
                <w:rFonts w:ascii="Arial" w:cs="Arial" w:eastAsia="Arial" w:hAnsi="Arial"/>
                <w:sz w:val="18"/>
                <w:szCs w:val="18"/>
                <w:b w:val="1"/>
                <w:bCs w:val="1"/>
                <w:color w:val="582C83"/>
                <w:w w:val="99"/>
              </w:rPr>
              <w:t>REACHED OUT</w:t>
            </w:r>
          </w:p>
        </w:tc>
        <w:tc>
          <w:tcPr>
            <w:tcW w:w="3160" w:type="dxa"/>
            <w:vAlign w:val="bottom"/>
          </w:tcPr>
          <w:p>
            <w:pPr>
              <w:jc w:val="center"/>
              <w:spacing w:after="0"/>
              <w:rPr>
                <w:sz w:val="20"/>
                <w:szCs w:val="20"/>
                <w:color w:val="auto"/>
              </w:rPr>
            </w:pPr>
            <w:r>
              <w:rPr>
                <w:rFonts w:ascii="Arial" w:cs="Arial" w:eastAsia="Arial" w:hAnsi="Arial"/>
                <w:sz w:val="18"/>
                <w:szCs w:val="18"/>
                <w:b w:val="1"/>
                <w:bCs w:val="1"/>
                <w:color w:val="582C83"/>
              </w:rPr>
              <w:t xml:space="preserve">SPOKE </w:t>
            </w:r>
            <w:r>
              <w:rPr>
                <w:rFonts w:ascii="Arial" w:cs="Arial" w:eastAsia="Arial" w:hAnsi="Arial"/>
                <w:sz w:val="15"/>
                <w:szCs w:val="15"/>
                <w:color w:val="000000"/>
              </w:rPr>
              <w:t>with</w:t>
            </w:r>
            <w:r>
              <w:rPr>
                <w:rFonts w:ascii="Arial" w:cs="Arial" w:eastAsia="Arial" w:hAnsi="Arial"/>
                <w:sz w:val="18"/>
                <w:szCs w:val="18"/>
                <w:b w:val="1"/>
                <w:bCs w:val="1"/>
                <w:color w:val="582C83"/>
              </w:rPr>
              <w:t xml:space="preserve"> </w:t>
            </w:r>
            <w:r>
              <w:rPr>
                <w:rFonts w:ascii="Arial" w:cs="Arial" w:eastAsia="Arial" w:hAnsi="Arial"/>
                <w:sz w:val="17"/>
                <w:szCs w:val="17"/>
                <w:b w:val="1"/>
                <w:bCs w:val="1"/>
                <w:color w:val="000000"/>
              </w:rPr>
              <w:t>23</w:t>
            </w:r>
            <w:r>
              <w:rPr>
                <w:rFonts w:ascii="Arial" w:cs="Arial" w:eastAsia="Arial" w:hAnsi="Arial"/>
                <w:sz w:val="18"/>
                <w:szCs w:val="18"/>
                <w:b w:val="1"/>
                <w:bCs w:val="1"/>
                <w:color w:val="582C83"/>
              </w:rPr>
              <w:t xml:space="preserve"> </w:t>
            </w:r>
            <w:r>
              <w:rPr>
                <w:rFonts w:ascii="Arial" w:cs="Arial" w:eastAsia="Arial" w:hAnsi="Arial"/>
                <w:sz w:val="15"/>
                <w:szCs w:val="15"/>
                <w:color w:val="000000"/>
              </w:rPr>
              <w:t>different</w:t>
            </w:r>
          </w:p>
        </w:tc>
        <w:tc>
          <w:tcPr>
            <w:tcW w:w="2920" w:type="dxa"/>
            <w:vAlign w:val="bottom"/>
          </w:tcPr>
          <w:p>
            <w:pPr>
              <w:jc w:val="center"/>
              <w:ind w:left="232"/>
              <w:spacing w:after="0"/>
              <w:rPr>
                <w:sz w:val="20"/>
                <w:szCs w:val="20"/>
                <w:color w:val="auto"/>
              </w:rPr>
            </w:pPr>
            <w:r>
              <w:rPr>
                <w:rFonts w:ascii="Arial" w:cs="Arial" w:eastAsia="Arial" w:hAnsi="Arial"/>
                <w:sz w:val="18"/>
                <w:szCs w:val="18"/>
                <w:b w:val="1"/>
                <w:bCs w:val="1"/>
                <w:color w:val="582C83"/>
                <w:w w:val="99"/>
              </w:rPr>
              <w:t>Lead Independent Director</w:t>
            </w:r>
          </w:p>
        </w:tc>
        <w:tc>
          <w:tcPr>
            <w:tcW w:w="0" w:type="dxa"/>
            <w:vAlign w:val="bottom"/>
          </w:tcPr>
          <w:p>
            <w:pPr>
              <w:spacing w:after="0"/>
              <w:rPr>
                <w:sz w:val="1"/>
                <w:szCs w:val="1"/>
                <w:color w:val="auto"/>
              </w:rPr>
            </w:pPr>
          </w:p>
        </w:tc>
      </w:tr>
      <w:tr>
        <w:trPr>
          <w:trHeight w:val="189"/>
        </w:trPr>
        <w:tc>
          <w:tcPr>
            <w:tcW w:w="2780" w:type="dxa"/>
            <w:vAlign w:val="bottom"/>
          </w:tcPr>
          <w:p>
            <w:pPr>
              <w:jc w:val="center"/>
              <w:ind w:right="279"/>
              <w:spacing w:after="0"/>
              <w:rPr>
                <w:sz w:val="20"/>
                <w:szCs w:val="20"/>
                <w:color w:val="auto"/>
              </w:rPr>
            </w:pPr>
            <w:r>
              <w:rPr>
                <w:rFonts w:ascii="Arial" w:cs="Arial" w:eastAsia="Arial" w:hAnsi="Arial"/>
                <w:sz w:val="15"/>
                <w:szCs w:val="15"/>
                <w:color w:val="auto"/>
              </w:rPr>
              <w:t>to shareholders representing</w:t>
            </w:r>
          </w:p>
        </w:tc>
        <w:tc>
          <w:tcPr>
            <w:tcW w:w="3160" w:type="dxa"/>
            <w:vAlign w:val="bottom"/>
          </w:tcPr>
          <w:p>
            <w:pPr>
              <w:jc w:val="center"/>
              <w:spacing w:after="0"/>
              <w:rPr>
                <w:sz w:val="20"/>
                <w:szCs w:val="20"/>
                <w:color w:val="auto"/>
              </w:rPr>
            </w:pPr>
            <w:r>
              <w:rPr>
                <w:rFonts w:ascii="Arial" w:cs="Arial" w:eastAsia="Arial" w:hAnsi="Arial"/>
                <w:sz w:val="15"/>
                <w:szCs w:val="15"/>
                <w:color w:val="auto"/>
              </w:rPr>
              <w:t>shareholders representing</w:t>
            </w:r>
          </w:p>
        </w:tc>
        <w:tc>
          <w:tcPr>
            <w:tcW w:w="2920" w:type="dxa"/>
            <w:vAlign w:val="bottom"/>
          </w:tcPr>
          <w:p>
            <w:pPr>
              <w:jc w:val="center"/>
              <w:ind w:left="232"/>
              <w:spacing w:after="0"/>
              <w:rPr>
                <w:sz w:val="20"/>
                <w:szCs w:val="20"/>
                <w:color w:val="auto"/>
              </w:rPr>
            </w:pPr>
            <w:r>
              <w:rPr>
                <w:rFonts w:ascii="Arial" w:cs="Arial" w:eastAsia="Arial" w:hAnsi="Arial"/>
                <w:sz w:val="15"/>
                <w:szCs w:val="15"/>
                <w:color w:val="auto"/>
              </w:rPr>
              <w:t>led meetings with shareholders</w:t>
            </w:r>
          </w:p>
        </w:tc>
        <w:tc>
          <w:tcPr>
            <w:tcW w:w="0" w:type="dxa"/>
            <w:vAlign w:val="bottom"/>
          </w:tcPr>
          <w:p>
            <w:pPr>
              <w:spacing w:after="0"/>
              <w:rPr>
                <w:sz w:val="1"/>
                <w:szCs w:val="1"/>
                <w:color w:val="auto"/>
              </w:rPr>
            </w:pPr>
          </w:p>
        </w:tc>
      </w:tr>
      <w:tr>
        <w:trPr>
          <w:trHeight w:val="152"/>
        </w:trPr>
        <w:tc>
          <w:tcPr>
            <w:tcW w:w="2780" w:type="dxa"/>
            <w:vAlign w:val="bottom"/>
            <w:vMerge w:val="restart"/>
          </w:tcPr>
          <w:p>
            <w:pPr>
              <w:jc w:val="right"/>
              <w:ind w:right="239"/>
              <w:spacing w:after="0"/>
              <w:rPr>
                <w:sz w:val="20"/>
                <w:szCs w:val="20"/>
                <w:color w:val="auto"/>
              </w:rPr>
            </w:pPr>
            <w:r>
              <w:rPr>
                <w:rFonts w:ascii="Arial" w:cs="Arial" w:eastAsia="Arial" w:hAnsi="Arial"/>
                <w:sz w:val="65"/>
                <w:szCs w:val="65"/>
                <w:b w:val="1"/>
                <w:bCs w:val="1"/>
                <w:color w:val="582C83"/>
              </w:rPr>
              <w:t>~57%</w:t>
            </w:r>
          </w:p>
        </w:tc>
        <w:tc>
          <w:tcPr>
            <w:tcW w:w="3160" w:type="dxa"/>
            <w:vAlign w:val="bottom"/>
            <w:vMerge w:val="restart"/>
          </w:tcPr>
          <w:p>
            <w:pPr>
              <w:jc w:val="right"/>
              <w:ind w:right="299"/>
              <w:spacing w:after="0"/>
              <w:rPr>
                <w:sz w:val="20"/>
                <w:szCs w:val="20"/>
                <w:color w:val="auto"/>
              </w:rPr>
            </w:pPr>
            <w:r>
              <w:rPr>
                <w:rFonts w:ascii="Arial" w:cs="Arial" w:eastAsia="Arial" w:hAnsi="Arial"/>
                <w:sz w:val="65"/>
                <w:szCs w:val="65"/>
                <w:b w:val="1"/>
                <w:bCs w:val="1"/>
                <w:color w:val="582C83"/>
              </w:rPr>
              <w:t>~35%</w:t>
            </w:r>
          </w:p>
        </w:tc>
        <w:tc>
          <w:tcPr>
            <w:tcW w:w="2920" w:type="dxa"/>
            <w:vAlign w:val="bottom"/>
          </w:tcPr>
          <w:p>
            <w:pPr>
              <w:jc w:val="center"/>
              <w:ind w:left="232"/>
              <w:spacing w:after="0" w:line="153" w:lineRule="exact"/>
              <w:rPr>
                <w:sz w:val="20"/>
                <w:szCs w:val="20"/>
                <w:color w:val="auto"/>
              </w:rPr>
            </w:pPr>
            <w:r>
              <w:rPr>
                <w:rFonts w:ascii="Arial" w:cs="Arial" w:eastAsia="Arial" w:hAnsi="Arial"/>
                <w:sz w:val="15"/>
                <w:szCs w:val="15"/>
                <w:color w:val="auto"/>
              </w:rPr>
              <w:t>representing</w:t>
            </w:r>
          </w:p>
        </w:tc>
        <w:tc>
          <w:tcPr>
            <w:tcW w:w="0" w:type="dxa"/>
            <w:vAlign w:val="bottom"/>
          </w:tcPr>
          <w:p>
            <w:pPr>
              <w:spacing w:after="0"/>
              <w:rPr>
                <w:sz w:val="1"/>
                <w:szCs w:val="1"/>
                <w:color w:val="auto"/>
              </w:rPr>
            </w:pPr>
          </w:p>
        </w:tc>
      </w:tr>
      <w:tr>
        <w:trPr>
          <w:trHeight w:val="747"/>
        </w:trPr>
        <w:tc>
          <w:tcPr>
            <w:tcW w:w="2780" w:type="dxa"/>
            <w:vAlign w:val="bottom"/>
            <w:vMerge w:val="continue"/>
          </w:tcPr>
          <w:p>
            <w:pPr>
              <w:spacing w:after="0"/>
              <w:rPr>
                <w:sz w:val="24"/>
                <w:szCs w:val="24"/>
                <w:color w:val="auto"/>
              </w:rPr>
            </w:pPr>
          </w:p>
        </w:tc>
        <w:tc>
          <w:tcPr>
            <w:tcW w:w="3160" w:type="dxa"/>
            <w:vAlign w:val="bottom"/>
            <w:vMerge w:val="continue"/>
          </w:tcPr>
          <w:p>
            <w:pPr>
              <w:spacing w:after="0"/>
              <w:rPr>
                <w:sz w:val="24"/>
                <w:szCs w:val="24"/>
                <w:color w:val="auto"/>
              </w:rPr>
            </w:pPr>
          </w:p>
        </w:tc>
        <w:tc>
          <w:tcPr>
            <w:tcW w:w="2920" w:type="dxa"/>
            <w:vAlign w:val="bottom"/>
          </w:tcPr>
          <w:p>
            <w:pPr>
              <w:jc w:val="right"/>
              <w:spacing w:after="0"/>
              <w:rPr>
                <w:sz w:val="20"/>
                <w:szCs w:val="20"/>
                <w:color w:val="auto"/>
              </w:rPr>
            </w:pPr>
            <w:r>
              <w:rPr>
                <w:rFonts w:ascii="Arial" w:cs="Arial" w:eastAsia="Arial" w:hAnsi="Arial"/>
                <w:sz w:val="65"/>
                <w:szCs w:val="65"/>
                <w:b w:val="1"/>
                <w:bCs w:val="1"/>
                <w:color w:val="582C83"/>
              </w:rPr>
              <w:t>~22%</w:t>
            </w:r>
          </w:p>
        </w:tc>
        <w:tc>
          <w:tcPr>
            <w:tcW w:w="0" w:type="dxa"/>
            <w:vAlign w:val="bottom"/>
          </w:tcPr>
          <w:p>
            <w:pPr>
              <w:spacing w:after="0"/>
              <w:rPr>
                <w:sz w:val="1"/>
                <w:szCs w:val="1"/>
                <w:color w:val="auto"/>
              </w:rPr>
            </w:pPr>
          </w:p>
        </w:tc>
      </w:tr>
      <w:tr>
        <w:trPr>
          <w:trHeight w:val="196"/>
        </w:trPr>
        <w:tc>
          <w:tcPr>
            <w:tcW w:w="2780" w:type="dxa"/>
            <w:vAlign w:val="bottom"/>
          </w:tcPr>
          <w:p>
            <w:pPr>
              <w:jc w:val="right"/>
              <w:ind w:right="359"/>
              <w:spacing w:after="0"/>
              <w:rPr>
                <w:sz w:val="20"/>
                <w:szCs w:val="20"/>
                <w:color w:val="auto"/>
              </w:rPr>
            </w:pPr>
            <w:r>
              <w:rPr>
                <w:rFonts w:ascii="Arial" w:cs="Arial" w:eastAsia="Arial" w:hAnsi="Arial"/>
                <w:sz w:val="14"/>
                <w:szCs w:val="14"/>
                <w:b w:val="1"/>
                <w:bCs w:val="1"/>
                <w:color w:val="auto"/>
              </w:rPr>
              <w:t>OF OUR OUTSTANDING SHARES</w:t>
            </w: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rPr>
              <w:t>OF OUR OUTSTANDING SHARES</w:t>
            </w:r>
          </w:p>
        </w:tc>
        <w:tc>
          <w:tcPr>
            <w:tcW w:w="2920" w:type="dxa"/>
            <w:vAlign w:val="bottom"/>
          </w:tcPr>
          <w:p>
            <w:pPr>
              <w:jc w:val="right"/>
              <w:ind w:right="92"/>
              <w:spacing w:after="0"/>
              <w:rPr>
                <w:sz w:val="20"/>
                <w:szCs w:val="20"/>
                <w:color w:val="auto"/>
              </w:rPr>
            </w:pPr>
            <w:r>
              <w:rPr>
                <w:rFonts w:ascii="Arial" w:cs="Arial" w:eastAsia="Arial" w:hAnsi="Arial"/>
                <w:sz w:val="14"/>
                <w:szCs w:val="14"/>
                <w:b w:val="1"/>
                <w:bCs w:val="1"/>
                <w:color w:val="auto"/>
              </w:rPr>
              <w:t>OF OUR OUTSTANDING SHARES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66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3470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10375" cy="3470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340"/>
        <w:spacing w:after="0"/>
        <w:rPr>
          <w:sz w:val="20"/>
          <w:szCs w:val="20"/>
          <w:color w:val="auto"/>
        </w:rPr>
      </w:pPr>
      <w:r>
        <w:rPr>
          <w:rFonts w:ascii="Arial" w:cs="Arial" w:eastAsia="Arial" w:hAnsi="Arial"/>
          <w:sz w:val="21"/>
          <w:szCs w:val="21"/>
          <w:b w:val="1"/>
          <w:bCs w:val="1"/>
          <w:color w:val="auto"/>
        </w:rPr>
        <w:t>COMPENSATION DISCUSSION AND ANALYSIS (CD&amp;A)</w:t>
      </w:r>
    </w:p>
    <w:p>
      <w:pPr>
        <w:spacing w:after="0" w:line="48" w:lineRule="exact"/>
        <w:rPr>
          <w:sz w:val="20"/>
          <w:szCs w:val="20"/>
          <w:color w:val="auto"/>
        </w:rPr>
      </w:pPr>
    </w:p>
    <w:p>
      <w:pPr>
        <w:ind w:left="7720"/>
        <w:spacing w:after="0"/>
        <w:rPr>
          <w:sz w:val="20"/>
          <w:szCs w:val="20"/>
          <w:color w:val="auto"/>
        </w:rPr>
      </w:pPr>
      <w:r>
        <w:rPr>
          <w:rFonts w:ascii="Arial" w:cs="Arial" w:eastAsia="Arial" w:hAnsi="Arial"/>
          <w:sz w:val="14"/>
          <w:szCs w:val="14"/>
          <w:color w:val="auto"/>
        </w:rPr>
        <w:t>Executive Summary</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COMPENSATION PROGRAM GOVERNANCE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Our executive compensation governance reflects best practices to protect and promote our shareholders’ interests.</w:t>
      </w:r>
    </w:p>
    <w:p>
      <w:pPr>
        <w:sectPr>
          <w:pgSz w:w="11900" w:h="16926" w:orient="portrait"/>
          <w:cols w:equalWidth="0" w:num="1">
            <w:col w:w="9040"/>
          </w:cols>
          <w:pgMar w:left="1420" w:top="100" w:right="1439" w:bottom="0" w:gutter="0" w:footer="0" w:header="0"/>
        </w:sectPr>
      </w:pPr>
    </w:p>
    <w:p>
      <w:pPr>
        <w:spacing w:after="0" w:line="200" w:lineRule="exact"/>
        <w:rPr>
          <w:sz w:val="20"/>
          <w:szCs w:val="20"/>
          <w:color w:val="auto"/>
        </w:rPr>
      </w:pPr>
    </w:p>
    <w:p>
      <w:pPr>
        <w:spacing w:after="0" w:line="34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Require significant stock ownership</w:t>
      </w:r>
    </w:p>
    <w:p>
      <w:pPr>
        <w:spacing w:after="0" w:line="53" w:lineRule="exact"/>
        <w:rPr>
          <w:sz w:val="20"/>
          <w:szCs w:val="20"/>
          <w:color w:val="auto"/>
        </w:rPr>
      </w:pPr>
    </w:p>
    <w:p>
      <w:pPr>
        <w:ind w:left="440" w:right="220" w:firstLine="3"/>
        <w:spacing w:after="0" w:line="327" w:lineRule="auto"/>
        <w:rPr>
          <w:sz w:val="20"/>
          <w:szCs w:val="20"/>
          <w:color w:val="auto"/>
        </w:rPr>
      </w:pPr>
      <w:r>
        <w:rPr>
          <w:rFonts w:ascii="Arial" w:cs="Arial" w:eastAsia="Arial" w:hAnsi="Arial"/>
          <w:sz w:val="14"/>
          <w:szCs w:val="14"/>
          <w:color w:val="auto"/>
        </w:rPr>
        <w:t>For PSUs, require above median performance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for the Relative TSR Modifier to have a positive impact on payouts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Cap incentive award payouts at 200% of target</w:t>
      </w:r>
    </w:p>
    <w:p>
      <w:pPr>
        <w:spacing w:after="0" w:line="96" w:lineRule="exact"/>
        <w:rPr>
          <w:sz w:val="20"/>
          <w:szCs w:val="20"/>
          <w:color w:val="auto"/>
        </w:rPr>
      </w:pPr>
    </w:p>
    <w:p>
      <w:pPr>
        <w:ind w:left="440" w:right="260" w:firstLine="3"/>
        <w:spacing w:after="0" w:line="302" w:lineRule="auto"/>
        <w:rPr>
          <w:sz w:val="20"/>
          <w:szCs w:val="20"/>
          <w:color w:val="auto"/>
        </w:rPr>
      </w:pPr>
      <w:r>
        <w:rPr>
          <w:rFonts w:ascii="Arial" w:cs="Arial" w:eastAsia="Arial" w:hAnsi="Arial"/>
          <w:sz w:val="14"/>
          <w:szCs w:val="14"/>
          <w:color w:val="auto"/>
        </w:rPr>
        <w:t>Clawback policies require or permit “clawbacks” of time-based equity awards, performance-based equity awards and cash compensation upon certain financial restatements and upon significant misconduct that could damage the Company’s reputation</w:t>
      </w:r>
    </w:p>
    <w:p>
      <w:pPr>
        <w:spacing w:after="0" w:line="13" w:lineRule="exact"/>
        <w:rPr>
          <w:sz w:val="20"/>
          <w:szCs w:val="20"/>
          <w:color w:val="auto"/>
        </w:rPr>
      </w:pPr>
    </w:p>
    <w:p>
      <w:pPr>
        <w:ind w:left="440" w:right="2000"/>
        <w:spacing w:after="0" w:line="392" w:lineRule="auto"/>
        <w:rPr>
          <w:sz w:val="20"/>
          <w:szCs w:val="20"/>
          <w:color w:val="auto"/>
        </w:rPr>
      </w:pPr>
      <w:r>
        <w:rPr>
          <w:rFonts w:ascii="Arial" w:cs="Arial" w:eastAsia="Arial" w:hAnsi="Arial"/>
          <w:sz w:val="14"/>
          <w:szCs w:val="14"/>
          <w:color w:val="auto"/>
        </w:rPr>
        <w:t>Conduct an annual compensation risk assessment Offer limited executive perquisites</w:t>
      </w:r>
    </w:p>
    <w:p>
      <w:pPr>
        <w:spacing w:after="0" w:line="1" w:lineRule="exact"/>
        <w:rPr>
          <w:sz w:val="20"/>
          <w:szCs w:val="20"/>
          <w:color w:val="auto"/>
        </w:rPr>
      </w:pPr>
    </w:p>
    <w:p>
      <w:pPr>
        <w:ind w:left="440" w:right="380" w:firstLine="3"/>
        <w:spacing w:after="0" w:line="345" w:lineRule="auto"/>
        <w:rPr>
          <w:sz w:val="20"/>
          <w:szCs w:val="20"/>
          <w:color w:val="auto"/>
        </w:rPr>
      </w:pPr>
      <w:r>
        <w:rPr>
          <w:rFonts w:ascii="Arial" w:cs="Arial" w:eastAsia="Arial" w:hAnsi="Arial"/>
          <w:sz w:val="14"/>
          <w:szCs w:val="14"/>
          <w:color w:val="auto"/>
        </w:rPr>
        <w:t>Pay severance and vest equity only upon a “double trigger” in the event of a change in control (“CIC”)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right="920" w:firstLine="4"/>
        <w:spacing w:after="0" w:line="325" w:lineRule="auto"/>
        <w:rPr>
          <w:sz w:val="20"/>
          <w:szCs w:val="20"/>
          <w:color w:val="auto"/>
        </w:rPr>
      </w:pPr>
      <w:r>
        <w:rPr>
          <w:rFonts w:ascii="Arial" w:cs="Arial" w:eastAsia="Arial" w:hAnsi="Arial"/>
          <w:sz w:val="14"/>
          <w:szCs w:val="14"/>
          <w:color w:val="auto"/>
        </w:rPr>
        <w:t>No re-pricing or exchanging underwater stock options</w:t>
      </w:r>
    </w:p>
    <w:p>
      <w:pPr>
        <w:spacing w:after="0" w:line="9" w:lineRule="exact"/>
        <w:rPr>
          <w:sz w:val="20"/>
          <w:szCs w:val="20"/>
          <w:color w:val="auto"/>
        </w:rPr>
      </w:pPr>
    </w:p>
    <w:p>
      <w:pPr>
        <w:ind w:right="200" w:firstLine="4"/>
        <w:spacing w:after="0" w:line="342" w:lineRule="auto"/>
        <w:rPr>
          <w:sz w:val="20"/>
          <w:szCs w:val="20"/>
          <w:color w:val="auto"/>
        </w:rPr>
      </w:pPr>
      <w:r>
        <w:rPr>
          <w:rFonts w:ascii="Arial" w:cs="Arial" w:eastAsia="Arial" w:hAnsi="Arial"/>
          <w:sz w:val="14"/>
          <w:szCs w:val="14"/>
          <w:color w:val="auto"/>
        </w:rPr>
        <w:t>No dividends paid to executives before PSUs vest</w:t>
      </w:r>
    </w:p>
    <w:p>
      <w:pPr>
        <w:ind w:right="480" w:firstLine="4"/>
        <w:spacing w:after="0" w:line="325" w:lineRule="auto"/>
        <w:rPr>
          <w:sz w:val="20"/>
          <w:szCs w:val="20"/>
          <w:color w:val="auto"/>
        </w:rPr>
      </w:pPr>
      <w:r>
        <w:rPr>
          <w:rFonts w:ascii="Arial" w:cs="Arial" w:eastAsia="Arial" w:hAnsi="Arial"/>
          <w:sz w:val="14"/>
          <w:szCs w:val="14"/>
          <w:color w:val="auto"/>
        </w:rPr>
        <w:t>No separate, enhanced health and welfare plans for NEOs</w:t>
      </w:r>
    </w:p>
    <w:p>
      <w:pPr>
        <w:spacing w:after="0" w:line="9" w:lineRule="exact"/>
        <w:rPr>
          <w:sz w:val="20"/>
          <w:szCs w:val="20"/>
          <w:color w:val="auto"/>
        </w:rPr>
      </w:pPr>
    </w:p>
    <w:p>
      <w:pPr>
        <w:ind w:right="920" w:firstLine="4"/>
        <w:spacing w:after="0" w:line="325" w:lineRule="auto"/>
        <w:rPr>
          <w:sz w:val="20"/>
          <w:szCs w:val="20"/>
          <w:color w:val="auto"/>
        </w:rPr>
      </w:pPr>
      <w:r>
        <w:rPr>
          <w:rFonts w:ascii="Arial" w:cs="Arial" w:eastAsia="Arial" w:hAnsi="Arial"/>
          <w:sz w:val="14"/>
          <w:szCs w:val="14"/>
          <w:color w:val="auto"/>
        </w:rPr>
        <w:t>No guaranteed increases to base salaries</w:t>
      </w:r>
    </w:p>
    <w:p>
      <w:pPr>
        <w:spacing w:after="0" w:line="9" w:lineRule="exact"/>
        <w:rPr>
          <w:sz w:val="20"/>
          <w:szCs w:val="20"/>
          <w:color w:val="auto"/>
        </w:rPr>
      </w:pPr>
    </w:p>
    <w:p>
      <w:pPr>
        <w:ind w:right="260" w:firstLine="4"/>
        <w:spacing w:after="0" w:line="325" w:lineRule="auto"/>
        <w:rPr>
          <w:sz w:val="20"/>
          <w:szCs w:val="20"/>
          <w:color w:val="auto"/>
        </w:rPr>
      </w:pPr>
      <w:r>
        <w:rPr>
          <w:rFonts w:ascii="Arial" w:cs="Arial" w:eastAsia="Arial" w:hAnsi="Arial"/>
          <w:sz w:val="14"/>
          <w:szCs w:val="14"/>
          <w:color w:val="auto"/>
        </w:rPr>
        <w:t>No hedging, pledging or short sales of our Common Stock</w:t>
      </w:r>
    </w:p>
    <w:p>
      <w:pPr>
        <w:spacing w:after="0" w:line="9" w:lineRule="exact"/>
        <w:rPr>
          <w:sz w:val="20"/>
          <w:szCs w:val="20"/>
          <w:color w:val="auto"/>
        </w:rPr>
      </w:pPr>
    </w:p>
    <w:p>
      <w:pPr>
        <w:ind w:right="220" w:firstLine="4"/>
        <w:spacing w:after="0" w:line="325" w:lineRule="auto"/>
        <w:rPr>
          <w:sz w:val="20"/>
          <w:szCs w:val="20"/>
          <w:color w:val="auto"/>
        </w:rPr>
      </w:pPr>
      <w:r>
        <w:rPr>
          <w:rFonts w:ascii="Arial" w:cs="Arial" w:eastAsia="Arial" w:hAnsi="Arial"/>
          <w:sz w:val="14"/>
          <w:szCs w:val="14"/>
          <w:color w:val="auto"/>
        </w:rPr>
        <w:t>No tax gross-ups to NEOs in the event of a CIC</w:t>
      </w:r>
    </w:p>
    <w:p>
      <w:pPr>
        <w:sectPr>
          <w:pgSz w:w="11900" w:h="16926" w:orient="portrait"/>
          <w:cols w:equalWidth="0" w:num="2">
            <w:col w:w="5640" w:space="720"/>
            <w:col w:w="2680"/>
          </w:cols>
          <w:pgMar w:left="1420" w:top="100" w:right="1439" w:bottom="0" w:gutter="0" w:footer="0" w:header="0"/>
          <w:type w:val="continuous"/>
        </w:sectPr>
      </w:pPr>
    </w:p>
    <w:bookmarkStart w:id="59" w:name="page60"/>
    <w:bookmarkEnd w:id="59"/>
    <w:p>
      <w:pPr>
        <w:ind w:left="4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3854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10375" cy="5385435"/>
                    </a:xfrm>
                    <a:prstGeom prst="rect">
                      <a:avLst/>
                    </a:prstGeom>
                    <a:noFill/>
                  </pic:spPr>
                </pic:pic>
              </a:graphicData>
            </a:graphic>
          </wp:anchor>
        </w:drawing>
        <w:t>Benchmark executive compensation and our performance compared to</w:t>
      </w:r>
    </w:p>
    <w:p>
      <w:pPr>
        <w:ind w:left="2320"/>
        <w:spacing w:after="0" w:line="201" w:lineRule="auto"/>
        <w:rPr>
          <w:sz w:val="20"/>
          <w:szCs w:val="20"/>
          <w:color w:val="auto"/>
        </w:rPr>
      </w:pPr>
      <w:r>
        <w:rPr>
          <w:rFonts w:ascii="Arial" w:cs="Arial" w:eastAsia="Arial" w:hAnsi="Arial"/>
          <w:sz w:val="14"/>
          <w:szCs w:val="14"/>
          <w:b w:val="1"/>
          <w:bCs w:val="1"/>
          <w:color w:val="auto"/>
        </w:rPr>
        <w:t>WHAT WE DO</w:t>
      </w:r>
    </w:p>
    <w:p>
      <w:pPr>
        <w:ind w:left="440"/>
        <w:spacing w:after="0"/>
        <w:rPr>
          <w:sz w:val="20"/>
          <w:szCs w:val="20"/>
          <w:color w:val="auto"/>
        </w:rPr>
      </w:pPr>
      <w:r>
        <w:rPr>
          <w:rFonts w:ascii="Arial" w:cs="Arial" w:eastAsia="Arial" w:hAnsi="Arial"/>
          <w:sz w:val="14"/>
          <w:szCs w:val="14"/>
          <w:color w:val="auto"/>
        </w:rPr>
        <w:t>relevant comparators</w:t>
      </w:r>
    </w:p>
    <w:p>
      <w:pPr>
        <w:spacing w:after="0" w:line="82" w:lineRule="exact"/>
        <w:rPr>
          <w:sz w:val="20"/>
          <w:szCs w:val="20"/>
          <w:color w:val="auto"/>
        </w:rPr>
      </w:pPr>
    </w:p>
    <w:p>
      <w:pPr>
        <w:ind w:left="440" w:right="360" w:firstLine="3"/>
        <w:spacing w:after="0" w:line="332" w:lineRule="auto"/>
        <w:rPr>
          <w:sz w:val="20"/>
          <w:szCs w:val="20"/>
          <w:color w:val="auto"/>
        </w:rPr>
      </w:pPr>
      <w:r>
        <w:rPr>
          <w:rFonts w:ascii="Arial" w:cs="Arial" w:eastAsia="Arial" w:hAnsi="Arial"/>
          <w:sz w:val="14"/>
          <w:szCs w:val="14"/>
          <w:color w:val="auto"/>
        </w:rPr>
        <w:t>Provide for a significant majority of compensation that is based on objective, quantifiable pre-established performance goals</w:t>
      </w:r>
    </w:p>
    <w:p>
      <w:pPr>
        <w:ind w:left="440"/>
        <w:spacing w:after="0"/>
        <w:rPr>
          <w:sz w:val="20"/>
          <w:szCs w:val="20"/>
          <w:color w:val="auto"/>
        </w:rPr>
      </w:pPr>
      <w:r>
        <w:rPr>
          <w:rFonts w:ascii="Arial" w:cs="Arial" w:eastAsia="Arial" w:hAnsi="Arial"/>
          <w:sz w:val="14"/>
          <w:szCs w:val="14"/>
          <w:color w:val="auto"/>
        </w:rPr>
        <w:t>Retain an independent compensation consultant to advise the PCC</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8"/>
          <w:szCs w:val="8"/>
          <w:color w:val="auto"/>
        </w:rPr>
        <w:t xml:space="preserve">No incentives to produce short-term </w:t>
      </w:r>
      <w:r>
        <w:rPr>
          <w:rFonts w:ascii="Arial" w:cs="Arial" w:eastAsia="Arial" w:hAnsi="Arial"/>
          <w:sz w:val="8"/>
          <w:szCs w:val="8"/>
          <w:b w:val="1"/>
          <w:bCs w:val="1"/>
          <w:color w:val="auto"/>
        </w:rPr>
        <w:t>WHAT WE DON’T DO</w:t>
      </w:r>
    </w:p>
    <w:p>
      <w:pPr>
        <w:spacing w:after="0" w:line="44" w:lineRule="exact"/>
        <w:rPr>
          <w:sz w:val="20"/>
          <w:szCs w:val="20"/>
          <w:color w:val="auto"/>
        </w:rPr>
      </w:pPr>
    </w:p>
    <w:p>
      <w:pPr>
        <w:ind w:right="420"/>
        <w:spacing w:after="0" w:line="304" w:lineRule="auto"/>
        <w:rPr>
          <w:sz w:val="20"/>
          <w:szCs w:val="20"/>
          <w:color w:val="auto"/>
        </w:rPr>
      </w:pPr>
      <w:r>
        <w:rPr>
          <w:rFonts w:ascii="Arial" w:cs="Arial" w:eastAsia="Arial" w:hAnsi="Arial"/>
          <w:sz w:val="14"/>
          <w:szCs w:val="14"/>
          <w:color w:val="auto"/>
        </w:rPr>
        <w:t>results to the detriment of long-term goals and results</w:t>
      </w:r>
    </w:p>
    <w:p>
      <w:pPr>
        <w:spacing w:after="0" w:line="10" w:lineRule="exact"/>
        <w:rPr>
          <w:sz w:val="20"/>
          <w:szCs w:val="20"/>
          <w:color w:val="auto"/>
        </w:rPr>
      </w:pPr>
    </w:p>
    <w:p>
      <w:pPr>
        <w:ind w:right="400" w:firstLine="4"/>
        <w:spacing w:after="0" w:line="345" w:lineRule="auto"/>
        <w:rPr>
          <w:sz w:val="20"/>
          <w:szCs w:val="20"/>
          <w:color w:val="auto"/>
        </w:rPr>
      </w:pPr>
      <w:r>
        <w:rPr>
          <w:rFonts w:ascii="Arial" w:cs="Arial" w:eastAsia="Arial" w:hAnsi="Arial"/>
          <w:sz w:val="14"/>
          <w:szCs w:val="14"/>
          <w:color w:val="auto"/>
        </w:rPr>
        <w:t>No incentives to pursue excessively risky business strategies</w:t>
      </w:r>
    </w:p>
    <w:p>
      <w:pPr>
        <w:spacing w:after="0" w:line="249" w:lineRule="exact"/>
        <w:rPr>
          <w:sz w:val="20"/>
          <w:szCs w:val="20"/>
          <w:color w:val="auto"/>
        </w:rPr>
      </w:pPr>
    </w:p>
    <w:p>
      <w:pPr>
        <w:sectPr>
          <w:pgSz w:w="11900" w:h="16838" w:orient="portrait"/>
          <w:cols w:equalWidth="0" w:num="2">
            <w:col w:w="5640" w:space="720"/>
            <w:col w:w="2680"/>
          </w:cols>
          <w:pgMar w:left="1420" w:top="51" w:right="1439" w:bottom="0" w:gutter="0" w:footer="0" w:header="0"/>
        </w:sectPr>
      </w:pPr>
    </w:p>
    <w:p>
      <w:pPr>
        <w:spacing w:after="0" w:line="384"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COMPENSATION PROGRAM</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TOTAL TARGET COMPENSATION MIX</w:t>
      </w:r>
    </w:p>
    <w:p>
      <w:pPr>
        <w:spacing w:after="0" w:line="131"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The PCC places significant focus on performance-based compensation, which is provided in the form of an annual performance incentive under the AIP and stock options and PSUs under the LTI plan. Our focus on performance-based compensation rewards strong company financial and operating performance and aligns the interests of our NEOs with those of our shareholders.</w:t>
      </w:r>
    </w:p>
    <w:p>
      <w:pPr>
        <w:spacing w:after="0" w:line="67"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Below, we show the 2025 total target compensation mix for our CEO and the average for our other NEOs. This compensation mix includes base pay, target annual incentive and LTI grants. Most of the compensation for both the CEO and the other NEOs is variable and at risk.</w:t>
      </w:r>
    </w:p>
    <w:p>
      <w:pPr>
        <w:sectPr>
          <w:pgSz w:w="11900" w:h="16838" w:orient="portrait"/>
          <w:cols w:equalWidth="0" w:num="1">
            <w:col w:w="9040"/>
          </w:cols>
          <w:pgMar w:left="1420" w:top="51" w:right="1439" w:bottom="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w:t>
      </w:r>
    </w:p>
    <w:p>
      <w:pPr>
        <w:spacing w:after="0" w:line="239" w:lineRule="exact"/>
        <w:rPr>
          <w:sz w:val="20"/>
          <w:szCs w:val="20"/>
          <w:color w:val="auto"/>
        </w:rPr>
      </w:pPr>
    </w:p>
    <w:p>
      <w:pPr>
        <w:ind w:left="7260"/>
        <w:spacing w:after="0"/>
        <w:rPr>
          <w:sz w:val="20"/>
          <w:szCs w:val="20"/>
          <w:color w:val="auto"/>
        </w:rPr>
      </w:pPr>
      <w:r>
        <w:rPr>
          <w:rFonts w:ascii="Wingdings" w:cs="Wingdings" w:eastAsia="Wingdings" w:hAnsi="Wingdings"/>
          <w:sz w:val="21"/>
          <w:szCs w:val="21"/>
          <w:b w:val="1"/>
          <w:bCs w:val="1"/>
          <w:color w:val="999999"/>
        </w:rPr>
        <w:t>l</w:t>
      </w:r>
    </w:p>
    <w:p>
      <w:pPr>
        <w:spacing w:after="0" w:line="37" w:lineRule="exact"/>
        <w:rPr>
          <w:sz w:val="20"/>
          <w:szCs w:val="20"/>
          <w:color w:val="auto"/>
        </w:rPr>
      </w:pPr>
    </w:p>
    <w:p>
      <w:pPr>
        <w:ind w:left="7260"/>
        <w:spacing w:after="0"/>
        <w:rPr>
          <w:sz w:val="20"/>
          <w:szCs w:val="20"/>
          <w:color w:val="auto"/>
        </w:rPr>
      </w:pPr>
      <w:r>
        <w:rPr>
          <w:rFonts w:ascii="Wingdings" w:cs="Wingdings" w:eastAsia="Wingdings" w:hAnsi="Wingdings"/>
          <w:sz w:val="21"/>
          <w:szCs w:val="21"/>
          <w:b w:val="1"/>
          <w:bCs w:val="1"/>
          <w:color w:val="AC96C1"/>
        </w:rPr>
        <w:t>l</w:t>
      </w:r>
    </w:p>
    <w:p>
      <w:pPr>
        <w:spacing w:after="0" w:line="4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7"/>
          <w:szCs w:val="17"/>
          <w:b w:val="1"/>
          <w:bCs w:val="1"/>
          <w:color w:val="582C83"/>
        </w:rPr>
        <w:t>93% Pay at Risk</w:t>
      </w:r>
      <w:r>
        <w:rPr>
          <w:sz w:val="20"/>
          <w:szCs w:val="20"/>
          <w:color w:val="auto"/>
        </w:rPr>
        <w:tab/>
      </w:r>
      <w:r>
        <w:rPr>
          <w:rFonts w:ascii="Wingdings" w:cs="Wingdings" w:eastAsia="Wingdings" w:hAnsi="Wingdings"/>
          <w:sz w:val="21"/>
          <w:szCs w:val="21"/>
          <w:b w:val="1"/>
          <w:bCs w:val="1"/>
          <w:color w:val="8A6BA8"/>
        </w:rPr>
        <w:t>l</w:t>
      </w:r>
    </w:p>
    <w:p>
      <w:pPr>
        <w:spacing w:after="0" w:line="30" w:lineRule="exact"/>
        <w:rPr>
          <w:sz w:val="20"/>
          <w:szCs w:val="20"/>
          <w:color w:val="auto"/>
        </w:rPr>
      </w:pPr>
    </w:p>
    <w:p>
      <w:pPr>
        <w:jc w:val="right"/>
        <w:spacing w:after="0"/>
        <w:rPr>
          <w:sz w:val="20"/>
          <w:szCs w:val="20"/>
          <w:color w:val="auto"/>
        </w:rPr>
      </w:pPr>
      <w:r>
        <w:rPr>
          <w:rFonts w:ascii="Wingdings" w:cs="Wingdings" w:eastAsia="Wingdings" w:hAnsi="Wingdings"/>
          <w:sz w:val="22"/>
          <w:szCs w:val="22"/>
          <w:b w:val="1"/>
          <w:bCs w:val="1"/>
          <w:color w:val="582C83"/>
        </w:rPr>
        <w:t>l</w:t>
      </w:r>
    </w:p>
    <w:p>
      <w:pPr>
        <w:spacing w:after="0"/>
        <w:rPr>
          <w:sz w:val="20"/>
          <w:szCs w:val="20"/>
          <w:color w:val="auto"/>
        </w:rPr>
      </w:pPr>
      <w:r>
        <w:rPr>
          <w:rFonts w:ascii="Arial" w:cs="Arial" w:eastAsia="Arial" w:hAnsi="Arial"/>
          <w:sz w:val="18"/>
          <w:szCs w:val="18"/>
          <w:b w:val="1"/>
          <w:bCs w:val="1"/>
          <w:color w:val="auto"/>
        </w:rPr>
        <w:t>Other NEOs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right="180"/>
        <w:spacing w:after="0" w:line="377" w:lineRule="auto"/>
        <w:rPr>
          <w:sz w:val="20"/>
          <w:szCs w:val="20"/>
          <w:color w:val="auto"/>
        </w:rPr>
      </w:pPr>
      <w:r>
        <w:rPr>
          <w:rFonts w:ascii="Arial" w:cs="Arial" w:eastAsia="Arial" w:hAnsi="Arial"/>
          <w:sz w:val="16"/>
          <w:szCs w:val="16"/>
          <w:color w:val="auto"/>
        </w:rPr>
        <w:t>Base Salary Annual Incentives Stock Options PSUs</w:t>
      </w:r>
    </w:p>
    <w:p>
      <w:pPr>
        <w:spacing w:after="0" w:line="290" w:lineRule="exact"/>
        <w:rPr>
          <w:sz w:val="20"/>
          <w:szCs w:val="20"/>
          <w:color w:val="auto"/>
        </w:rPr>
      </w:pPr>
    </w:p>
    <w:p>
      <w:pPr>
        <w:sectPr>
          <w:pgSz w:w="11900" w:h="16838" w:orient="portrait"/>
          <w:cols w:equalWidth="0" w:num="2">
            <w:col w:w="7420" w:space="160"/>
            <w:col w:w="1460"/>
          </w:cols>
          <w:pgMar w:left="1420" w:top="51" w:right="1439" w:bottom="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582C83"/>
        </w:rPr>
        <w:t>85% Pay at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50482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10375" cy="504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COMPENSATION DISCUSSION AND ANALYSIS (CD&amp;A)</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Compensation Program</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BASE SALARY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Base salary is the primary element of fixed compensation. In determining the base salary that each NEO receives, we look at the executive’s current compensation, tenure, individual performance, any change in the executive’s position or responsibilities, and the complexity and scope of the executive’s position as compared to those of other executives within the Company and in similar positions at companies in our Compensation Survey Peer Group. The PCC reviews NEO salaries annually. If awarded, salary increases are generally effective April 1. If there is a notable change in an NEO’s role and responsibilities during the year, the PCC considers whether an off-cycle increase is warranted. No NEO received an off-cycle increase in 2025.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Base Salary</w:t>
      </w:r>
    </w:p>
    <w:p>
      <w:pPr>
        <w:spacing w:after="0" w:line="114"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Other than Mr. Kuhn (whose base salary was set in connection with his initial hire in January 2025), each of the NEOs received a base salary increase in 2025 to reflect their performance and contributions in their current roles and to position them competitively relative to external peers. Base salaries for the NEOs and increases (where applicable) are shown in the table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2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Name</w:t>
            </w:r>
          </w:p>
        </w:tc>
        <w:tc>
          <w:tcPr>
            <w:tcW w:w="3420" w:type="dxa"/>
            <w:vAlign w:val="bottom"/>
            <w:tcBorders>
              <w:bottom w:val="single" w:sz="8" w:color="582C83"/>
            </w:tcBorders>
          </w:tcPr>
          <w:p>
            <w:pPr>
              <w:jc w:val="right"/>
              <w:ind w:right="48"/>
              <w:spacing w:after="0"/>
              <w:rPr>
                <w:sz w:val="20"/>
                <w:szCs w:val="20"/>
                <w:color w:val="auto"/>
              </w:rPr>
            </w:pPr>
            <w:r>
              <w:rPr>
                <w:rFonts w:ascii="Arial" w:cs="Arial" w:eastAsia="Arial" w:hAnsi="Arial"/>
                <w:sz w:val="14"/>
                <w:szCs w:val="14"/>
                <w:b w:val="1"/>
                <w:bCs w:val="1"/>
                <w:color w:val="auto"/>
              </w:rPr>
              <w:t>2024 Base Salary</w:t>
            </w:r>
          </w:p>
        </w:tc>
        <w:tc>
          <w:tcPr>
            <w:tcW w:w="1400" w:type="dxa"/>
            <w:vAlign w:val="bottom"/>
            <w:tcBorders>
              <w:bottom w:val="single" w:sz="8" w:color="582C83"/>
            </w:tcBorders>
          </w:tcPr>
          <w:p>
            <w:pPr>
              <w:jc w:val="right"/>
              <w:ind w:right="48"/>
              <w:spacing w:after="0"/>
              <w:rPr>
                <w:sz w:val="20"/>
                <w:szCs w:val="20"/>
                <w:color w:val="auto"/>
              </w:rPr>
            </w:pPr>
            <w:r>
              <w:rPr>
                <w:rFonts w:ascii="Arial" w:cs="Arial" w:eastAsia="Arial" w:hAnsi="Arial"/>
                <w:sz w:val="14"/>
                <w:szCs w:val="14"/>
                <w:b w:val="1"/>
                <w:bCs w:val="1"/>
                <w:color w:val="auto"/>
              </w:rPr>
              <w:t>2025 Base Salary</w:t>
            </w:r>
          </w:p>
        </w:tc>
        <w:tc>
          <w:tcPr>
            <w:tcW w:w="90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 Increase</w:t>
            </w:r>
          </w:p>
        </w:tc>
      </w:tr>
      <w:tr>
        <w:trPr>
          <w:trHeight w:val="216"/>
        </w:trPr>
        <w:tc>
          <w:tcPr>
            <w:tcW w:w="332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Mr. Van de Put</w:t>
            </w:r>
            <w:r>
              <w:rPr>
                <w:rFonts w:ascii="Arial" w:cs="Arial" w:eastAsia="Arial" w:hAnsi="Arial"/>
                <w:sz w:val="18"/>
                <w:szCs w:val="18"/>
                <w:b w:val="1"/>
                <w:bCs w:val="1"/>
                <w:color w:val="auto"/>
                <w:vertAlign w:val="superscript"/>
              </w:rPr>
              <w:t>(1)</w:t>
            </w:r>
          </w:p>
        </w:tc>
        <w:tc>
          <w:tcPr>
            <w:tcW w:w="3420" w:type="dxa"/>
            <w:vAlign w:val="bottom"/>
            <w:tcBorders>
              <w:bottom w:val="single" w:sz="8" w:color="582C83"/>
            </w:tcBorders>
            <w:shd w:val="clear" w:color="auto" w:fill="E0DBEA"/>
          </w:tcPr>
          <w:p>
            <w:pPr>
              <w:jc w:val="right"/>
              <w:ind w:right="48"/>
              <w:spacing w:after="0"/>
              <w:rPr>
                <w:sz w:val="20"/>
                <w:szCs w:val="20"/>
                <w:color w:val="auto"/>
              </w:rPr>
            </w:pPr>
            <w:r>
              <w:rPr>
                <w:rFonts w:ascii="Arial" w:cs="Arial" w:eastAsia="Arial" w:hAnsi="Arial"/>
                <w:sz w:val="14"/>
                <w:szCs w:val="14"/>
                <w:color w:val="auto"/>
              </w:rPr>
              <w:t>$1,550,000</w:t>
            </w:r>
          </w:p>
        </w:tc>
        <w:tc>
          <w:tcPr>
            <w:tcW w:w="1400" w:type="dxa"/>
            <w:vAlign w:val="bottom"/>
            <w:tcBorders>
              <w:bottom w:val="single" w:sz="8" w:color="582C83"/>
            </w:tcBorders>
            <w:shd w:val="clear" w:color="auto" w:fill="E0DBEA"/>
          </w:tcPr>
          <w:p>
            <w:pPr>
              <w:jc w:val="right"/>
              <w:ind w:right="48"/>
              <w:spacing w:after="0"/>
              <w:rPr>
                <w:sz w:val="20"/>
                <w:szCs w:val="20"/>
                <w:color w:val="auto"/>
              </w:rPr>
            </w:pPr>
            <w:r>
              <w:rPr>
                <w:rFonts w:ascii="Arial" w:cs="Arial" w:eastAsia="Arial" w:hAnsi="Arial"/>
                <w:sz w:val="14"/>
                <w:szCs w:val="14"/>
                <w:color w:val="auto"/>
              </w:rPr>
              <w:t>$1,650,000</w:t>
            </w:r>
          </w:p>
        </w:tc>
        <w:tc>
          <w:tcPr>
            <w:tcW w:w="900" w:type="dxa"/>
            <w:vAlign w:val="bottom"/>
            <w:tcBorders>
              <w:bottom w:val="single" w:sz="8" w:color="582C83"/>
            </w:tcBorders>
            <w:shd w:val="clear" w:color="auto" w:fill="E0DBEA"/>
          </w:tcPr>
          <w:p>
            <w:pPr>
              <w:ind w:left="500"/>
              <w:spacing w:after="0"/>
              <w:rPr>
                <w:sz w:val="20"/>
                <w:szCs w:val="20"/>
                <w:color w:val="auto"/>
              </w:rPr>
            </w:pPr>
            <w:r>
              <w:rPr>
                <w:rFonts w:ascii="Arial" w:cs="Arial" w:eastAsia="Arial" w:hAnsi="Arial"/>
                <w:sz w:val="14"/>
                <w:szCs w:val="14"/>
                <w:color w:val="auto"/>
              </w:rPr>
              <w:t>6.5%</w:t>
            </w:r>
          </w:p>
        </w:tc>
      </w:tr>
      <w:tr>
        <w:trPr>
          <w:trHeight w:val="209"/>
        </w:trPr>
        <w:tc>
          <w:tcPr>
            <w:tcW w:w="332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Mr. Zaramella</w:t>
            </w:r>
            <w:r>
              <w:rPr>
                <w:rFonts w:ascii="Arial" w:cs="Arial" w:eastAsia="Arial" w:hAnsi="Arial"/>
                <w:sz w:val="18"/>
                <w:szCs w:val="18"/>
                <w:b w:val="1"/>
                <w:bCs w:val="1"/>
                <w:color w:val="auto"/>
                <w:vertAlign w:val="superscript"/>
              </w:rPr>
              <w:t>(1)</w:t>
            </w:r>
          </w:p>
        </w:tc>
        <w:tc>
          <w:tcPr>
            <w:tcW w:w="3420" w:type="dxa"/>
            <w:vAlign w:val="bottom"/>
            <w:tcBorders>
              <w:bottom w:val="single" w:sz="8" w:color="582C83"/>
            </w:tcBorders>
          </w:tcPr>
          <w:p>
            <w:pPr>
              <w:jc w:val="right"/>
              <w:ind w:right="48"/>
              <w:spacing w:after="0"/>
              <w:rPr>
                <w:sz w:val="20"/>
                <w:szCs w:val="20"/>
                <w:color w:val="auto"/>
              </w:rPr>
            </w:pPr>
            <w:r>
              <w:rPr>
                <w:rFonts w:ascii="Arial" w:cs="Arial" w:eastAsia="Arial" w:hAnsi="Arial"/>
                <w:sz w:val="14"/>
                <w:szCs w:val="14"/>
                <w:color w:val="auto"/>
              </w:rPr>
              <w:t>$1,100,000</w:t>
            </w:r>
          </w:p>
        </w:tc>
        <w:tc>
          <w:tcPr>
            <w:tcW w:w="1400" w:type="dxa"/>
            <w:vAlign w:val="bottom"/>
            <w:tcBorders>
              <w:bottom w:val="single" w:sz="8" w:color="582C83"/>
            </w:tcBorders>
          </w:tcPr>
          <w:p>
            <w:pPr>
              <w:jc w:val="right"/>
              <w:ind w:right="48"/>
              <w:spacing w:after="0"/>
              <w:rPr>
                <w:sz w:val="20"/>
                <w:szCs w:val="20"/>
                <w:color w:val="auto"/>
              </w:rPr>
            </w:pPr>
            <w:r>
              <w:rPr>
                <w:rFonts w:ascii="Arial" w:cs="Arial" w:eastAsia="Arial" w:hAnsi="Arial"/>
                <w:sz w:val="14"/>
                <w:szCs w:val="14"/>
                <w:color w:val="auto"/>
              </w:rPr>
              <w:t>$1,200,100</w:t>
            </w:r>
          </w:p>
        </w:tc>
        <w:tc>
          <w:tcPr>
            <w:tcW w:w="900" w:type="dxa"/>
            <w:vAlign w:val="bottom"/>
            <w:tcBorders>
              <w:bottom w:val="single" w:sz="8" w:color="582C83"/>
            </w:tcBorders>
          </w:tcPr>
          <w:p>
            <w:pPr>
              <w:ind w:left="500"/>
              <w:spacing w:after="0"/>
              <w:rPr>
                <w:sz w:val="20"/>
                <w:szCs w:val="20"/>
                <w:color w:val="auto"/>
              </w:rPr>
            </w:pPr>
            <w:r>
              <w:rPr>
                <w:rFonts w:ascii="Arial" w:cs="Arial" w:eastAsia="Arial" w:hAnsi="Arial"/>
                <w:sz w:val="14"/>
                <w:szCs w:val="14"/>
                <w:color w:val="auto"/>
              </w:rPr>
              <w:t>9.1%</w:t>
            </w:r>
          </w:p>
        </w:tc>
      </w:tr>
      <w:tr>
        <w:trPr>
          <w:trHeight w:val="209"/>
        </w:trPr>
        <w:tc>
          <w:tcPr>
            <w:tcW w:w="332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Mr. Kuhn</w:t>
            </w:r>
            <w:r>
              <w:rPr>
                <w:rFonts w:ascii="Arial" w:cs="Arial" w:eastAsia="Arial" w:hAnsi="Arial"/>
                <w:sz w:val="18"/>
                <w:szCs w:val="18"/>
                <w:b w:val="1"/>
                <w:bCs w:val="1"/>
                <w:color w:val="auto"/>
                <w:vertAlign w:val="superscript"/>
              </w:rPr>
              <w:t>(2)</w:t>
            </w:r>
          </w:p>
        </w:tc>
        <w:tc>
          <w:tcPr>
            <w:tcW w:w="3420" w:type="dxa"/>
            <w:vAlign w:val="bottom"/>
            <w:tcBorders>
              <w:bottom w:val="single" w:sz="8" w:color="582C83"/>
            </w:tcBorders>
            <w:shd w:val="clear" w:color="auto" w:fill="E0DBEA"/>
          </w:tcPr>
          <w:p>
            <w:pPr>
              <w:jc w:val="right"/>
              <w:ind w:right="48"/>
              <w:spacing w:after="0"/>
              <w:rPr>
                <w:sz w:val="20"/>
                <w:szCs w:val="20"/>
                <w:color w:val="auto"/>
              </w:rPr>
            </w:pPr>
            <w:r>
              <w:rPr>
                <w:rFonts w:ascii="Arial" w:cs="Arial" w:eastAsia="Arial" w:hAnsi="Arial"/>
                <w:sz w:val="14"/>
                <w:szCs w:val="14"/>
                <w:color w:val="auto"/>
              </w:rPr>
              <w:t>New Hire</w:t>
            </w:r>
          </w:p>
        </w:tc>
        <w:tc>
          <w:tcPr>
            <w:tcW w:w="1400" w:type="dxa"/>
            <w:vAlign w:val="bottom"/>
            <w:tcBorders>
              <w:bottom w:val="single" w:sz="8" w:color="582C83"/>
            </w:tcBorders>
            <w:shd w:val="clear" w:color="auto" w:fill="E0DBEA"/>
          </w:tcPr>
          <w:p>
            <w:pPr>
              <w:jc w:val="right"/>
              <w:ind w:right="48"/>
              <w:spacing w:after="0"/>
              <w:rPr>
                <w:sz w:val="20"/>
                <w:szCs w:val="20"/>
                <w:color w:val="auto"/>
              </w:rPr>
            </w:pPr>
            <w:r>
              <w:rPr>
                <w:rFonts w:ascii="Arial" w:cs="Arial" w:eastAsia="Arial" w:hAnsi="Arial"/>
                <w:sz w:val="14"/>
                <w:szCs w:val="14"/>
                <w:color w:val="auto"/>
              </w:rPr>
              <w:t>CHF 879,000</w:t>
            </w:r>
          </w:p>
        </w:tc>
        <w:tc>
          <w:tcPr>
            <w:tcW w:w="90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N/A</w:t>
            </w:r>
          </w:p>
        </w:tc>
      </w:tr>
      <w:tr>
        <w:trPr>
          <w:trHeight w:val="208"/>
        </w:trPr>
        <w:tc>
          <w:tcPr>
            <w:tcW w:w="332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Mr. Valle</w:t>
            </w:r>
          </w:p>
        </w:tc>
        <w:tc>
          <w:tcPr>
            <w:tcW w:w="3420" w:type="dxa"/>
            <w:vAlign w:val="bottom"/>
            <w:tcBorders>
              <w:bottom w:val="single" w:sz="8" w:color="582C83"/>
            </w:tcBorders>
          </w:tcPr>
          <w:p>
            <w:pPr>
              <w:jc w:val="right"/>
              <w:ind w:right="48"/>
              <w:spacing w:after="0"/>
              <w:rPr>
                <w:sz w:val="20"/>
                <w:szCs w:val="20"/>
                <w:color w:val="auto"/>
              </w:rPr>
            </w:pPr>
            <w:r>
              <w:rPr>
                <w:rFonts w:ascii="Arial" w:cs="Arial" w:eastAsia="Arial" w:hAnsi="Arial"/>
                <w:sz w:val="14"/>
                <w:szCs w:val="14"/>
                <w:color w:val="auto"/>
              </w:rPr>
              <w:t>$815,000</w:t>
            </w:r>
          </w:p>
        </w:tc>
        <w:tc>
          <w:tcPr>
            <w:tcW w:w="1400" w:type="dxa"/>
            <w:vAlign w:val="bottom"/>
            <w:tcBorders>
              <w:bottom w:val="single" w:sz="8" w:color="582C83"/>
            </w:tcBorders>
          </w:tcPr>
          <w:p>
            <w:pPr>
              <w:jc w:val="right"/>
              <w:ind w:right="48"/>
              <w:spacing w:after="0"/>
              <w:rPr>
                <w:sz w:val="20"/>
                <w:szCs w:val="20"/>
                <w:color w:val="auto"/>
              </w:rPr>
            </w:pPr>
            <w:r>
              <w:rPr>
                <w:rFonts w:ascii="Arial" w:cs="Arial" w:eastAsia="Arial" w:hAnsi="Arial"/>
                <w:sz w:val="14"/>
                <w:szCs w:val="14"/>
                <w:color w:val="auto"/>
              </w:rPr>
              <w:t>$850,000</w:t>
            </w:r>
          </w:p>
        </w:tc>
        <w:tc>
          <w:tcPr>
            <w:tcW w:w="900" w:type="dxa"/>
            <w:vAlign w:val="bottom"/>
            <w:tcBorders>
              <w:bottom w:val="single" w:sz="8" w:color="582C83"/>
            </w:tcBorders>
          </w:tcPr>
          <w:p>
            <w:pPr>
              <w:ind w:left="500"/>
              <w:spacing w:after="0"/>
              <w:rPr>
                <w:sz w:val="20"/>
                <w:szCs w:val="20"/>
                <w:color w:val="auto"/>
              </w:rPr>
            </w:pPr>
            <w:r>
              <w:rPr>
                <w:rFonts w:ascii="Arial" w:cs="Arial" w:eastAsia="Arial" w:hAnsi="Arial"/>
                <w:sz w:val="14"/>
                <w:szCs w:val="14"/>
                <w:color w:val="auto"/>
              </w:rPr>
              <w:t>4.3%</w:t>
            </w:r>
          </w:p>
        </w:tc>
      </w:tr>
      <w:tr>
        <w:trPr>
          <w:trHeight w:val="209"/>
        </w:trPr>
        <w:tc>
          <w:tcPr>
            <w:tcW w:w="332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Mr. Renaud</w:t>
            </w:r>
          </w:p>
        </w:tc>
        <w:tc>
          <w:tcPr>
            <w:tcW w:w="3420" w:type="dxa"/>
            <w:vAlign w:val="bottom"/>
            <w:tcBorders>
              <w:bottom w:val="single" w:sz="8" w:color="582C83"/>
            </w:tcBorders>
            <w:shd w:val="clear" w:color="auto" w:fill="E0DBEA"/>
          </w:tcPr>
          <w:p>
            <w:pPr>
              <w:jc w:val="right"/>
              <w:ind w:right="48"/>
              <w:spacing w:after="0"/>
              <w:rPr>
                <w:sz w:val="20"/>
                <w:szCs w:val="20"/>
                <w:color w:val="auto"/>
              </w:rPr>
            </w:pPr>
            <w:r>
              <w:rPr>
                <w:rFonts w:ascii="Arial" w:cs="Arial" w:eastAsia="Arial" w:hAnsi="Arial"/>
                <w:sz w:val="14"/>
                <w:szCs w:val="14"/>
                <w:color w:val="auto"/>
              </w:rPr>
              <w:t>$745,000</w:t>
            </w:r>
          </w:p>
        </w:tc>
        <w:tc>
          <w:tcPr>
            <w:tcW w:w="1400" w:type="dxa"/>
            <w:vAlign w:val="bottom"/>
            <w:tcBorders>
              <w:bottom w:val="single" w:sz="8" w:color="582C83"/>
            </w:tcBorders>
            <w:shd w:val="clear" w:color="auto" w:fill="E0DBEA"/>
          </w:tcPr>
          <w:p>
            <w:pPr>
              <w:jc w:val="right"/>
              <w:ind w:right="48"/>
              <w:spacing w:after="0"/>
              <w:rPr>
                <w:sz w:val="20"/>
                <w:szCs w:val="20"/>
                <w:color w:val="auto"/>
              </w:rPr>
            </w:pPr>
            <w:r>
              <w:rPr>
                <w:rFonts w:ascii="Arial" w:cs="Arial" w:eastAsia="Arial" w:hAnsi="Arial"/>
                <w:sz w:val="14"/>
                <w:szCs w:val="14"/>
                <w:color w:val="auto"/>
              </w:rPr>
              <w:t>$785,000</w:t>
            </w:r>
          </w:p>
        </w:tc>
        <w:tc>
          <w:tcPr>
            <w:tcW w:w="900" w:type="dxa"/>
            <w:vAlign w:val="bottom"/>
            <w:tcBorders>
              <w:bottom w:val="single" w:sz="8" w:color="582C83"/>
            </w:tcBorders>
            <w:shd w:val="clear" w:color="auto" w:fill="E0DBEA"/>
          </w:tcPr>
          <w:p>
            <w:pPr>
              <w:ind w:left="500"/>
              <w:spacing w:after="0"/>
              <w:rPr>
                <w:sz w:val="20"/>
                <w:szCs w:val="20"/>
                <w:color w:val="auto"/>
              </w:rPr>
            </w:pPr>
            <w:r>
              <w:rPr>
                <w:rFonts w:ascii="Arial" w:cs="Arial" w:eastAsia="Arial" w:hAnsi="Arial"/>
                <w:sz w:val="14"/>
                <w:szCs w:val="14"/>
                <w:color w:val="auto"/>
              </w:rPr>
              <w:t>5.4 %</w:t>
            </w:r>
          </w:p>
        </w:tc>
      </w:tr>
    </w:tbl>
    <w:p>
      <w:pPr>
        <w:spacing w:after="0" w:line="50" w:lineRule="exact"/>
        <w:rPr>
          <w:sz w:val="20"/>
          <w:szCs w:val="20"/>
          <w:color w:val="auto"/>
        </w:rPr>
      </w:pPr>
    </w:p>
    <w:p>
      <w:pPr>
        <w:ind w:left="260" w:right="80" w:hanging="253"/>
        <w:spacing w:after="0" w:line="262" w:lineRule="auto"/>
        <w:tabs>
          <w:tab w:leader="none" w:pos="2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Prior to the increase in 2025, the CEO had not received an increase since 2022. In determining the increases to our CEO and CFO, the PCC considered the factors described above, as well as their continued strong performance over the long term, year-over-year increases in compensation levels in our Compensation Survey Peer Group and the need to maintain competitive positioning for seasoned industry leaders.</w:t>
      </w:r>
    </w:p>
    <w:p>
      <w:pPr>
        <w:ind w:left="260" w:hanging="253"/>
        <w:spacing w:after="0"/>
        <w:tabs>
          <w:tab w:leader="none" w:pos="2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Mr. Kuhn’s start date was January 6, 2025.</w:t>
      </w:r>
    </w:p>
    <w:p>
      <w:pPr>
        <w:sectPr>
          <w:pgSz w:w="11900" w:h="16838" w:orient="portrait"/>
          <w:cols w:equalWidth="0" w:num="1">
            <w:col w:w="9040"/>
          </w:cols>
          <w:pgMar w:left="1420" w:top="51" w:right="1439" w:bottom="0" w:gutter="0" w:footer="0" w:header="0"/>
          <w:type w:val="continuous"/>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8080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10375" cy="3808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68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6625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10375" cy="6625590"/>
                    </a:xfrm>
                    <a:prstGeom prst="rect">
                      <a:avLst/>
                    </a:prstGeom>
                    <a:noFill/>
                  </pic:spPr>
                </pic:pic>
              </a:graphicData>
            </a:graphic>
          </wp:anchor>
        </w:drawing>
      </w:r>
    </w:p>
    <w:p>
      <w:pPr>
        <w:sectPr>
          <w:pgSz w:w="11900" w:h="16838" w:orient="portrait"/>
          <w:cols w:equalWidth="0" w:num="1">
            <w:col w:w="9040"/>
          </w:cols>
          <w:pgMar w:left="1420" w:top="1440" w:right="1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60"/>
        <w:spacing w:after="0"/>
        <w:rPr>
          <w:sz w:val="20"/>
          <w:szCs w:val="20"/>
          <w:color w:val="auto"/>
        </w:rPr>
      </w:pPr>
      <w:r>
        <w:rPr>
          <w:rFonts w:ascii="Arial" w:cs="Arial" w:eastAsia="Arial" w:hAnsi="Arial"/>
          <w:sz w:val="22"/>
          <w:szCs w:val="22"/>
          <w:b w:val="1"/>
          <w:bCs w:val="1"/>
          <w:color w:val="auto"/>
        </w:rPr>
        <w:t>COMPENSATION DISCUSSION AND ANALYSIS (CD&amp;A)</w:t>
      </w:r>
    </w:p>
    <w:p>
      <w:pPr>
        <w:spacing w:after="0" w:line="3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Program</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AIP</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4" w:lineRule="exact"/>
        <w:rPr>
          <w:sz w:val="20"/>
          <w:szCs w:val="20"/>
          <w:color w:val="auto"/>
        </w:rPr>
      </w:pPr>
    </w:p>
    <w:p>
      <w:pPr>
        <w:ind w:right="200"/>
        <w:spacing w:after="0" w:line="301" w:lineRule="auto"/>
        <w:rPr>
          <w:sz w:val="20"/>
          <w:szCs w:val="20"/>
          <w:color w:val="auto"/>
        </w:rPr>
      </w:pPr>
      <w:r>
        <w:rPr>
          <w:rFonts w:ascii="Arial" w:cs="Arial" w:eastAsia="Arial" w:hAnsi="Arial"/>
          <w:sz w:val="17"/>
          <w:szCs w:val="17"/>
          <w:color w:val="auto"/>
        </w:rPr>
        <w:t>We design our AIP to reward and motivate annual accomplishment of critical financial and strategic objectives across our four strategic priorities: growth, execution, culture, and sustainability.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AIP Award Calculation/Payout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graphic below illustrates the key components, performance goals, and calculation of the 2025 AIP for the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AIP Targets for NEOs</w:t>
      </w:r>
    </w:p>
    <w:p>
      <w:pPr>
        <w:spacing w:after="0" w:line="114"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color w:val="auto"/>
        </w:rPr>
        <w:t>Target annual incentive opportunities for the NEOs are shown in the table below. In determining the targets, the PCC reviews benchmark data from our Compensation Survey Peer Group (see “Peer Groups” on page 79) to align our executive pay packages with similar positions and to reflect individual performance. Mr. Zaramella and Mr. Valle received increases in their target opportunities to position their pay competitively with peers in our Compensation Survey Peer Group relative to their tenure and experience.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0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Name</w:t>
            </w:r>
          </w:p>
        </w:tc>
        <w:tc>
          <w:tcPr>
            <w:tcW w:w="524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Target Opportunity as a % of Salary</w:t>
            </w:r>
          </w:p>
        </w:tc>
      </w:tr>
      <w:tr>
        <w:trPr>
          <w:trHeight w:val="216"/>
        </w:trPr>
        <w:tc>
          <w:tcPr>
            <w:tcW w:w="380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Mr. Van de Put</w:t>
            </w:r>
          </w:p>
        </w:tc>
        <w:tc>
          <w:tcPr>
            <w:tcW w:w="52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200%</w:t>
            </w:r>
          </w:p>
        </w:tc>
      </w:tr>
      <w:tr>
        <w:trPr>
          <w:trHeight w:val="209"/>
        </w:trPr>
        <w:tc>
          <w:tcPr>
            <w:tcW w:w="380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Mr. Zaramella</w:t>
            </w:r>
          </w:p>
        </w:tc>
        <w:tc>
          <w:tcPr>
            <w:tcW w:w="524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130%</w:t>
            </w:r>
          </w:p>
        </w:tc>
      </w:tr>
      <w:tr>
        <w:trPr>
          <w:trHeight w:val="209"/>
        </w:trPr>
        <w:tc>
          <w:tcPr>
            <w:tcW w:w="380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Mr. Kuhn</w:t>
            </w:r>
          </w:p>
        </w:tc>
        <w:tc>
          <w:tcPr>
            <w:tcW w:w="52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120%</w:t>
            </w:r>
          </w:p>
        </w:tc>
      </w:tr>
      <w:tr>
        <w:trPr>
          <w:trHeight w:val="209"/>
        </w:trPr>
        <w:tc>
          <w:tcPr>
            <w:tcW w:w="380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Mr. Valle</w:t>
            </w:r>
          </w:p>
        </w:tc>
        <w:tc>
          <w:tcPr>
            <w:tcW w:w="524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120%</w:t>
            </w:r>
          </w:p>
        </w:tc>
      </w:tr>
      <w:tr>
        <w:trPr>
          <w:trHeight w:val="209"/>
        </w:trPr>
        <w:tc>
          <w:tcPr>
            <w:tcW w:w="380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Mr. Renaud</w:t>
            </w:r>
          </w:p>
        </w:tc>
        <w:tc>
          <w:tcPr>
            <w:tcW w:w="52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100%</w:t>
            </w:r>
          </w:p>
        </w:tc>
      </w:tr>
    </w:tbl>
    <w:p>
      <w:pPr>
        <w:sectPr>
          <w:pgSz w:w="11900" w:h="16838" w:orient="portrait"/>
          <w:cols w:equalWidth="0" w:num="1">
            <w:col w:w="9040"/>
          </w:cols>
          <w:pgMar w:left="1420" w:top="1440" w:right="1439" w:bottom="0" w:gutter="0" w:footer="0" w:header="0"/>
          <w:type w:val="continuous"/>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2307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10375" cy="223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2029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10375" cy="8202930"/>
                    </a:xfrm>
                    <a:prstGeom prst="rect">
                      <a:avLst/>
                    </a:prstGeom>
                    <a:noFill/>
                  </pic:spPr>
                </pic:pic>
              </a:graphicData>
            </a:graphic>
          </wp:anchor>
        </w:drawing>
      </w:r>
    </w:p>
    <w:p>
      <w:pPr>
        <w:sectPr>
          <w:pgSz w:w="11900" w:h="16838" w:orient="portrait"/>
          <w:cols w:equalWidth="0" w:num="1">
            <w:col w:w="9040"/>
          </w:cols>
          <w:pgMar w:left="1420" w:top="1440"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COMPENSATION DISCUSSION AND ANALYSIS (CD&amp;A)</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Compensation Program</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Performance Rating (80% of AIP)</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582C83"/>
        </w:rPr>
        <w:t>Metrics and Alignment with Strategy</w:t>
      </w:r>
    </w:p>
    <w:p>
      <w:pPr>
        <w:spacing w:after="0" w:line="105"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The financial performance rating for Mr. Van de Put, Mr. Zaramella, and Mr. Renaud was based on global company performance; the financial performance ratings for Mr. Kuhn and Mr. Valle were based on a combination of their respective region and global company performance. In selecting financial performance metrics, the PCC seeks to incentivize actions that drive execution consistent with our strategy. The PCC determined that each of the selected metrics incentivizes a key component of our long-term growth and resilience strategy and that executives have the ability to influence our performance on each measure. Performance ratings against each measure can range from 0% to 200%, with the exception of the Market Share Overlay.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36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Performance Measures</w:t>
            </w:r>
            <w:r>
              <w:rPr>
                <w:rFonts w:ascii="Arial" w:cs="Arial" w:eastAsia="Arial" w:hAnsi="Arial"/>
                <w:sz w:val="18"/>
                <w:szCs w:val="18"/>
                <w:b w:val="1"/>
                <w:bCs w:val="1"/>
                <w:color w:val="auto"/>
                <w:vertAlign w:val="superscript"/>
              </w:rPr>
              <w:t>(1)</w:t>
            </w:r>
          </w:p>
        </w:tc>
        <w:tc>
          <w:tcPr>
            <w:tcW w:w="668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Alignment with Strategy</w:t>
            </w:r>
          </w:p>
        </w:tc>
      </w:tr>
      <w:tr>
        <w:trPr>
          <w:trHeight w:val="247"/>
        </w:trPr>
        <w:tc>
          <w:tcPr>
            <w:tcW w:w="236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Organic Volume Growth</w:t>
            </w:r>
          </w:p>
        </w:tc>
        <w:tc>
          <w:tcPr>
            <w:tcW w:w="6680" w:type="dxa"/>
            <w:vAlign w:val="bottom"/>
            <w:shd w:val="clear" w:color="auto" w:fill="E0DBEA"/>
          </w:tcPr>
          <w:p>
            <w:pPr>
              <w:ind w:left="60"/>
              <w:spacing w:after="0"/>
              <w:rPr>
                <w:sz w:val="20"/>
                <w:szCs w:val="20"/>
                <w:color w:val="auto"/>
              </w:rPr>
            </w:pPr>
            <w:r>
              <w:rPr>
                <w:rFonts w:ascii="Arial" w:cs="Arial" w:eastAsia="Arial" w:hAnsi="Arial"/>
                <w:sz w:val="14"/>
                <w:szCs w:val="14"/>
                <w:color w:val="auto"/>
              </w:rPr>
              <w:t>Incentivizes balanced, high-quality, top-line growth and improved margin leverage through higher</w:t>
            </w:r>
          </w:p>
        </w:tc>
      </w:tr>
      <w:tr>
        <w:trPr>
          <w:trHeight w:val="217"/>
        </w:trPr>
        <w:tc>
          <w:tcPr>
            <w:tcW w:w="2360" w:type="dxa"/>
            <w:vAlign w:val="bottom"/>
            <w:tcBorders>
              <w:bottom w:val="single" w:sz="8" w:color="E0DBEA"/>
            </w:tcBorders>
            <w:shd w:val="clear" w:color="auto" w:fill="E0DBEA"/>
          </w:tcPr>
          <w:p>
            <w:pPr>
              <w:spacing w:after="0"/>
              <w:rPr>
                <w:sz w:val="18"/>
                <w:szCs w:val="18"/>
                <w:color w:val="auto"/>
              </w:rPr>
            </w:pPr>
          </w:p>
        </w:tc>
        <w:tc>
          <w:tcPr>
            <w:tcW w:w="6680" w:type="dxa"/>
            <w:vAlign w:val="bottom"/>
            <w:tcBorders>
              <w:bottom w:val="single" w:sz="8" w:color="E0DBEA"/>
            </w:tcBorders>
            <w:shd w:val="clear" w:color="auto" w:fill="E0DBEA"/>
          </w:tcPr>
          <w:p>
            <w:pPr>
              <w:ind w:left="60"/>
              <w:spacing w:after="0"/>
              <w:rPr>
                <w:sz w:val="20"/>
                <w:szCs w:val="20"/>
                <w:color w:val="auto"/>
              </w:rPr>
            </w:pPr>
            <w:r>
              <w:rPr>
                <w:rFonts w:ascii="Arial" w:cs="Arial" w:eastAsia="Arial" w:hAnsi="Arial"/>
                <w:sz w:val="14"/>
                <w:szCs w:val="14"/>
                <w:color w:val="auto"/>
              </w:rPr>
              <w:t>capacity utilization</w:t>
            </w:r>
          </w:p>
        </w:tc>
      </w:tr>
      <w:tr>
        <w:trPr>
          <w:trHeight w:val="187"/>
        </w:trPr>
        <w:tc>
          <w:tcPr>
            <w:tcW w:w="2360" w:type="dxa"/>
            <w:vAlign w:val="bottom"/>
            <w:tcBorders>
              <w:top w:val="single" w:sz="8" w:color="582C83"/>
            </w:tcBorders>
          </w:tcPr>
          <w:p>
            <w:pPr>
              <w:ind w:left="60"/>
              <w:spacing w:after="0"/>
              <w:rPr>
                <w:sz w:val="20"/>
                <w:szCs w:val="20"/>
                <w:color w:val="auto"/>
              </w:rPr>
            </w:pPr>
            <w:r>
              <w:rPr>
                <w:rFonts w:ascii="Arial" w:cs="Arial" w:eastAsia="Arial" w:hAnsi="Arial"/>
                <w:sz w:val="14"/>
                <w:szCs w:val="14"/>
                <w:b w:val="1"/>
                <w:bCs w:val="1"/>
                <w:color w:val="auto"/>
              </w:rPr>
              <w:t>Organic Net Revenue Growth</w:t>
            </w:r>
          </w:p>
        </w:tc>
        <w:tc>
          <w:tcPr>
            <w:tcW w:w="6680" w:type="dxa"/>
            <w:vAlign w:val="bottom"/>
            <w:tcBorders>
              <w:top w:val="single" w:sz="8" w:color="582C83"/>
            </w:tcBorders>
          </w:tcPr>
          <w:p>
            <w:pPr>
              <w:ind w:left="60"/>
              <w:spacing w:after="0"/>
              <w:rPr>
                <w:sz w:val="20"/>
                <w:szCs w:val="20"/>
                <w:color w:val="auto"/>
              </w:rPr>
            </w:pPr>
            <w:r>
              <w:rPr>
                <w:rFonts w:ascii="Arial" w:cs="Arial" w:eastAsia="Arial" w:hAnsi="Arial"/>
                <w:sz w:val="14"/>
                <w:szCs w:val="14"/>
                <w:color w:val="auto"/>
              </w:rPr>
              <w:t>Focuses on high-quality revenue growth through market share, volume gains and</w:t>
            </w:r>
          </w:p>
        </w:tc>
      </w:tr>
      <w:tr>
        <w:trPr>
          <w:trHeight w:val="190"/>
        </w:trPr>
        <w:tc>
          <w:tcPr>
            <w:tcW w:w="2360" w:type="dxa"/>
            <w:vAlign w:val="bottom"/>
          </w:tcPr>
          <w:p>
            <w:pPr>
              <w:spacing w:after="0"/>
              <w:rPr>
                <w:sz w:val="16"/>
                <w:szCs w:val="16"/>
                <w:color w:val="auto"/>
              </w:rPr>
            </w:pPr>
          </w:p>
        </w:tc>
        <w:tc>
          <w:tcPr>
            <w:tcW w:w="6680" w:type="dxa"/>
            <w:vAlign w:val="bottom"/>
          </w:tcPr>
          <w:p>
            <w:pPr>
              <w:ind w:left="60"/>
              <w:spacing w:after="0"/>
              <w:rPr>
                <w:sz w:val="20"/>
                <w:szCs w:val="20"/>
                <w:color w:val="auto"/>
              </w:rPr>
            </w:pPr>
            <w:r>
              <w:rPr>
                <w:rFonts w:ascii="Arial" w:cs="Arial" w:eastAsia="Arial" w:hAnsi="Arial"/>
                <w:sz w:val="14"/>
                <w:szCs w:val="14"/>
                <w:color w:val="auto"/>
              </w:rPr>
              <w:t>price-mix optimization</w:t>
            </w:r>
          </w:p>
        </w:tc>
      </w:tr>
      <w:tr>
        <w:trPr>
          <w:trHeight w:val="22"/>
        </w:trPr>
        <w:tc>
          <w:tcPr>
            <w:tcW w:w="2360" w:type="dxa"/>
            <w:vAlign w:val="bottom"/>
            <w:tcBorders>
              <w:bottom w:val="single" w:sz="8" w:color="582C83"/>
            </w:tcBorders>
          </w:tcPr>
          <w:p>
            <w:pPr>
              <w:spacing w:after="0" w:line="20" w:lineRule="exact"/>
              <w:rPr>
                <w:sz w:val="1"/>
                <w:szCs w:val="1"/>
                <w:color w:val="auto"/>
              </w:rPr>
            </w:pPr>
          </w:p>
        </w:tc>
        <w:tc>
          <w:tcPr>
            <w:tcW w:w="6680" w:type="dxa"/>
            <w:vAlign w:val="bottom"/>
            <w:tcBorders>
              <w:bottom w:val="single" w:sz="8" w:color="582C83"/>
            </w:tcBorders>
          </w:tcPr>
          <w:p>
            <w:pPr>
              <w:spacing w:after="0" w:line="20" w:lineRule="exact"/>
              <w:rPr>
                <w:sz w:val="1"/>
                <w:szCs w:val="1"/>
                <w:color w:val="auto"/>
              </w:rPr>
            </w:pPr>
          </w:p>
        </w:tc>
      </w:tr>
      <w:tr>
        <w:trPr>
          <w:trHeight w:val="187"/>
        </w:trPr>
        <w:tc>
          <w:tcPr>
            <w:tcW w:w="236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Adjusted Gross Profit Growth</w:t>
            </w:r>
          </w:p>
        </w:tc>
        <w:tc>
          <w:tcPr>
            <w:tcW w:w="6680" w:type="dxa"/>
            <w:vAlign w:val="bottom"/>
            <w:shd w:val="clear" w:color="auto" w:fill="E0DBEA"/>
          </w:tcPr>
          <w:p>
            <w:pPr>
              <w:ind w:left="60"/>
              <w:spacing w:after="0"/>
              <w:rPr>
                <w:sz w:val="20"/>
                <w:szCs w:val="20"/>
                <w:color w:val="auto"/>
              </w:rPr>
            </w:pPr>
            <w:r>
              <w:rPr>
                <w:rFonts w:ascii="Arial" w:cs="Arial" w:eastAsia="Arial" w:hAnsi="Arial"/>
                <w:sz w:val="14"/>
                <w:szCs w:val="14"/>
                <w:color w:val="auto"/>
              </w:rPr>
              <w:t>Measures the Company’s ability to manage and balance trade-offs among volume, mix, pricing and</w:t>
            </w:r>
          </w:p>
        </w:tc>
      </w:tr>
      <w:tr>
        <w:trPr>
          <w:trHeight w:val="189"/>
        </w:trPr>
        <w:tc>
          <w:tcPr>
            <w:tcW w:w="2360" w:type="dxa"/>
            <w:vAlign w:val="bottom"/>
            <w:shd w:val="clear" w:color="auto" w:fill="E0DBEA"/>
          </w:tcPr>
          <w:p>
            <w:pPr>
              <w:spacing w:after="0"/>
              <w:rPr>
                <w:sz w:val="16"/>
                <w:szCs w:val="16"/>
                <w:color w:val="auto"/>
              </w:rPr>
            </w:pPr>
          </w:p>
        </w:tc>
        <w:tc>
          <w:tcPr>
            <w:tcW w:w="6680" w:type="dxa"/>
            <w:vAlign w:val="bottom"/>
            <w:shd w:val="clear" w:color="auto" w:fill="E0DBEA"/>
          </w:tcPr>
          <w:p>
            <w:pPr>
              <w:ind w:left="60"/>
              <w:spacing w:after="0"/>
              <w:rPr>
                <w:sz w:val="20"/>
                <w:szCs w:val="20"/>
                <w:color w:val="auto"/>
              </w:rPr>
            </w:pPr>
            <w:r>
              <w:rPr>
                <w:rFonts w:ascii="Arial" w:cs="Arial" w:eastAsia="Arial" w:hAnsi="Arial"/>
                <w:sz w:val="14"/>
                <w:szCs w:val="14"/>
                <w:color w:val="auto"/>
              </w:rPr>
              <w:t>costs and enables investment to drive earnings and Free Cash Flow through investing in people</w:t>
            </w:r>
          </w:p>
        </w:tc>
      </w:tr>
      <w:tr>
        <w:trPr>
          <w:trHeight w:val="194"/>
        </w:trPr>
        <w:tc>
          <w:tcPr>
            <w:tcW w:w="2360" w:type="dxa"/>
            <w:vAlign w:val="bottom"/>
            <w:tcBorders>
              <w:bottom w:val="single" w:sz="8" w:color="582C83"/>
            </w:tcBorders>
            <w:shd w:val="clear" w:color="auto" w:fill="E0DBEA"/>
          </w:tcPr>
          <w:p>
            <w:pPr>
              <w:spacing w:after="0"/>
              <w:rPr>
                <w:sz w:val="16"/>
                <w:szCs w:val="16"/>
                <w:color w:val="auto"/>
              </w:rPr>
            </w:pPr>
          </w:p>
        </w:tc>
        <w:tc>
          <w:tcPr>
            <w:tcW w:w="668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color w:val="auto"/>
              </w:rPr>
              <w:t>and brands</w:t>
            </w:r>
          </w:p>
        </w:tc>
      </w:tr>
      <w:tr>
        <w:trPr>
          <w:trHeight w:val="177"/>
        </w:trPr>
        <w:tc>
          <w:tcPr>
            <w:tcW w:w="2360" w:type="dxa"/>
            <w:vAlign w:val="bottom"/>
          </w:tcPr>
          <w:p>
            <w:pPr>
              <w:ind w:left="60"/>
              <w:spacing w:after="0"/>
              <w:rPr>
                <w:sz w:val="20"/>
                <w:szCs w:val="20"/>
                <w:color w:val="auto"/>
              </w:rPr>
            </w:pPr>
            <w:r>
              <w:rPr>
                <w:rFonts w:ascii="Arial" w:cs="Arial" w:eastAsia="Arial" w:hAnsi="Arial"/>
                <w:sz w:val="14"/>
                <w:szCs w:val="14"/>
                <w:b w:val="1"/>
                <w:bCs w:val="1"/>
                <w:color w:val="auto"/>
              </w:rPr>
              <w:t>Adjusted Operating</w:t>
            </w:r>
          </w:p>
        </w:tc>
        <w:tc>
          <w:tcPr>
            <w:tcW w:w="6680" w:type="dxa"/>
            <w:vAlign w:val="bottom"/>
          </w:tcPr>
          <w:p>
            <w:pPr>
              <w:ind w:left="60"/>
              <w:spacing w:after="0"/>
              <w:rPr>
                <w:sz w:val="20"/>
                <w:szCs w:val="20"/>
                <w:color w:val="auto"/>
              </w:rPr>
            </w:pPr>
            <w:r>
              <w:rPr>
                <w:rFonts w:ascii="Arial" w:cs="Arial" w:eastAsia="Arial" w:hAnsi="Arial"/>
                <w:sz w:val="14"/>
                <w:szCs w:val="14"/>
                <w:color w:val="auto"/>
              </w:rPr>
              <w:t>Demonstrates whether our business is operating successfully by capturing all operating costs</w:t>
            </w:r>
          </w:p>
        </w:tc>
      </w:tr>
      <w:tr>
        <w:trPr>
          <w:trHeight w:val="197"/>
        </w:trPr>
        <w:tc>
          <w:tcPr>
            <w:tcW w:w="236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Income Growth</w:t>
            </w:r>
          </w:p>
        </w:tc>
        <w:tc>
          <w:tcPr>
            <w:tcW w:w="6680" w:type="dxa"/>
            <w:vAlign w:val="bottom"/>
            <w:tcBorders>
              <w:bottom w:val="single" w:sz="8" w:color="582C83"/>
            </w:tcBorders>
          </w:tcPr>
          <w:p>
            <w:pPr>
              <w:spacing w:after="0"/>
              <w:rPr>
                <w:sz w:val="17"/>
                <w:szCs w:val="17"/>
                <w:color w:val="auto"/>
              </w:rPr>
            </w:pPr>
          </w:p>
        </w:tc>
      </w:tr>
      <w:tr>
        <w:trPr>
          <w:trHeight w:val="188"/>
        </w:trPr>
        <w:tc>
          <w:tcPr>
            <w:tcW w:w="236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Free Cash Flow</w:t>
            </w:r>
          </w:p>
        </w:tc>
        <w:tc>
          <w:tcPr>
            <w:tcW w:w="6680" w:type="dxa"/>
            <w:vAlign w:val="bottom"/>
            <w:shd w:val="clear" w:color="auto" w:fill="E0DBEA"/>
          </w:tcPr>
          <w:p>
            <w:pPr>
              <w:ind w:left="60"/>
              <w:spacing w:after="0"/>
              <w:rPr>
                <w:sz w:val="20"/>
                <w:szCs w:val="20"/>
                <w:color w:val="auto"/>
              </w:rPr>
            </w:pPr>
            <w:r>
              <w:rPr>
                <w:rFonts w:ascii="Arial" w:cs="Arial" w:eastAsia="Arial" w:hAnsi="Arial"/>
                <w:sz w:val="14"/>
                <w:szCs w:val="14"/>
                <w:color w:val="auto"/>
              </w:rPr>
              <w:t>Key metric that influences our ability to invest for future growth, drive operational excellence and return</w:t>
            </w:r>
          </w:p>
        </w:tc>
      </w:tr>
      <w:tr>
        <w:trPr>
          <w:trHeight w:val="217"/>
        </w:trPr>
        <w:tc>
          <w:tcPr>
            <w:tcW w:w="2360" w:type="dxa"/>
            <w:vAlign w:val="bottom"/>
            <w:tcBorders>
              <w:bottom w:val="single" w:sz="8" w:color="E0DBEA"/>
            </w:tcBorders>
            <w:shd w:val="clear" w:color="auto" w:fill="E0DBEA"/>
          </w:tcPr>
          <w:p>
            <w:pPr>
              <w:spacing w:after="0"/>
              <w:rPr>
                <w:sz w:val="18"/>
                <w:szCs w:val="18"/>
                <w:color w:val="auto"/>
              </w:rPr>
            </w:pPr>
          </w:p>
        </w:tc>
        <w:tc>
          <w:tcPr>
            <w:tcW w:w="6680" w:type="dxa"/>
            <w:vAlign w:val="bottom"/>
            <w:tcBorders>
              <w:bottom w:val="single" w:sz="8" w:color="E0DBEA"/>
            </w:tcBorders>
            <w:shd w:val="clear" w:color="auto" w:fill="E0DBEA"/>
          </w:tcPr>
          <w:p>
            <w:pPr>
              <w:ind w:left="60"/>
              <w:spacing w:after="0"/>
              <w:rPr>
                <w:sz w:val="20"/>
                <w:szCs w:val="20"/>
                <w:color w:val="auto"/>
              </w:rPr>
            </w:pPr>
            <w:r>
              <w:rPr>
                <w:rFonts w:ascii="Arial" w:cs="Arial" w:eastAsia="Arial" w:hAnsi="Arial"/>
                <w:sz w:val="14"/>
                <w:szCs w:val="14"/>
                <w:color w:val="auto"/>
              </w:rPr>
              <w:t>cash to shareholders</w:t>
            </w:r>
          </w:p>
        </w:tc>
      </w:tr>
      <w:tr>
        <w:trPr>
          <w:trHeight w:val="187"/>
        </w:trPr>
        <w:tc>
          <w:tcPr>
            <w:tcW w:w="2360" w:type="dxa"/>
            <w:vAlign w:val="bottom"/>
            <w:tcBorders>
              <w:top w:val="single" w:sz="8" w:color="582C83"/>
            </w:tcBorders>
          </w:tcPr>
          <w:p>
            <w:pPr>
              <w:ind w:left="60"/>
              <w:spacing w:after="0"/>
              <w:rPr>
                <w:sz w:val="20"/>
                <w:szCs w:val="20"/>
                <w:color w:val="auto"/>
              </w:rPr>
            </w:pPr>
            <w:r>
              <w:rPr>
                <w:rFonts w:ascii="Arial" w:cs="Arial" w:eastAsia="Arial" w:hAnsi="Arial"/>
                <w:sz w:val="14"/>
                <w:szCs w:val="14"/>
                <w:b w:val="1"/>
                <w:bCs w:val="1"/>
                <w:color w:val="auto"/>
              </w:rPr>
              <w:t>Market Share Overlay</w:t>
            </w:r>
          </w:p>
        </w:tc>
        <w:tc>
          <w:tcPr>
            <w:tcW w:w="6680" w:type="dxa"/>
            <w:vAlign w:val="bottom"/>
            <w:tcBorders>
              <w:top w:val="single" w:sz="8" w:color="582C83"/>
            </w:tcBorders>
          </w:tcPr>
          <w:p>
            <w:pPr>
              <w:ind w:left="60"/>
              <w:spacing w:after="0"/>
              <w:rPr>
                <w:sz w:val="20"/>
                <w:szCs w:val="20"/>
                <w:color w:val="auto"/>
              </w:rPr>
            </w:pPr>
            <w:r>
              <w:rPr>
                <w:rFonts w:ascii="Arial" w:cs="Arial" w:eastAsia="Arial" w:hAnsi="Arial"/>
                <w:sz w:val="14"/>
                <w:szCs w:val="14"/>
                <w:color w:val="auto"/>
              </w:rPr>
              <w:t>Incentivizes market share growth in our core snacks categories (chocolate, biscuits, cakes and</w:t>
            </w:r>
          </w:p>
        </w:tc>
      </w:tr>
      <w:tr>
        <w:trPr>
          <w:trHeight w:val="190"/>
        </w:trPr>
        <w:tc>
          <w:tcPr>
            <w:tcW w:w="2360" w:type="dxa"/>
            <w:vAlign w:val="bottom"/>
          </w:tcPr>
          <w:p>
            <w:pPr>
              <w:spacing w:after="0"/>
              <w:rPr>
                <w:sz w:val="16"/>
                <w:szCs w:val="16"/>
                <w:color w:val="auto"/>
              </w:rPr>
            </w:pPr>
          </w:p>
        </w:tc>
        <w:tc>
          <w:tcPr>
            <w:tcW w:w="6680" w:type="dxa"/>
            <w:vAlign w:val="bottom"/>
          </w:tcPr>
          <w:p>
            <w:pPr>
              <w:ind w:left="60"/>
              <w:spacing w:after="0"/>
              <w:rPr>
                <w:sz w:val="20"/>
                <w:szCs w:val="20"/>
                <w:color w:val="auto"/>
              </w:rPr>
            </w:pPr>
            <w:r>
              <w:rPr>
                <w:rFonts w:ascii="Arial" w:cs="Arial" w:eastAsia="Arial" w:hAnsi="Arial"/>
                <w:sz w:val="14"/>
                <w:szCs w:val="14"/>
                <w:color w:val="auto"/>
              </w:rPr>
              <w:t>pastries, and snack bars)</w:t>
            </w:r>
          </w:p>
        </w:tc>
      </w:tr>
    </w:tbl>
    <w:p>
      <w:pPr>
        <w:spacing w:after="0" w:line="125" w:lineRule="exact"/>
        <w:rPr>
          <w:sz w:val="20"/>
          <w:szCs w:val="20"/>
          <w:color w:val="auto"/>
        </w:rPr>
      </w:pPr>
    </w:p>
    <w:p>
      <w:pPr>
        <w:ind w:left="260" w:right="20" w:hanging="253"/>
        <w:spacing w:after="0" w:line="286" w:lineRule="auto"/>
        <w:tabs>
          <w:tab w:leader="none" w:pos="2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Market share overlay is based on global market share gain or loss in chocolate, biscuits, and snack bars, and net revenue growth for cakes and pastries. See definitions of other performance measures in Annex A.</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582C83"/>
        </w:rPr>
        <w:t>Target-Setting Process</w:t>
      </w:r>
    </w:p>
    <w:p>
      <w:pPr>
        <w:spacing w:after="0" w:line="105"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The Board recognizes the importance of establishing rigorous but realistic targets that continue to motivate and retain executives and approves annual operating targets after a thorough review and discussion. The targets set by the Board require achieving a high degree of business performance for the expected operating environment. These targets are used by the PCC as the basis of the AIP. Targets were approved in the first quarter of 2025.</w:t>
      </w:r>
    </w:p>
    <w:p>
      <w:pPr>
        <w:spacing w:after="0" w:line="80"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In setting targets for the 2025 AIP, the PCC held robust discussions evaluating the challenging macroeconomic environment; continued inflation in prices of cocoa, our largest commodity impacting the cost of goods sold, which reached 50-year highs; the importance of maintaining chocolate category health when setting prices in key geographies; ongoing consumer price sensitivity in the U.S.; and volume softness in certain markets and brands. Accordingly, targets were calibrated to reinforce disciplined execution and resilience amid acute input cost and demand pressures that were higher than in recent years. For that reason, performance targets, while rigorous, may reflect levels below the prior years’ performance. Consistent with the PCC’s philosophy of pay for performance, all targets were set at levels that would be challenging and not certain to be met, as demonstrated by below-target level payouts for the 2024 and 2025 performance years.</w:t>
      </w:r>
    </w:p>
    <w:p>
      <w:pPr>
        <w:sectPr>
          <w:pgSz w:w="11900" w:h="16838" w:orient="portrait"/>
          <w:cols w:equalWidth="0" w:num="1">
            <w:col w:w="9040"/>
          </w:cols>
          <w:pgMar w:left="1420" w:top="1440" w:right="1439" w:bottom="1440" w:gutter="0" w:footer="0" w:header="0"/>
          <w:type w:val="continuous"/>
        </w:sectPr>
      </w:pPr>
    </w:p>
    <w:bookmarkStart w:id="62" w:name="page63"/>
    <w:bookmarkEnd w:id="62"/>
    <w:p>
      <w:pPr>
        <w:ind w:left="60"/>
        <w:spacing w:after="0"/>
        <w:rPr>
          <w:sz w:val="20"/>
          <w:szCs w:val="20"/>
          <w:color w:val="auto"/>
        </w:rPr>
      </w:pPr>
      <w:r>
        <w:rPr>
          <w:rFonts w:ascii="Arial" w:cs="Arial" w:eastAsia="Arial" w:hAnsi="Arial"/>
          <w:sz w:val="14"/>
          <w:szCs w:val="14"/>
          <w:b w:val="1"/>
          <w:bCs w:val="1"/>
          <w:color w:val="582C83"/>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53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10375" cy="653415"/>
                    </a:xfrm>
                    <a:prstGeom prst="rect">
                      <a:avLst/>
                    </a:prstGeom>
                    <a:noFill/>
                  </pic:spPr>
                </pic:pic>
              </a:graphicData>
            </a:graphic>
          </wp:anchor>
        </w:drawing>
        <w:t>70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8677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59"/>
        <w:spacing w:after="0"/>
        <w:rPr>
          <w:sz w:val="20"/>
          <w:szCs w:val="20"/>
          <w:color w:val="auto"/>
        </w:rPr>
      </w:pPr>
      <w:r>
        <w:rPr>
          <w:rFonts w:ascii="Arial" w:cs="Arial" w:eastAsia="Arial" w:hAnsi="Arial"/>
          <w:sz w:val="22"/>
          <w:szCs w:val="22"/>
          <w:b w:val="1"/>
          <w:bCs w:val="1"/>
          <w:color w:val="auto"/>
        </w:rPr>
        <w:t>COMPENSATION DISCUSSION AND ANALYSIS (CD&amp;A)</w:t>
      </w:r>
    </w:p>
    <w:p>
      <w:pPr>
        <w:spacing w:after="0" w:line="37" w:lineRule="exact"/>
        <w:rPr>
          <w:sz w:val="20"/>
          <w:szCs w:val="20"/>
          <w:color w:val="auto"/>
        </w:rPr>
      </w:pPr>
    </w:p>
    <w:p>
      <w:pPr>
        <w:jc w:val="right"/>
        <w:ind w:right="39"/>
        <w:spacing w:after="0"/>
        <w:rPr>
          <w:sz w:val="20"/>
          <w:szCs w:val="20"/>
          <w:color w:val="auto"/>
        </w:rPr>
      </w:pPr>
      <w:r>
        <w:rPr>
          <w:rFonts w:ascii="Arial" w:cs="Arial" w:eastAsia="Arial" w:hAnsi="Arial"/>
          <w:sz w:val="14"/>
          <w:szCs w:val="14"/>
          <w:color w:val="auto"/>
        </w:rPr>
        <w:t>Compensation Program</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582C83"/>
        </w:rPr>
        <w:t>2025 Targets and Corporate Financial Rating</w:t>
      </w:r>
    </w:p>
    <w:p>
      <w:pPr>
        <w:spacing w:after="0" w:line="105" w:lineRule="exact"/>
        <w:rPr>
          <w:sz w:val="20"/>
          <w:szCs w:val="20"/>
          <w:color w:val="auto"/>
        </w:rPr>
      </w:pPr>
    </w:p>
    <w:p>
      <w:pPr>
        <w:ind w:right="279"/>
        <w:spacing w:after="0" w:line="291" w:lineRule="auto"/>
        <w:rPr>
          <w:sz w:val="20"/>
          <w:szCs w:val="20"/>
          <w:color w:val="auto"/>
        </w:rPr>
      </w:pPr>
      <w:r>
        <w:rPr>
          <w:rFonts w:ascii="Arial" w:cs="Arial" w:eastAsia="Arial" w:hAnsi="Arial"/>
          <w:sz w:val="17"/>
          <w:szCs w:val="17"/>
          <w:color w:val="auto"/>
        </w:rPr>
        <w:t>To determine awards for Mr. Van de Put, Mr. Zaramella, and Mr. Renaud, the PCC first evaluated the 2025 company results against the 2025 company performance goals listed below (with interpolation for performance between the performance levels). Overall, we achieved a company performance rating of 91% under the 2025 AIP.</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91"/>
        </w:trPr>
        <w:tc>
          <w:tcPr>
            <w:tcW w:w="202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Performance Measures</w:t>
            </w:r>
            <w:r>
              <w:rPr>
                <w:rFonts w:ascii="Arial" w:cs="Arial" w:eastAsia="Arial" w:hAnsi="Arial"/>
                <w:sz w:val="18"/>
                <w:szCs w:val="18"/>
                <w:b w:val="1"/>
                <w:bCs w:val="1"/>
                <w:color w:val="auto"/>
                <w:vertAlign w:val="superscript"/>
              </w:rPr>
              <w:t>(1)</w:t>
            </w:r>
          </w:p>
        </w:tc>
        <w:tc>
          <w:tcPr>
            <w:tcW w:w="1180" w:type="dxa"/>
            <w:vAlign w:val="bottom"/>
            <w:gridSpan w:val="2"/>
            <w:shd w:val="clear" w:color="auto" w:fill="E0DBEA"/>
          </w:tcPr>
          <w:p>
            <w:pPr>
              <w:ind w:left="60"/>
              <w:spacing w:after="0"/>
              <w:rPr>
                <w:sz w:val="20"/>
                <w:szCs w:val="20"/>
                <w:color w:val="auto"/>
              </w:rPr>
            </w:pPr>
            <w:r>
              <w:rPr>
                <w:rFonts w:ascii="Arial" w:cs="Arial" w:eastAsia="Arial" w:hAnsi="Arial"/>
                <w:sz w:val="14"/>
                <w:szCs w:val="14"/>
                <w:b w:val="1"/>
                <w:bCs w:val="1"/>
                <w:color w:val="auto"/>
              </w:rPr>
              <w:t>Threshold</w:t>
            </w:r>
            <w:r>
              <w:rPr>
                <w:rFonts w:ascii="Arial" w:cs="Arial" w:eastAsia="Arial" w:hAnsi="Arial"/>
                <w:sz w:val="18"/>
                <w:szCs w:val="18"/>
                <w:b w:val="1"/>
                <w:bCs w:val="1"/>
                <w:color w:val="auto"/>
                <w:vertAlign w:val="superscript"/>
              </w:rPr>
              <w:t>(2)</w:t>
            </w:r>
          </w:p>
        </w:tc>
        <w:tc>
          <w:tcPr>
            <w:tcW w:w="1720" w:type="dxa"/>
            <w:vAlign w:val="bottom"/>
            <w:gridSpan w:val="3"/>
            <w:shd w:val="clear" w:color="auto" w:fill="E0DBEA"/>
          </w:tcPr>
          <w:p>
            <w:pPr>
              <w:ind w:left="300"/>
              <w:spacing w:after="0"/>
              <w:rPr>
                <w:sz w:val="20"/>
                <w:szCs w:val="20"/>
                <w:color w:val="auto"/>
              </w:rPr>
            </w:pPr>
            <w:r>
              <w:rPr>
                <w:rFonts w:ascii="Arial" w:cs="Arial" w:eastAsia="Arial" w:hAnsi="Arial"/>
                <w:sz w:val="14"/>
                <w:szCs w:val="14"/>
                <w:b w:val="1"/>
                <w:bCs w:val="1"/>
                <w:color w:val="auto"/>
              </w:rPr>
              <w:t>Below Target</w:t>
            </w:r>
          </w:p>
        </w:tc>
        <w:tc>
          <w:tcPr>
            <w:tcW w:w="1260" w:type="dxa"/>
            <w:vAlign w:val="bottom"/>
            <w:tcBorders>
              <w:left w:val="single" w:sz="8" w:color="E0DBEA"/>
            </w:tcBorders>
            <w:gridSpan w:val="2"/>
            <w:shd w:val="clear" w:color="auto" w:fill="E0DBEA"/>
          </w:tcPr>
          <w:p>
            <w:pPr>
              <w:ind w:left="140"/>
              <w:spacing w:after="0"/>
              <w:rPr>
                <w:sz w:val="20"/>
                <w:szCs w:val="20"/>
                <w:color w:val="auto"/>
              </w:rPr>
            </w:pPr>
            <w:r>
              <w:rPr>
                <w:rFonts w:ascii="Arial" w:cs="Arial" w:eastAsia="Arial" w:hAnsi="Arial"/>
                <w:sz w:val="14"/>
                <w:szCs w:val="14"/>
                <w:b w:val="1"/>
                <w:bCs w:val="1"/>
                <w:color w:val="auto"/>
              </w:rPr>
              <w:t>Target</w:t>
            </w:r>
            <w:r>
              <w:rPr>
                <w:rFonts w:ascii="Arial" w:cs="Arial" w:eastAsia="Arial" w:hAnsi="Arial"/>
                <w:sz w:val="18"/>
                <w:szCs w:val="18"/>
                <w:b w:val="1"/>
                <w:bCs w:val="1"/>
                <w:color w:val="auto"/>
                <w:vertAlign w:val="superscript"/>
              </w:rPr>
              <w:t>(3)</w:t>
            </w:r>
          </w:p>
        </w:tc>
        <w:tc>
          <w:tcPr>
            <w:tcW w:w="1200" w:type="dxa"/>
            <w:vAlign w:val="bottom"/>
            <w:tcBorders>
              <w:left w:val="single" w:sz="8" w:color="E0DBEA"/>
            </w:tcBorders>
            <w:gridSpan w:val="2"/>
            <w:shd w:val="clear" w:color="auto" w:fill="E0DBEA"/>
          </w:tcPr>
          <w:p>
            <w:pPr>
              <w:ind w:left="220"/>
              <w:spacing w:after="0"/>
              <w:rPr>
                <w:sz w:val="20"/>
                <w:szCs w:val="20"/>
                <w:color w:val="auto"/>
              </w:rPr>
            </w:pPr>
            <w:r>
              <w:rPr>
                <w:rFonts w:ascii="Arial" w:cs="Arial" w:eastAsia="Arial" w:hAnsi="Arial"/>
                <w:sz w:val="14"/>
                <w:szCs w:val="14"/>
                <w:b w:val="1"/>
                <w:bCs w:val="1"/>
                <w:color w:val="auto"/>
              </w:rPr>
              <w:t>Maximum</w:t>
            </w:r>
          </w:p>
        </w:tc>
        <w:tc>
          <w:tcPr>
            <w:tcW w:w="1580" w:type="dxa"/>
            <w:vAlign w:val="bottom"/>
            <w:shd w:val="clear" w:color="auto" w:fill="E6E6E6"/>
          </w:tcPr>
          <w:p>
            <w:pPr>
              <w:jc w:val="center"/>
              <w:spacing w:after="0"/>
              <w:rPr>
                <w:sz w:val="20"/>
                <w:szCs w:val="20"/>
                <w:color w:val="auto"/>
              </w:rPr>
            </w:pPr>
            <w:r>
              <w:rPr>
                <w:rFonts w:ascii="Arial" w:cs="Arial" w:eastAsia="Arial" w:hAnsi="Arial"/>
                <w:sz w:val="14"/>
                <w:szCs w:val="14"/>
                <w:b w:val="1"/>
                <w:bCs w:val="1"/>
                <w:color w:val="auto"/>
              </w:rPr>
              <w:t>Actual Payout</w:t>
            </w:r>
          </w:p>
        </w:tc>
        <w:tc>
          <w:tcPr>
            <w:tcW w:w="0" w:type="dxa"/>
            <w:vAlign w:val="bottom"/>
          </w:tcPr>
          <w:p>
            <w:pPr>
              <w:spacing w:after="0"/>
              <w:rPr>
                <w:sz w:val="1"/>
                <w:szCs w:val="1"/>
                <w:color w:val="auto"/>
              </w:rPr>
            </w:pPr>
          </w:p>
        </w:tc>
      </w:tr>
      <w:tr>
        <w:trPr>
          <w:trHeight w:val="95"/>
        </w:trPr>
        <w:tc>
          <w:tcPr>
            <w:tcW w:w="2020" w:type="dxa"/>
            <w:vAlign w:val="bottom"/>
            <w:shd w:val="clear" w:color="auto" w:fill="E0DBEA"/>
          </w:tcPr>
          <w:p>
            <w:pPr>
              <w:spacing w:after="0"/>
              <w:rPr>
                <w:sz w:val="8"/>
                <w:szCs w:val="8"/>
                <w:color w:val="auto"/>
              </w:rPr>
            </w:pPr>
          </w:p>
        </w:tc>
        <w:tc>
          <w:tcPr>
            <w:tcW w:w="540" w:type="dxa"/>
            <w:vAlign w:val="bottom"/>
            <w:shd w:val="clear" w:color="auto" w:fill="E0DBEA"/>
          </w:tcPr>
          <w:p>
            <w:pPr>
              <w:spacing w:after="0"/>
              <w:rPr>
                <w:sz w:val="8"/>
                <w:szCs w:val="8"/>
                <w:color w:val="auto"/>
              </w:rPr>
            </w:pPr>
          </w:p>
        </w:tc>
        <w:tc>
          <w:tcPr>
            <w:tcW w:w="640" w:type="dxa"/>
            <w:vAlign w:val="bottom"/>
            <w:shd w:val="clear" w:color="auto" w:fill="E0DBEA"/>
          </w:tcPr>
          <w:p>
            <w:pPr>
              <w:spacing w:after="0"/>
              <w:rPr>
                <w:sz w:val="8"/>
                <w:szCs w:val="8"/>
                <w:color w:val="auto"/>
              </w:rPr>
            </w:pPr>
          </w:p>
        </w:tc>
        <w:tc>
          <w:tcPr>
            <w:tcW w:w="1380" w:type="dxa"/>
            <w:vAlign w:val="bottom"/>
            <w:tcBorders>
              <w:right w:val="single" w:sz="8" w:color="E0DBEA"/>
            </w:tcBorders>
            <w:shd w:val="clear" w:color="auto" w:fill="E0DBEA"/>
          </w:tcPr>
          <w:p>
            <w:pPr>
              <w:spacing w:after="0"/>
              <w:rPr>
                <w:sz w:val="8"/>
                <w:szCs w:val="8"/>
                <w:color w:val="auto"/>
              </w:rPr>
            </w:pPr>
          </w:p>
        </w:tc>
        <w:tc>
          <w:tcPr>
            <w:tcW w:w="300" w:type="dxa"/>
            <w:vAlign w:val="bottom"/>
            <w:tcBorders>
              <w:right w:val="single" w:sz="8" w:color="E0DBEA"/>
            </w:tcBorders>
            <w:shd w:val="clear" w:color="auto" w:fill="E0DBEA"/>
          </w:tcPr>
          <w:p>
            <w:pPr>
              <w:spacing w:after="0"/>
              <w:rPr>
                <w:sz w:val="8"/>
                <w:szCs w:val="8"/>
                <w:color w:val="auto"/>
              </w:rPr>
            </w:pPr>
          </w:p>
        </w:tc>
        <w:tc>
          <w:tcPr>
            <w:tcW w:w="40" w:type="dxa"/>
            <w:vAlign w:val="bottom"/>
            <w:shd w:val="clear" w:color="auto" w:fill="E0DBEA"/>
          </w:tcPr>
          <w:p>
            <w:pPr>
              <w:spacing w:after="0"/>
              <w:rPr>
                <w:sz w:val="8"/>
                <w:szCs w:val="8"/>
                <w:color w:val="auto"/>
              </w:rPr>
            </w:pPr>
          </w:p>
        </w:tc>
        <w:tc>
          <w:tcPr>
            <w:tcW w:w="260" w:type="dxa"/>
            <w:vAlign w:val="bottom"/>
            <w:tcBorders>
              <w:left w:val="single" w:sz="8" w:color="E0DBEA"/>
              <w:right w:val="single" w:sz="8" w:color="E0DBEA"/>
            </w:tcBorders>
            <w:shd w:val="clear" w:color="auto" w:fill="E0DBEA"/>
          </w:tcPr>
          <w:p>
            <w:pPr>
              <w:spacing w:after="0"/>
              <w:rPr>
                <w:sz w:val="8"/>
                <w:szCs w:val="8"/>
                <w:color w:val="auto"/>
              </w:rPr>
            </w:pPr>
          </w:p>
        </w:tc>
        <w:tc>
          <w:tcPr>
            <w:tcW w:w="1000" w:type="dxa"/>
            <w:vAlign w:val="bottom"/>
            <w:shd w:val="clear" w:color="auto" w:fill="E0DBEA"/>
          </w:tcPr>
          <w:p>
            <w:pPr>
              <w:spacing w:after="0"/>
              <w:rPr>
                <w:sz w:val="8"/>
                <w:szCs w:val="8"/>
                <w:color w:val="auto"/>
              </w:rPr>
            </w:pPr>
          </w:p>
        </w:tc>
        <w:tc>
          <w:tcPr>
            <w:tcW w:w="1080" w:type="dxa"/>
            <w:vAlign w:val="bottom"/>
            <w:tcBorders>
              <w:left w:val="single" w:sz="8" w:color="E0DBEA"/>
            </w:tcBorders>
            <w:shd w:val="clear" w:color="auto" w:fill="E0DBEA"/>
          </w:tcPr>
          <w:p>
            <w:pPr>
              <w:spacing w:after="0"/>
              <w:rPr>
                <w:sz w:val="8"/>
                <w:szCs w:val="8"/>
                <w:color w:val="auto"/>
              </w:rPr>
            </w:pPr>
          </w:p>
        </w:tc>
        <w:tc>
          <w:tcPr>
            <w:tcW w:w="120" w:type="dxa"/>
            <w:vAlign w:val="bottom"/>
            <w:shd w:val="clear" w:color="auto" w:fill="E0DBEA"/>
          </w:tcPr>
          <w:p>
            <w:pPr>
              <w:spacing w:after="0"/>
              <w:rPr>
                <w:sz w:val="8"/>
                <w:szCs w:val="8"/>
                <w:color w:val="auto"/>
              </w:rPr>
            </w:pPr>
          </w:p>
        </w:tc>
        <w:tc>
          <w:tcPr>
            <w:tcW w:w="1580" w:type="dxa"/>
            <w:vAlign w:val="bottom"/>
            <w:vMerge w:val="restart"/>
            <w:shd w:val="clear" w:color="auto" w:fill="E6E6E6"/>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06"/>
        </w:trPr>
        <w:tc>
          <w:tcPr>
            <w:tcW w:w="2020" w:type="dxa"/>
            <w:vAlign w:val="bottom"/>
            <w:vMerge w:val="restart"/>
            <w:shd w:val="clear" w:color="auto" w:fill="E6E6E6"/>
          </w:tcPr>
          <w:p>
            <w:pPr>
              <w:ind w:left="60"/>
              <w:spacing w:after="0"/>
              <w:rPr>
                <w:sz w:val="20"/>
                <w:szCs w:val="20"/>
                <w:color w:val="auto"/>
              </w:rPr>
            </w:pPr>
            <w:r>
              <w:rPr>
                <w:rFonts w:ascii="Arial" w:cs="Arial" w:eastAsia="Arial" w:hAnsi="Arial"/>
                <w:sz w:val="14"/>
                <w:szCs w:val="14"/>
                <w:b w:val="1"/>
                <w:bCs w:val="1"/>
                <w:color w:val="auto"/>
              </w:rPr>
              <w:t>Payout Percentage</w:t>
            </w:r>
          </w:p>
        </w:tc>
        <w:tc>
          <w:tcPr>
            <w:tcW w:w="540" w:type="dxa"/>
            <w:vAlign w:val="bottom"/>
            <w:vMerge w:val="restart"/>
            <w:shd w:val="clear" w:color="auto" w:fill="E6E6E6"/>
          </w:tcPr>
          <w:p>
            <w:pPr>
              <w:ind w:left="60"/>
              <w:spacing w:after="0"/>
              <w:rPr>
                <w:sz w:val="20"/>
                <w:szCs w:val="20"/>
                <w:color w:val="auto"/>
              </w:rPr>
            </w:pPr>
            <w:r>
              <w:rPr>
                <w:rFonts w:ascii="Arial" w:cs="Arial" w:eastAsia="Arial" w:hAnsi="Arial"/>
                <w:sz w:val="14"/>
                <w:szCs w:val="14"/>
                <w:b w:val="1"/>
                <w:bCs w:val="1"/>
                <w:color w:val="auto"/>
              </w:rPr>
              <w:t>0%</w:t>
            </w:r>
          </w:p>
        </w:tc>
        <w:tc>
          <w:tcPr>
            <w:tcW w:w="640" w:type="dxa"/>
            <w:vAlign w:val="bottom"/>
            <w:shd w:val="clear" w:color="auto" w:fill="E6E6E6"/>
          </w:tcPr>
          <w:p>
            <w:pPr>
              <w:spacing w:after="0"/>
              <w:rPr>
                <w:sz w:val="9"/>
                <w:szCs w:val="9"/>
                <w:color w:val="auto"/>
              </w:rPr>
            </w:pPr>
          </w:p>
        </w:tc>
        <w:tc>
          <w:tcPr>
            <w:tcW w:w="1380" w:type="dxa"/>
            <w:vAlign w:val="bottom"/>
            <w:tcBorders>
              <w:right w:val="single" w:sz="8" w:color="E6E6E6"/>
            </w:tcBorders>
            <w:vMerge w:val="restart"/>
            <w:shd w:val="clear" w:color="auto" w:fill="E6E6E6"/>
          </w:tcPr>
          <w:p>
            <w:pPr>
              <w:ind w:left="620"/>
              <w:spacing w:after="0"/>
              <w:rPr>
                <w:sz w:val="20"/>
                <w:szCs w:val="20"/>
                <w:color w:val="auto"/>
              </w:rPr>
            </w:pPr>
            <w:r>
              <w:rPr>
                <w:rFonts w:ascii="Arial" w:cs="Arial" w:eastAsia="Arial" w:hAnsi="Arial"/>
                <w:sz w:val="14"/>
                <w:szCs w:val="14"/>
                <w:b w:val="1"/>
                <w:bCs w:val="1"/>
                <w:color w:val="auto"/>
              </w:rPr>
              <w:t>50%</w:t>
            </w:r>
          </w:p>
        </w:tc>
        <w:tc>
          <w:tcPr>
            <w:tcW w:w="300" w:type="dxa"/>
            <w:vAlign w:val="bottom"/>
            <w:tcBorders>
              <w:right w:val="single" w:sz="8" w:color="E6E6E6"/>
            </w:tcBorders>
            <w:shd w:val="clear" w:color="auto" w:fill="E6E6E6"/>
          </w:tcPr>
          <w:p>
            <w:pPr>
              <w:spacing w:after="0"/>
              <w:rPr>
                <w:sz w:val="9"/>
                <w:szCs w:val="9"/>
                <w:color w:val="auto"/>
              </w:rPr>
            </w:pPr>
          </w:p>
        </w:tc>
        <w:tc>
          <w:tcPr>
            <w:tcW w:w="40" w:type="dxa"/>
            <w:vAlign w:val="bottom"/>
            <w:shd w:val="clear" w:color="auto" w:fill="E6E6E6"/>
          </w:tcPr>
          <w:p>
            <w:pPr>
              <w:spacing w:after="0"/>
              <w:rPr>
                <w:sz w:val="9"/>
                <w:szCs w:val="9"/>
                <w:color w:val="auto"/>
              </w:rPr>
            </w:pPr>
          </w:p>
        </w:tc>
        <w:tc>
          <w:tcPr>
            <w:tcW w:w="1260" w:type="dxa"/>
            <w:vAlign w:val="bottom"/>
            <w:tcBorders>
              <w:left w:val="single" w:sz="8" w:color="E6E6E6"/>
            </w:tcBorders>
            <w:gridSpan w:val="2"/>
            <w:vMerge w:val="restart"/>
            <w:shd w:val="clear" w:color="auto" w:fill="E6E6E6"/>
          </w:tcPr>
          <w:p>
            <w:pPr>
              <w:jc w:val="center"/>
              <w:ind w:right="348"/>
              <w:spacing w:after="0"/>
              <w:rPr>
                <w:sz w:val="20"/>
                <w:szCs w:val="20"/>
                <w:color w:val="auto"/>
              </w:rPr>
            </w:pPr>
            <w:r>
              <w:rPr>
                <w:rFonts w:ascii="Arial" w:cs="Arial" w:eastAsia="Arial" w:hAnsi="Arial"/>
                <w:sz w:val="14"/>
                <w:szCs w:val="14"/>
                <w:b w:val="1"/>
                <w:bCs w:val="1"/>
                <w:color w:val="auto"/>
              </w:rPr>
              <w:t>100%</w:t>
            </w:r>
          </w:p>
        </w:tc>
        <w:tc>
          <w:tcPr>
            <w:tcW w:w="1080" w:type="dxa"/>
            <w:vAlign w:val="bottom"/>
            <w:tcBorders>
              <w:left w:val="single" w:sz="8" w:color="E6E6E6"/>
            </w:tcBorders>
            <w:vMerge w:val="restart"/>
            <w:shd w:val="clear" w:color="auto" w:fill="E6E6E6"/>
          </w:tcPr>
          <w:p>
            <w:pPr>
              <w:jc w:val="center"/>
              <w:spacing w:after="0"/>
              <w:rPr>
                <w:sz w:val="20"/>
                <w:szCs w:val="20"/>
                <w:color w:val="auto"/>
              </w:rPr>
            </w:pPr>
            <w:r>
              <w:rPr>
                <w:rFonts w:ascii="Arial" w:cs="Arial" w:eastAsia="Arial" w:hAnsi="Arial"/>
                <w:sz w:val="14"/>
                <w:szCs w:val="14"/>
                <w:b w:val="1"/>
                <w:bCs w:val="1"/>
                <w:color w:val="auto"/>
              </w:rPr>
              <w:t>200%</w:t>
            </w:r>
          </w:p>
        </w:tc>
        <w:tc>
          <w:tcPr>
            <w:tcW w:w="120" w:type="dxa"/>
            <w:vAlign w:val="bottom"/>
            <w:shd w:val="clear" w:color="auto" w:fill="E6E6E6"/>
          </w:tcPr>
          <w:p>
            <w:pPr>
              <w:spacing w:after="0"/>
              <w:rPr>
                <w:sz w:val="9"/>
                <w:szCs w:val="9"/>
                <w:color w:val="auto"/>
              </w:rPr>
            </w:pPr>
          </w:p>
        </w:tc>
        <w:tc>
          <w:tcPr>
            <w:tcW w:w="1580" w:type="dxa"/>
            <w:vAlign w:val="bottom"/>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20" w:type="dxa"/>
            <w:vAlign w:val="bottom"/>
            <w:tcBorders>
              <w:bottom w:val="single" w:sz="8" w:color="582C83"/>
            </w:tcBorders>
            <w:vMerge w:val="continue"/>
            <w:shd w:val="clear" w:color="auto" w:fill="E6E6E6"/>
          </w:tcPr>
          <w:p>
            <w:pPr>
              <w:spacing w:after="0"/>
              <w:rPr>
                <w:sz w:val="13"/>
                <w:szCs w:val="13"/>
                <w:color w:val="auto"/>
              </w:rPr>
            </w:pPr>
          </w:p>
        </w:tc>
        <w:tc>
          <w:tcPr>
            <w:tcW w:w="540" w:type="dxa"/>
            <w:vAlign w:val="bottom"/>
            <w:tcBorders>
              <w:bottom w:val="single" w:sz="8" w:color="582C83"/>
            </w:tcBorders>
            <w:vMerge w:val="continue"/>
            <w:shd w:val="clear" w:color="auto" w:fill="E6E6E6"/>
          </w:tcPr>
          <w:p>
            <w:pPr>
              <w:spacing w:after="0"/>
              <w:rPr>
                <w:sz w:val="13"/>
                <w:szCs w:val="13"/>
                <w:color w:val="auto"/>
              </w:rPr>
            </w:pPr>
          </w:p>
        </w:tc>
        <w:tc>
          <w:tcPr>
            <w:tcW w:w="640" w:type="dxa"/>
            <w:vAlign w:val="bottom"/>
            <w:tcBorders>
              <w:bottom w:val="single" w:sz="8" w:color="582C83"/>
            </w:tcBorders>
            <w:shd w:val="clear" w:color="auto" w:fill="E6E6E6"/>
          </w:tcPr>
          <w:p>
            <w:pPr>
              <w:spacing w:after="0"/>
              <w:rPr>
                <w:sz w:val="13"/>
                <w:szCs w:val="13"/>
                <w:color w:val="auto"/>
              </w:rPr>
            </w:pPr>
          </w:p>
        </w:tc>
        <w:tc>
          <w:tcPr>
            <w:tcW w:w="1380" w:type="dxa"/>
            <w:vAlign w:val="bottom"/>
            <w:tcBorders>
              <w:bottom w:val="single" w:sz="8" w:color="582C83"/>
              <w:right w:val="single" w:sz="8" w:color="E6E6E6"/>
            </w:tcBorders>
            <w:vMerge w:val="continue"/>
            <w:shd w:val="clear" w:color="auto" w:fill="E6E6E6"/>
          </w:tcPr>
          <w:p>
            <w:pPr>
              <w:spacing w:after="0"/>
              <w:rPr>
                <w:sz w:val="13"/>
                <w:szCs w:val="13"/>
                <w:color w:val="auto"/>
              </w:rPr>
            </w:pPr>
          </w:p>
        </w:tc>
        <w:tc>
          <w:tcPr>
            <w:tcW w:w="300" w:type="dxa"/>
            <w:vAlign w:val="bottom"/>
            <w:tcBorders>
              <w:bottom w:val="single" w:sz="8" w:color="582C83"/>
              <w:right w:val="single" w:sz="8" w:color="E6E6E6"/>
            </w:tcBorders>
            <w:shd w:val="clear" w:color="auto" w:fill="E6E6E6"/>
          </w:tcPr>
          <w:p>
            <w:pPr>
              <w:spacing w:after="0"/>
              <w:rPr>
                <w:sz w:val="13"/>
                <w:szCs w:val="13"/>
                <w:color w:val="auto"/>
              </w:rPr>
            </w:pPr>
          </w:p>
        </w:tc>
        <w:tc>
          <w:tcPr>
            <w:tcW w:w="40" w:type="dxa"/>
            <w:vAlign w:val="bottom"/>
            <w:tcBorders>
              <w:bottom w:val="single" w:sz="8" w:color="582C83"/>
            </w:tcBorders>
            <w:shd w:val="clear" w:color="auto" w:fill="E6E6E6"/>
          </w:tcPr>
          <w:p>
            <w:pPr>
              <w:spacing w:after="0"/>
              <w:rPr>
                <w:sz w:val="13"/>
                <w:szCs w:val="13"/>
                <w:color w:val="auto"/>
              </w:rPr>
            </w:pPr>
          </w:p>
        </w:tc>
        <w:tc>
          <w:tcPr>
            <w:tcW w:w="1260" w:type="dxa"/>
            <w:vAlign w:val="bottom"/>
            <w:tcBorders>
              <w:left w:val="single" w:sz="8" w:color="E6E6E6"/>
              <w:bottom w:val="single" w:sz="8" w:color="582C83"/>
            </w:tcBorders>
            <w:gridSpan w:val="2"/>
            <w:vMerge w:val="continue"/>
            <w:shd w:val="clear" w:color="auto" w:fill="E6E6E6"/>
          </w:tcPr>
          <w:p>
            <w:pPr>
              <w:spacing w:after="0"/>
              <w:rPr>
                <w:sz w:val="13"/>
                <w:szCs w:val="13"/>
                <w:color w:val="auto"/>
              </w:rPr>
            </w:pPr>
          </w:p>
        </w:tc>
        <w:tc>
          <w:tcPr>
            <w:tcW w:w="1080" w:type="dxa"/>
            <w:vAlign w:val="bottom"/>
            <w:tcBorders>
              <w:left w:val="single" w:sz="8" w:color="E6E6E6"/>
              <w:bottom w:val="single" w:sz="8" w:color="582C83"/>
            </w:tcBorders>
            <w:vMerge w:val="continue"/>
            <w:shd w:val="clear" w:color="auto" w:fill="E6E6E6"/>
          </w:tcPr>
          <w:p>
            <w:pPr>
              <w:spacing w:after="0"/>
              <w:rPr>
                <w:sz w:val="13"/>
                <w:szCs w:val="13"/>
                <w:color w:val="auto"/>
              </w:rPr>
            </w:pPr>
          </w:p>
        </w:tc>
        <w:tc>
          <w:tcPr>
            <w:tcW w:w="120" w:type="dxa"/>
            <w:vAlign w:val="bottom"/>
            <w:tcBorders>
              <w:bottom w:val="single" w:sz="8" w:color="582C83"/>
            </w:tcBorders>
            <w:shd w:val="clear" w:color="auto" w:fill="E6E6E6"/>
          </w:tcPr>
          <w:p>
            <w:pPr>
              <w:spacing w:after="0"/>
              <w:rPr>
                <w:sz w:val="13"/>
                <w:szCs w:val="13"/>
                <w:color w:val="auto"/>
              </w:rPr>
            </w:pPr>
          </w:p>
        </w:tc>
        <w:tc>
          <w:tcPr>
            <w:tcW w:w="1580" w:type="dxa"/>
            <w:vAlign w:val="bottom"/>
            <w:tcBorders>
              <w:bottom w:val="single" w:sz="8" w:color="582C83"/>
            </w:tcBorders>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20" w:type="dxa"/>
            <w:vAlign w:val="bottom"/>
            <w:vMerge w:val="restart"/>
          </w:tcPr>
          <w:p>
            <w:pPr>
              <w:ind w:left="60"/>
              <w:spacing w:after="0"/>
              <w:rPr>
                <w:sz w:val="20"/>
                <w:szCs w:val="20"/>
                <w:color w:val="auto"/>
              </w:rPr>
            </w:pPr>
            <w:r>
              <w:rPr>
                <w:rFonts w:ascii="Arial" w:cs="Arial" w:eastAsia="Arial" w:hAnsi="Arial"/>
                <w:sz w:val="14"/>
                <w:szCs w:val="14"/>
                <w:color w:val="auto"/>
              </w:rPr>
              <w:t>Organic Volume Growth</w:t>
            </w: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72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Actual (2.9)%</w:t>
            </w: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shd w:val="clear" w:color="auto" w:fill="E6E6E6"/>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2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20" w:type="dxa"/>
            <w:vAlign w:val="bottom"/>
            <w:gridSpan w:val="3"/>
            <w:vMerge w:val="continue"/>
          </w:tcPr>
          <w:p>
            <w:pPr>
              <w:spacing w:after="0"/>
              <w:rPr>
                <w:sz w:val="20"/>
                <w:szCs w:val="20"/>
                <w:color w:val="auto"/>
              </w:rPr>
            </w:pPr>
          </w:p>
        </w:tc>
        <w:tc>
          <w:tcPr>
            <w:tcW w:w="260" w:type="dxa"/>
            <w:vAlign w:val="bottom"/>
            <w:tcBorders>
              <w:left w:val="single" w:sz="8" w:color="CCCCCC"/>
            </w:tcBorders>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Borders>
              <w:left w:val="single" w:sz="8" w:color="CCCCCC"/>
            </w:tcBorders>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vMerge w:val="restart"/>
            <w:shd w:val="clear" w:color="auto" w:fill="E6E6E6"/>
          </w:tcPr>
          <w:p>
            <w:pPr>
              <w:jc w:val="center"/>
              <w:spacing w:after="0"/>
              <w:rPr>
                <w:sz w:val="20"/>
                <w:szCs w:val="20"/>
                <w:color w:val="auto"/>
              </w:rPr>
            </w:pPr>
            <w:r>
              <w:rPr>
                <w:rFonts w:ascii="Arial" w:cs="Arial" w:eastAsia="Arial" w:hAnsi="Arial"/>
                <w:sz w:val="14"/>
                <w:szCs w:val="14"/>
                <w:b w:val="1"/>
                <w:bCs w:val="1"/>
                <w:color w:val="auto"/>
                <w:w w:val="99"/>
              </w:rPr>
              <w:t>88%</w:t>
            </w:r>
          </w:p>
        </w:tc>
        <w:tc>
          <w:tcPr>
            <w:tcW w:w="0" w:type="dxa"/>
            <w:vAlign w:val="bottom"/>
          </w:tcPr>
          <w:p>
            <w:pPr>
              <w:spacing w:after="0"/>
              <w:rPr>
                <w:sz w:val="1"/>
                <w:szCs w:val="1"/>
                <w:color w:val="auto"/>
              </w:rPr>
            </w:pPr>
          </w:p>
        </w:tc>
      </w:tr>
      <w:tr>
        <w:trPr>
          <w:trHeight w:val="77"/>
        </w:trPr>
        <w:tc>
          <w:tcPr>
            <w:tcW w:w="2020" w:type="dxa"/>
            <w:vAlign w:val="bottom"/>
            <w:vMerge w:val="restart"/>
          </w:tcPr>
          <w:p>
            <w:pPr>
              <w:ind w:left="60"/>
              <w:spacing w:after="0"/>
              <w:rPr>
                <w:sz w:val="20"/>
                <w:szCs w:val="20"/>
                <w:color w:val="auto"/>
              </w:rPr>
            </w:pPr>
            <w:r>
              <w:rPr>
                <w:rFonts w:ascii="Arial" w:cs="Arial" w:eastAsia="Arial" w:hAnsi="Arial"/>
                <w:sz w:val="14"/>
                <w:szCs w:val="14"/>
                <w:color w:val="auto"/>
              </w:rPr>
              <w:t>(Weighted 15%)</w:t>
            </w:r>
          </w:p>
        </w:tc>
        <w:tc>
          <w:tcPr>
            <w:tcW w:w="540" w:type="dxa"/>
            <w:vAlign w:val="bottom"/>
            <w:tcBorders>
              <w:bottom w:val="single" w:sz="8" w:color="918F90"/>
            </w:tcBorders>
          </w:tcPr>
          <w:p>
            <w:pPr>
              <w:spacing w:after="0"/>
              <w:rPr>
                <w:sz w:val="6"/>
                <w:szCs w:val="6"/>
                <w:color w:val="auto"/>
              </w:rPr>
            </w:pPr>
          </w:p>
        </w:tc>
        <w:tc>
          <w:tcPr>
            <w:tcW w:w="640" w:type="dxa"/>
            <w:vAlign w:val="bottom"/>
            <w:tcBorders>
              <w:bottom w:val="single" w:sz="8" w:color="918F90"/>
            </w:tcBorders>
          </w:tcPr>
          <w:p>
            <w:pPr>
              <w:spacing w:after="0"/>
              <w:rPr>
                <w:sz w:val="6"/>
                <w:szCs w:val="6"/>
                <w:color w:val="auto"/>
              </w:rPr>
            </w:pPr>
          </w:p>
        </w:tc>
        <w:tc>
          <w:tcPr>
            <w:tcW w:w="1380" w:type="dxa"/>
            <w:vAlign w:val="bottom"/>
            <w:tcBorders>
              <w:bottom w:val="single" w:sz="8" w:color="918F90"/>
            </w:tcBorders>
          </w:tcPr>
          <w:p>
            <w:pPr>
              <w:spacing w:after="0"/>
              <w:rPr>
                <w:sz w:val="6"/>
                <w:szCs w:val="6"/>
                <w:color w:val="auto"/>
              </w:rPr>
            </w:pPr>
          </w:p>
        </w:tc>
        <w:tc>
          <w:tcPr>
            <w:tcW w:w="300" w:type="dxa"/>
            <w:vAlign w:val="bottom"/>
            <w:tcBorders>
              <w:bottom w:val="single" w:sz="8" w:color="918F90"/>
            </w:tcBorders>
          </w:tcPr>
          <w:p>
            <w:pPr>
              <w:spacing w:after="0"/>
              <w:rPr>
                <w:sz w:val="6"/>
                <w:szCs w:val="6"/>
                <w:color w:val="auto"/>
              </w:rPr>
            </w:pPr>
          </w:p>
        </w:tc>
        <w:tc>
          <w:tcPr>
            <w:tcW w:w="40" w:type="dxa"/>
            <w:vAlign w:val="bottom"/>
            <w:tcBorders>
              <w:bottom w:val="single" w:sz="8" w:color="918F90"/>
            </w:tcBorders>
          </w:tcPr>
          <w:p>
            <w:pPr>
              <w:spacing w:after="0"/>
              <w:rPr>
                <w:sz w:val="6"/>
                <w:szCs w:val="6"/>
                <w:color w:val="auto"/>
              </w:rPr>
            </w:pPr>
          </w:p>
        </w:tc>
        <w:tc>
          <w:tcPr>
            <w:tcW w:w="260" w:type="dxa"/>
            <w:vAlign w:val="bottom"/>
            <w:tcBorders>
              <w:left w:val="single" w:sz="8" w:color="CCCCCC"/>
              <w:bottom w:val="single" w:sz="8" w:color="918F90"/>
            </w:tcBorders>
          </w:tcPr>
          <w:p>
            <w:pPr>
              <w:spacing w:after="0"/>
              <w:rPr>
                <w:sz w:val="6"/>
                <w:szCs w:val="6"/>
                <w:color w:val="auto"/>
              </w:rPr>
            </w:pPr>
          </w:p>
        </w:tc>
        <w:tc>
          <w:tcPr>
            <w:tcW w:w="1000" w:type="dxa"/>
            <w:vAlign w:val="bottom"/>
            <w:tcBorders>
              <w:bottom w:val="single" w:sz="8" w:color="918F90"/>
            </w:tcBorders>
          </w:tcPr>
          <w:p>
            <w:pPr>
              <w:spacing w:after="0"/>
              <w:rPr>
                <w:sz w:val="6"/>
                <w:szCs w:val="6"/>
                <w:color w:val="auto"/>
              </w:rPr>
            </w:pPr>
          </w:p>
        </w:tc>
        <w:tc>
          <w:tcPr>
            <w:tcW w:w="1080" w:type="dxa"/>
            <w:vAlign w:val="bottom"/>
            <w:tcBorders>
              <w:bottom w:val="single" w:sz="8" w:color="918F90"/>
            </w:tcBorders>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tcBorders>
              <w:bottom w:val="single" w:sz="8" w:color="E6E6E6"/>
            </w:tcBorders>
            <w:vMerge w:val="continue"/>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2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color w:val="auto"/>
              </w:rPr>
              <w:t>(6.9)%</w:t>
            </w:r>
          </w:p>
        </w:tc>
        <w:tc>
          <w:tcPr>
            <w:tcW w:w="640" w:type="dxa"/>
            <w:vAlign w:val="bottom"/>
          </w:tcPr>
          <w:p>
            <w:pPr>
              <w:spacing w:after="0"/>
              <w:rPr>
                <w:sz w:val="8"/>
                <w:szCs w:val="8"/>
                <w:color w:val="auto"/>
              </w:rPr>
            </w:pPr>
          </w:p>
        </w:tc>
        <w:tc>
          <w:tcPr>
            <w:tcW w:w="1380" w:type="dxa"/>
            <w:vAlign w:val="bottom"/>
            <w:vMerge w:val="restart"/>
          </w:tcPr>
          <w:p>
            <w:pPr>
              <w:jc w:val="center"/>
              <w:ind w:left="48"/>
              <w:spacing w:after="0"/>
              <w:rPr>
                <w:sz w:val="20"/>
                <w:szCs w:val="20"/>
                <w:color w:val="auto"/>
              </w:rPr>
            </w:pPr>
            <w:r>
              <w:rPr>
                <w:rFonts w:ascii="Arial" w:cs="Arial" w:eastAsia="Arial" w:hAnsi="Arial"/>
                <w:sz w:val="14"/>
                <w:szCs w:val="14"/>
                <w:color w:val="auto"/>
              </w:rPr>
              <w:t>(5.4)%</w:t>
            </w: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jc w:val="center"/>
              <w:ind w:right="348"/>
              <w:spacing w:after="0"/>
              <w:rPr>
                <w:sz w:val="20"/>
                <w:szCs w:val="20"/>
                <w:color w:val="auto"/>
              </w:rPr>
            </w:pPr>
            <w:r>
              <w:rPr>
                <w:rFonts w:ascii="Arial" w:cs="Arial" w:eastAsia="Arial" w:hAnsi="Arial"/>
                <w:sz w:val="14"/>
                <w:szCs w:val="14"/>
                <w:color w:val="auto"/>
              </w:rPr>
              <w:t>(1.6)%</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8"/>
                <w:szCs w:val="8"/>
                <w:color w:val="auto"/>
              </w:rPr>
            </w:pPr>
          </w:p>
        </w:tc>
        <w:tc>
          <w:tcPr>
            <w:tcW w:w="1580" w:type="dxa"/>
            <w:vAlign w:val="bottom"/>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8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shd w:val="clear" w:color="auto" w:fill="E6E6E6"/>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20" w:type="dxa"/>
            <w:vAlign w:val="bottom"/>
          </w:tcPr>
          <w:p>
            <w:pPr>
              <w:ind w:left="60"/>
              <w:spacing w:after="0"/>
              <w:rPr>
                <w:sz w:val="20"/>
                <w:szCs w:val="20"/>
                <w:color w:val="auto"/>
              </w:rPr>
            </w:pPr>
            <w:r>
              <w:rPr>
                <w:rFonts w:ascii="Arial" w:cs="Arial" w:eastAsia="Arial" w:hAnsi="Arial"/>
                <w:sz w:val="14"/>
                <w:szCs w:val="14"/>
                <w:color w:val="auto"/>
              </w:rPr>
              <w:t>Organic Net</w:t>
            </w: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80" w:type="dxa"/>
            <w:vAlign w:val="bottom"/>
            <w:tcBorders>
              <w:right w:val="single" w:sz="8" w:color="CCCCCC"/>
            </w:tcBorders>
          </w:tcPr>
          <w:p>
            <w:pPr>
              <w:ind w:left="520"/>
              <w:spacing w:after="0"/>
              <w:rPr>
                <w:sz w:val="20"/>
                <w:szCs w:val="20"/>
                <w:color w:val="auto"/>
              </w:rPr>
            </w:pPr>
            <w:r>
              <w:rPr>
                <w:rFonts w:ascii="Arial" w:cs="Arial" w:eastAsia="Arial" w:hAnsi="Arial"/>
                <w:sz w:val="14"/>
                <w:szCs w:val="14"/>
                <w:b w:val="1"/>
                <w:bCs w:val="1"/>
                <w:color w:val="auto"/>
              </w:rPr>
              <w:t>Actual 4.3%</w:t>
            </w: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020" w:type="dxa"/>
            <w:vAlign w:val="bottom"/>
          </w:tcPr>
          <w:p>
            <w:pPr>
              <w:ind w:left="60"/>
              <w:spacing w:after="0" w:line="158" w:lineRule="exact"/>
              <w:rPr>
                <w:sz w:val="20"/>
                <w:szCs w:val="20"/>
                <w:color w:val="auto"/>
              </w:rPr>
            </w:pPr>
            <w:r>
              <w:rPr>
                <w:rFonts w:ascii="Arial" w:cs="Arial" w:eastAsia="Arial" w:hAnsi="Arial"/>
                <w:sz w:val="14"/>
                <w:szCs w:val="14"/>
                <w:color w:val="auto"/>
              </w:rPr>
              <w:t>Revenue Growth</w:t>
            </w:r>
          </w:p>
        </w:tc>
        <w:tc>
          <w:tcPr>
            <w:tcW w:w="540" w:type="dxa"/>
            <w:vAlign w:val="bottom"/>
            <w:tcBorders>
              <w:bottom w:val="single" w:sz="8" w:color="918F90"/>
            </w:tcBorders>
          </w:tcPr>
          <w:p>
            <w:pPr>
              <w:spacing w:after="0"/>
              <w:rPr>
                <w:sz w:val="13"/>
                <w:szCs w:val="13"/>
                <w:color w:val="auto"/>
              </w:rPr>
            </w:pPr>
          </w:p>
        </w:tc>
        <w:tc>
          <w:tcPr>
            <w:tcW w:w="640" w:type="dxa"/>
            <w:vAlign w:val="bottom"/>
            <w:tcBorders>
              <w:bottom w:val="single" w:sz="8" w:color="918F90"/>
            </w:tcBorders>
          </w:tcPr>
          <w:p>
            <w:pPr>
              <w:spacing w:after="0"/>
              <w:rPr>
                <w:sz w:val="13"/>
                <w:szCs w:val="13"/>
                <w:color w:val="auto"/>
              </w:rPr>
            </w:pPr>
          </w:p>
        </w:tc>
        <w:tc>
          <w:tcPr>
            <w:tcW w:w="1380" w:type="dxa"/>
            <w:vAlign w:val="bottom"/>
            <w:tcBorders>
              <w:bottom w:val="single" w:sz="8" w:color="918F90"/>
              <w:right w:val="single" w:sz="8" w:color="CCCCCC"/>
            </w:tcBorders>
          </w:tcPr>
          <w:p>
            <w:pPr>
              <w:spacing w:after="0"/>
              <w:rPr>
                <w:sz w:val="13"/>
                <w:szCs w:val="13"/>
                <w:color w:val="auto"/>
              </w:rPr>
            </w:pPr>
          </w:p>
        </w:tc>
        <w:tc>
          <w:tcPr>
            <w:tcW w:w="300" w:type="dxa"/>
            <w:vAlign w:val="bottom"/>
            <w:tcBorders>
              <w:bottom w:val="single" w:sz="8" w:color="918F90"/>
            </w:tcBorders>
          </w:tcPr>
          <w:p>
            <w:pPr>
              <w:spacing w:after="0"/>
              <w:rPr>
                <w:sz w:val="13"/>
                <w:szCs w:val="13"/>
                <w:color w:val="auto"/>
              </w:rPr>
            </w:pPr>
          </w:p>
        </w:tc>
        <w:tc>
          <w:tcPr>
            <w:tcW w:w="40" w:type="dxa"/>
            <w:vAlign w:val="bottom"/>
            <w:tcBorders>
              <w:bottom w:val="single" w:sz="8" w:color="918F90"/>
            </w:tcBorders>
          </w:tcPr>
          <w:p>
            <w:pPr>
              <w:spacing w:after="0"/>
              <w:rPr>
                <w:sz w:val="13"/>
                <w:szCs w:val="13"/>
                <w:color w:val="auto"/>
              </w:rPr>
            </w:pPr>
          </w:p>
        </w:tc>
        <w:tc>
          <w:tcPr>
            <w:tcW w:w="260" w:type="dxa"/>
            <w:vAlign w:val="bottom"/>
            <w:tcBorders>
              <w:bottom w:val="single" w:sz="8" w:color="918F90"/>
            </w:tcBorders>
          </w:tcPr>
          <w:p>
            <w:pPr>
              <w:spacing w:after="0"/>
              <w:rPr>
                <w:sz w:val="13"/>
                <w:szCs w:val="13"/>
                <w:color w:val="auto"/>
              </w:rPr>
            </w:pPr>
          </w:p>
        </w:tc>
        <w:tc>
          <w:tcPr>
            <w:tcW w:w="1000" w:type="dxa"/>
            <w:vAlign w:val="bottom"/>
            <w:tcBorders>
              <w:bottom w:val="single" w:sz="8" w:color="918F90"/>
            </w:tcBorders>
          </w:tcPr>
          <w:p>
            <w:pPr>
              <w:spacing w:after="0"/>
              <w:rPr>
                <w:sz w:val="13"/>
                <w:szCs w:val="13"/>
                <w:color w:val="auto"/>
              </w:rPr>
            </w:pPr>
          </w:p>
        </w:tc>
        <w:tc>
          <w:tcPr>
            <w:tcW w:w="1080" w:type="dxa"/>
            <w:vAlign w:val="bottom"/>
            <w:tcBorders>
              <w:bottom w:val="single" w:sz="8" w:color="918F90"/>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bottom w:val="single" w:sz="8" w:color="E6E6E6"/>
            </w:tcBorders>
            <w:shd w:val="clear" w:color="auto" w:fill="E6E6E6"/>
          </w:tcPr>
          <w:p>
            <w:pPr>
              <w:jc w:val="center"/>
              <w:spacing w:after="0" w:line="158" w:lineRule="exact"/>
              <w:rPr>
                <w:sz w:val="20"/>
                <w:szCs w:val="20"/>
                <w:color w:val="auto"/>
              </w:rPr>
            </w:pPr>
            <w:r>
              <w:rPr>
                <w:rFonts w:ascii="Arial" w:cs="Arial" w:eastAsia="Arial" w:hAnsi="Arial"/>
                <w:sz w:val="14"/>
                <w:szCs w:val="14"/>
                <w:b w:val="1"/>
                <w:bCs w:val="1"/>
                <w:color w:val="auto"/>
                <w:w w:val="99"/>
              </w:rPr>
              <w:t>77%</w:t>
            </w:r>
          </w:p>
        </w:tc>
        <w:tc>
          <w:tcPr>
            <w:tcW w:w="0" w:type="dxa"/>
            <w:vAlign w:val="bottom"/>
          </w:tcPr>
          <w:p>
            <w:pPr>
              <w:spacing w:after="0"/>
              <w:rPr>
                <w:sz w:val="1"/>
                <w:szCs w:val="1"/>
                <w:color w:val="auto"/>
              </w:rPr>
            </w:pPr>
          </w:p>
        </w:tc>
      </w:tr>
      <w:tr>
        <w:trPr>
          <w:trHeight w:val="188"/>
        </w:trPr>
        <w:tc>
          <w:tcPr>
            <w:tcW w:w="2020" w:type="dxa"/>
            <w:vAlign w:val="bottom"/>
          </w:tcPr>
          <w:p>
            <w:pPr>
              <w:ind w:left="60"/>
              <w:spacing w:after="0"/>
              <w:rPr>
                <w:sz w:val="20"/>
                <w:szCs w:val="20"/>
                <w:color w:val="auto"/>
              </w:rPr>
            </w:pPr>
            <w:r>
              <w:rPr>
                <w:rFonts w:ascii="Arial" w:cs="Arial" w:eastAsia="Arial" w:hAnsi="Arial"/>
                <w:sz w:val="14"/>
                <w:szCs w:val="14"/>
                <w:color w:val="auto"/>
              </w:rPr>
              <w:t>(Weighted 15%)</w:t>
            </w:r>
          </w:p>
        </w:tc>
        <w:tc>
          <w:tcPr>
            <w:tcW w:w="540" w:type="dxa"/>
            <w:vAlign w:val="bottom"/>
            <w:vMerge w:val="restart"/>
          </w:tcPr>
          <w:p>
            <w:pPr>
              <w:ind w:left="60"/>
              <w:spacing w:after="0"/>
              <w:rPr>
                <w:sz w:val="20"/>
                <w:szCs w:val="20"/>
                <w:color w:val="auto"/>
              </w:rPr>
            </w:pPr>
            <w:r>
              <w:rPr>
                <w:rFonts w:ascii="Arial" w:cs="Arial" w:eastAsia="Arial" w:hAnsi="Arial"/>
                <w:sz w:val="14"/>
                <w:szCs w:val="14"/>
                <w:color w:val="auto"/>
              </w:rPr>
              <w:t>1.8%</w:t>
            </w:r>
          </w:p>
        </w:tc>
        <w:tc>
          <w:tcPr>
            <w:tcW w:w="640" w:type="dxa"/>
            <w:vAlign w:val="bottom"/>
          </w:tcPr>
          <w:p>
            <w:pPr>
              <w:spacing w:after="0"/>
              <w:rPr>
                <w:sz w:val="16"/>
                <w:szCs w:val="16"/>
                <w:color w:val="auto"/>
              </w:rPr>
            </w:pPr>
          </w:p>
        </w:tc>
        <w:tc>
          <w:tcPr>
            <w:tcW w:w="1380" w:type="dxa"/>
            <w:vAlign w:val="bottom"/>
            <w:vMerge w:val="restart"/>
          </w:tcPr>
          <w:p>
            <w:pPr>
              <w:jc w:val="center"/>
              <w:ind w:left="48"/>
              <w:spacing w:after="0"/>
              <w:rPr>
                <w:sz w:val="20"/>
                <w:szCs w:val="20"/>
                <w:color w:val="auto"/>
              </w:rPr>
            </w:pPr>
            <w:r>
              <w:rPr>
                <w:rFonts w:ascii="Arial" w:cs="Arial" w:eastAsia="Arial" w:hAnsi="Arial"/>
                <w:sz w:val="14"/>
                <w:szCs w:val="14"/>
                <w:color w:val="auto"/>
              </w:rPr>
              <w:t>3.3%</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gridSpan w:val="2"/>
            <w:vMerge w:val="restart"/>
          </w:tcPr>
          <w:p>
            <w:pPr>
              <w:jc w:val="center"/>
              <w:ind w:right="348"/>
              <w:spacing w:after="0"/>
              <w:rPr>
                <w:sz w:val="20"/>
                <w:szCs w:val="20"/>
                <w:color w:val="auto"/>
              </w:rPr>
            </w:pPr>
            <w:r>
              <w:rPr>
                <w:rFonts w:ascii="Arial" w:cs="Arial" w:eastAsia="Arial" w:hAnsi="Arial"/>
                <w:sz w:val="14"/>
                <w:szCs w:val="14"/>
                <w:color w:val="auto"/>
              </w:rPr>
              <w:t>7.0%</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15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72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shd w:val="clear" w:color="auto" w:fill="E6E6E6"/>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20" w:type="dxa"/>
            <w:vAlign w:val="bottom"/>
          </w:tcPr>
          <w:p>
            <w:pPr>
              <w:ind w:left="60"/>
              <w:spacing w:after="0"/>
              <w:rPr>
                <w:sz w:val="20"/>
                <w:szCs w:val="20"/>
                <w:color w:val="auto"/>
              </w:rPr>
            </w:pPr>
            <w:r>
              <w:rPr>
                <w:rFonts w:ascii="Arial" w:cs="Arial" w:eastAsia="Arial" w:hAnsi="Arial"/>
                <w:sz w:val="14"/>
                <w:szCs w:val="14"/>
                <w:color w:val="auto"/>
              </w:rPr>
              <w:t>Adjusted Gross</w:t>
            </w: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80" w:type="dxa"/>
            <w:vAlign w:val="bottom"/>
            <w:tcBorders>
              <w:right w:val="single" w:sz="8" w:color="CCCCCC"/>
            </w:tcBorders>
            <w:gridSpan w:val="2"/>
          </w:tcPr>
          <w:p>
            <w:pPr>
              <w:ind w:left="640"/>
              <w:spacing w:after="0"/>
              <w:rPr>
                <w:sz w:val="20"/>
                <w:szCs w:val="20"/>
                <w:color w:val="auto"/>
              </w:rPr>
            </w:pPr>
            <w:r>
              <w:rPr>
                <w:rFonts w:ascii="Arial" w:cs="Arial" w:eastAsia="Arial" w:hAnsi="Arial"/>
                <w:sz w:val="14"/>
                <w:szCs w:val="14"/>
                <w:b w:val="1"/>
                <w:bCs w:val="1"/>
                <w:color w:val="auto"/>
              </w:rPr>
              <w:t>Actual (11.4)%</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020" w:type="dxa"/>
            <w:vAlign w:val="bottom"/>
          </w:tcPr>
          <w:p>
            <w:pPr>
              <w:ind w:left="60"/>
              <w:spacing w:after="0" w:line="158" w:lineRule="exact"/>
              <w:rPr>
                <w:sz w:val="20"/>
                <w:szCs w:val="20"/>
                <w:color w:val="auto"/>
              </w:rPr>
            </w:pPr>
            <w:r>
              <w:rPr>
                <w:rFonts w:ascii="Arial" w:cs="Arial" w:eastAsia="Arial" w:hAnsi="Arial"/>
                <w:sz w:val="14"/>
                <w:szCs w:val="14"/>
                <w:color w:val="auto"/>
              </w:rPr>
              <w:t>Profit Growth</w:t>
            </w:r>
          </w:p>
        </w:tc>
        <w:tc>
          <w:tcPr>
            <w:tcW w:w="540" w:type="dxa"/>
            <w:vAlign w:val="bottom"/>
            <w:tcBorders>
              <w:bottom w:val="single" w:sz="8" w:color="918F90"/>
            </w:tcBorders>
          </w:tcPr>
          <w:p>
            <w:pPr>
              <w:spacing w:after="0"/>
              <w:rPr>
                <w:sz w:val="13"/>
                <w:szCs w:val="13"/>
                <w:color w:val="auto"/>
              </w:rPr>
            </w:pPr>
          </w:p>
        </w:tc>
        <w:tc>
          <w:tcPr>
            <w:tcW w:w="640" w:type="dxa"/>
            <w:vAlign w:val="bottom"/>
            <w:tcBorders>
              <w:bottom w:val="single" w:sz="8" w:color="918F90"/>
            </w:tcBorders>
          </w:tcPr>
          <w:p>
            <w:pPr>
              <w:spacing w:after="0"/>
              <w:rPr>
                <w:sz w:val="13"/>
                <w:szCs w:val="13"/>
                <w:color w:val="auto"/>
              </w:rPr>
            </w:pPr>
          </w:p>
        </w:tc>
        <w:tc>
          <w:tcPr>
            <w:tcW w:w="1380" w:type="dxa"/>
            <w:vAlign w:val="bottom"/>
            <w:tcBorders>
              <w:bottom w:val="single" w:sz="8" w:color="918F90"/>
            </w:tcBorders>
          </w:tcPr>
          <w:p>
            <w:pPr>
              <w:spacing w:after="0"/>
              <w:rPr>
                <w:sz w:val="13"/>
                <w:szCs w:val="13"/>
                <w:color w:val="auto"/>
              </w:rPr>
            </w:pPr>
          </w:p>
        </w:tc>
        <w:tc>
          <w:tcPr>
            <w:tcW w:w="300" w:type="dxa"/>
            <w:vAlign w:val="bottom"/>
            <w:tcBorders>
              <w:bottom w:val="single" w:sz="8" w:color="918F90"/>
              <w:right w:val="single" w:sz="8" w:color="CCCCCC"/>
            </w:tcBorders>
          </w:tcPr>
          <w:p>
            <w:pPr>
              <w:spacing w:after="0"/>
              <w:rPr>
                <w:sz w:val="13"/>
                <w:szCs w:val="13"/>
                <w:color w:val="auto"/>
              </w:rPr>
            </w:pPr>
          </w:p>
        </w:tc>
        <w:tc>
          <w:tcPr>
            <w:tcW w:w="40" w:type="dxa"/>
            <w:vAlign w:val="bottom"/>
            <w:tcBorders>
              <w:bottom w:val="single" w:sz="8" w:color="918F90"/>
            </w:tcBorders>
          </w:tcPr>
          <w:p>
            <w:pPr>
              <w:spacing w:after="0"/>
              <w:rPr>
                <w:sz w:val="13"/>
                <w:szCs w:val="13"/>
                <w:color w:val="auto"/>
              </w:rPr>
            </w:pPr>
          </w:p>
        </w:tc>
        <w:tc>
          <w:tcPr>
            <w:tcW w:w="260" w:type="dxa"/>
            <w:vAlign w:val="bottom"/>
            <w:tcBorders>
              <w:bottom w:val="single" w:sz="8" w:color="918F90"/>
            </w:tcBorders>
          </w:tcPr>
          <w:p>
            <w:pPr>
              <w:spacing w:after="0"/>
              <w:rPr>
                <w:sz w:val="13"/>
                <w:szCs w:val="13"/>
                <w:color w:val="auto"/>
              </w:rPr>
            </w:pPr>
          </w:p>
        </w:tc>
        <w:tc>
          <w:tcPr>
            <w:tcW w:w="1000" w:type="dxa"/>
            <w:vAlign w:val="bottom"/>
            <w:tcBorders>
              <w:bottom w:val="single" w:sz="8" w:color="918F90"/>
            </w:tcBorders>
          </w:tcPr>
          <w:p>
            <w:pPr>
              <w:spacing w:after="0"/>
              <w:rPr>
                <w:sz w:val="13"/>
                <w:szCs w:val="13"/>
                <w:color w:val="auto"/>
              </w:rPr>
            </w:pPr>
          </w:p>
        </w:tc>
        <w:tc>
          <w:tcPr>
            <w:tcW w:w="1080" w:type="dxa"/>
            <w:vAlign w:val="bottom"/>
            <w:tcBorders>
              <w:bottom w:val="single" w:sz="8" w:color="918F90"/>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bottom w:val="single" w:sz="8" w:color="E6E6E6"/>
            </w:tcBorders>
            <w:shd w:val="clear" w:color="auto" w:fill="E6E6E6"/>
          </w:tcPr>
          <w:p>
            <w:pPr>
              <w:jc w:val="center"/>
              <w:spacing w:after="0" w:line="158" w:lineRule="exact"/>
              <w:rPr>
                <w:sz w:val="20"/>
                <w:szCs w:val="20"/>
                <w:color w:val="auto"/>
              </w:rPr>
            </w:pPr>
            <w:r>
              <w:rPr>
                <w:rFonts w:ascii="Arial" w:cs="Arial" w:eastAsia="Arial" w:hAnsi="Arial"/>
                <w:sz w:val="14"/>
                <w:szCs w:val="14"/>
                <w:b w:val="1"/>
                <w:bCs w:val="1"/>
                <w:color w:val="auto"/>
                <w:w w:val="99"/>
              </w:rPr>
              <w:t>86%</w:t>
            </w:r>
          </w:p>
        </w:tc>
        <w:tc>
          <w:tcPr>
            <w:tcW w:w="0" w:type="dxa"/>
            <w:vAlign w:val="bottom"/>
          </w:tcPr>
          <w:p>
            <w:pPr>
              <w:spacing w:after="0"/>
              <w:rPr>
                <w:sz w:val="1"/>
                <w:szCs w:val="1"/>
                <w:color w:val="auto"/>
              </w:rPr>
            </w:pPr>
          </w:p>
        </w:tc>
      </w:tr>
      <w:tr>
        <w:trPr>
          <w:trHeight w:val="188"/>
        </w:trPr>
        <w:tc>
          <w:tcPr>
            <w:tcW w:w="2020" w:type="dxa"/>
            <w:vAlign w:val="bottom"/>
          </w:tcPr>
          <w:p>
            <w:pPr>
              <w:ind w:left="60"/>
              <w:spacing w:after="0"/>
              <w:rPr>
                <w:sz w:val="20"/>
                <w:szCs w:val="20"/>
                <w:color w:val="auto"/>
              </w:rPr>
            </w:pPr>
            <w:r>
              <w:rPr>
                <w:rFonts w:ascii="Arial" w:cs="Arial" w:eastAsia="Arial" w:hAnsi="Arial"/>
                <w:sz w:val="14"/>
                <w:szCs w:val="14"/>
                <w:color w:val="auto"/>
              </w:rPr>
              <w:t>(Weighted 35%)</w:t>
            </w: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color w:val="auto"/>
              </w:rPr>
              <w:t>(17.5)%</w:t>
            </w:r>
          </w:p>
        </w:tc>
        <w:tc>
          <w:tcPr>
            <w:tcW w:w="1380" w:type="dxa"/>
            <w:vAlign w:val="bottom"/>
            <w:vMerge w:val="restart"/>
          </w:tcPr>
          <w:p>
            <w:pPr>
              <w:jc w:val="center"/>
              <w:ind w:left="48"/>
              <w:spacing w:after="0"/>
              <w:rPr>
                <w:sz w:val="20"/>
                <w:szCs w:val="20"/>
                <w:color w:val="auto"/>
              </w:rPr>
            </w:pPr>
            <w:r>
              <w:rPr>
                <w:rFonts w:ascii="Arial" w:cs="Arial" w:eastAsia="Arial" w:hAnsi="Arial"/>
                <w:sz w:val="14"/>
                <w:szCs w:val="14"/>
                <w:color w:val="auto"/>
              </w:rPr>
              <w:t>(15.0)%</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gridSpan w:val="2"/>
            <w:vMerge w:val="restart"/>
          </w:tcPr>
          <w:p>
            <w:pPr>
              <w:jc w:val="center"/>
              <w:ind w:right="348"/>
              <w:spacing w:after="0"/>
              <w:rPr>
                <w:sz w:val="20"/>
                <w:szCs w:val="20"/>
                <w:color w:val="auto"/>
              </w:rPr>
            </w:pPr>
            <w:r>
              <w:rPr>
                <w:rFonts w:ascii="Arial" w:cs="Arial" w:eastAsia="Arial" w:hAnsi="Arial"/>
                <w:sz w:val="14"/>
                <w:szCs w:val="14"/>
                <w:color w:val="auto"/>
              </w:rPr>
              <w:t>(8.7)%</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6"/>
                <w:szCs w:val="16"/>
                <w:color w:val="auto"/>
              </w:rPr>
            </w:pPr>
          </w:p>
        </w:tc>
        <w:tc>
          <w:tcPr>
            <w:tcW w:w="15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980" w:type="dxa"/>
            <w:vAlign w:val="bottom"/>
            <w:gridSpan w:val="5"/>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shd w:val="clear" w:color="auto" w:fill="E6E6E6"/>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20" w:type="dxa"/>
            <w:vAlign w:val="bottom"/>
          </w:tcPr>
          <w:p>
            <w:pPr>
              <w:ind w:left="60"/>
              <w:spacing w:after="0"/>
              <w:rPr>
                <w:sz w:val="20"/>
                <w:szCs w:val="20"/>
                <w:color w:val="auto"/>
              </w:rPr>
            </w:pPr>
            <w:r>
              <w:rPr>
                <w:rFonts w:ascii="Arial" w:cs="Arial" w:eastAsia="Arial" w:hAnsi="Arial"/>
                <w:sz w:val="14"/>
                <w:szCs w:val="14"/>
                <w:color w:val="auto"/>
              </w:rPr>
              <w:t>Adjusted Operating</w:t>
            </w: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980" w:type="dxa"/>
            <w:vAlign w:val="bottom"/>
            <w:tcBorders>
              <w:right w:val="single" w:sz="8" w:color="CCCCCC"/>
            </w:tcBorders>
            <w:gridSpan w:val="4"/>
          </w:tcPr>
          <w:p>
            <w:pPr>
              <w:ind w:left="940"/>
              <w:spacing w:after="0"/>
              <w:rPr>
                <w:sz w:val="20"/>
                <w:szCs w:val="20"/>
                <w:color w:val="auto"/>
              </w:rPr>
            </w:pPr>
            <w:r>
              <w:rPr>
                <w:rFonts w:ascii="Arial" w:cs="Arial" w:eastAsia="Arial" w:hAnsi="Arial"/>
                <w:sz w:val="14"/>
                <w:szCs w:val="14"/>
                <w:b w:val="1"/>
                <w:bCs w:val="1"/>
                <w:color w:val="auto"/>
              </w:rPr>
              <w:t>Actual (15.5)%</w:t>
            </w:r>
          </w:p>
        </w:tc>
        <w:tc>
          <w:tcPr>
            <w:tcW w:w="10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020" w:type="dxa"/>
            <w:vAlign w:val="bottom"/>
          </w:tcPr>
          <w:p>
            <w:pPr>
              <w:ind w:left="60"/>
              <w:spacing w:after="0" w:line="158" w:lineRule="exact"/>
              <w:rPr>
                <w:sz w:val="20"/>
                <w:szCs w:val="20"/>
                <w:color w:val="auto"/>
              </w:rPr>
            </w:pPr>
            <w:r>
              <w:rPr>
                <w:rFonts w:ascii="Arial" w:cs="Arial" w:eastAsia="Arial" w:hAnsi="Arial"/>
                <w:sz w:val="14"/>
                <w:szCs w:val="14"/>
                <w:color w:val="auto"/>
              </w:rPr>
              <w:t>Income Growth</w:t>
            </w:r>
          </w:p>
        </w:tc>
        <w:tc>
          <w:tcPr>
            <w:tcW w:w="540" w:type="dxa"/>
            <w:vAlign w:val="bottom"/>
            <w:tcBorders>
              <w:bottom w:val="single" w:sz="8" w:color="918F90"/>
            </w:tcBorders>
          </w:tcPr>
          <w:p>
            <w:pPr>
              <w:spacing w:after="0"/>
              <w:rPr>
                <w:sz w:val="13"/>
                <w:szCs w:val="13"/>
                <w:color w:val="auto"/>
              </w:rPr>
            </w:pPr>
          </w:p>
        </w:tc>
        <w:tc>
          <w:tcPr>
            <w:tcW w:w="640" w:type="dxa"/>
            <w:vAlign w:val="bottom"/>
            <w:tcBorders>
              <w:bottom w:val="single" w:sz="8" w:color="918F90"/>
            </w:tcBorders>
          </w:tcPr>
          <w:p>
            <w:pPr>
              <w:spacing w:after="0"/>
              <w:rPr>
                <w:sz w:val="13"/>
                <w:szCs w:val="13"/>
                <w:color w:val="auto"/>
              </w:rPr>
            </w:pPr>
          </w:p>
        </w:tc>
        <w:tc>
          <w:tcPr>
            <w:tcW w:w="1380" w:type="dxa"/>
            <w:vAlign w:val="bottom"/>
            <w:tcBorders>
              <w:bottom w:val="single" w:sz="8" w:color="918F90"/>
            </w:tcBorders>
          </w:tcPr>
          <w:p>
            <w:pPr>
              <w:spacing w:after="0"/>
              <w:rPr>
                <w:sz w:val="13"/>
                <w:szCs w:val="13"/>
                <w:color w:val="auto"/>
              </w:rPr>
            </w:pPr>
          </w:p>
        </w:tc>
        <w:tc>
          <w:tcPr>
            <w:tcW w:w="300" w:type="dxa"/>
            <w:vAlign w:val="bottom"/>
            <w:tcBorders>
              <w:bottom w:val="single" w:sz="8" w:color="918F90"/>
            </w:tcBorders>
          </w:tcPr>
          <w:p>
            <w:pPr>
              <w:spacing w:after="0"/>
              <w:rPr>
                <w:sz w:val="13"/>
                <w:szCs w:val="13"/>
                <w:color w:val="auto"/>
              </w:rPr>
            </w:pPr>
          </w:p>
        </w:tc>
        <w:tc>
          <w:tcPr>
            <w:tcW w:w="40" w:type="dxa"/>
            <w:vAlign w:val="bottom"/>
            <w:tcBorders>
              <w:bottom w:val="single" w:sz="8" w:color="918F90"/>
            </w:tcBorders>
          </w:tcPr>
          <w:p>
            <w:pPr>
              <w:spacing w:after="0"/>
              <w:rPr>
                <w:sz w:val="13"/>
                <w:szCs w:val="13"/>
                <w:color w:val="auto"/>
              </w:rPr>
            </w:pPr>
          </w:p>
        </w:tc>
        <w:tc>
          <w:tcPr>
            <w:tcW w:w="260" w:type="dxa"/>
            <w:vAlign w:val="bottom"/>
            <w:tcBorders>
              <w:bottom w:val="single" w:sz="8" w:color="918F90"/>
              <w:right w:val="single" w:sz="8" w:color="CCCCCC"/>
            </w:tcBorders>
          </w:tcPr>
          <w:p>
            <w:pPr>
              <w:spacing w:after="0"/>
              <w:rPr>
                <w:sz w:val="13"/>
                <w:szCs w:val="13"/>
                <w:color w:val="auto"/>
              </w:rPr>
            </w:pPr>
          </w:p>
        </w:tc>
        <w:tc>
          <w:tcPr>
            <w:tcW w:w="1000" w:type="dxa"/>
            <w:vAlign w:val="bottom"/>
            <w:tcBorders>
              <w:bottom w:val="single" w:sz="8" w:color="918F90"/>
            </w:tcBorders>
          </w:tcPr>
          <w:p>
            <w:pPr>
              <w:spacing w:after="0"/>
              <w:rPr>
                <w:sz w:val="13"/>
                <w:szCs w:val="13"/>
                <w:color w:val="auto"/>
              </w:rPr>
            </w:pPr>
          </w:p>
        </w:tc>
        <w:tc>
          <w:tcPr>
            <w:tcW w:w="1080" w:type="dxa"/>
            <w:vAlign w:val="bottom"/>
            <w:tcBorders>
              <w:bottom w:val="single" w:sz="8" w:color="918F90"/>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bottom w:val="single" w:sz="8" w:color="E6E6E6"/>
            </w:tcBorders>
            <w:shd w:val="clear" w:color="auto" w:fill="E6E6E6"/>
          </w:tcPr>
          <w:p>
            <w:pPr>
              <w:jc w:val="center"/>
              <w:spacing w:after="0" w:line="158" w:lineRule="exact"/>
              <w:rPr>
                <w:sz w:val="20"/>
                <w:szCs w:val="20"/>
                <w:color w:val="auto"/>
              </w:rPr>
            </w:pPr>
            <w:r>
              <w:rPr>
                <w:rFonts w:ascii="Arial" w:cs="Arial" w:eastAsia="Arial" w:hAnsi="Arial"/>
                <w:sz w:val="14"/>
                <w:szCs w:val="14"/>
                <w:b w:val="1"/>
                <w:bCs w:val="1"/>
                <w:color w:val="auto"/>
                <w:w w:val="99"/>
              </w:rPr>
              <w:t>95%</w:t>
            </w:r>
          </w:p>
        </w:tc>
        <w:tc>
          <w:tcPr>
            <w:tcW w:w="0" w:type="dxa"/>
            <w:vAlign w:val="bottom"/>
          </w:tcPr>
          <w:p>
            <w:pPr>
              <w:spacing w:after="0"/>
              <w:rPr>
                <w:sz w:val="1"/>
                <w:szCs w:val="1"/>
                <w:color w:val="auto"/>
              </w:rPr>
            </w:pPr>
          </w:p>
        </w:tc>
      </w:tr>
      <w:tr>
        <w:trPr>
          <w:trHeight w:val="188"/>
        </w:trPr>
        <w:tc>
          <w:tcPr>
            <w:tcW w:w="2020" w:type="dxa"/>
            <w:vAlign w:val="bottom"/>
          </w:tcPr>
          <w:p>
            <w:pPr>
              <w:ind w:left="60"/>
              <w:spacing w:after="0"/>
              <w:rPr>
                <w:sz w:val="20"/>
                <w:szCs w:val="20"/>
                <w:color w:val="auto"/>
              </w:rPr>
            </w:pPr>
            <w:r>
              <w:rPr>
                <w:rFonts w:ascii="Arial" w:cs="Arial" w:eastAsia="Arial" w:hAnsi="Arial"/>
                <w:sz w:val="14"/>
                <w:szCs w:val="14"/>
                <w:color w:val="auto"/>
              </w:rPr>
              <w:t>(Weighted 15%)</w:t>
            </w: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color w:val="auto"/>
              </w:rPr>
              <w:t>(24.8)%</w:t>
            </w:r>
          </w:p>
        </w:tc>
        <w:tc>
          <w:tcPr>
            <w:tcW w:w="1380" w:type="dxa"/>
            <w:vAlign w:val="bottom"/>
            <w:vMerge w:val="restart"/>
          </w:tcPr>
          <w:p>
            <w:pPr>
              <w:jc w:val="center"/>
              <w:ind w:left="48"/>
              <w:spacing w:after="0"/>
              <w:rPr>
                <w:sz w:val="20"/>
                <w:szCs w:val="20"/>
                <w:color w:val="auto"/>
              </w:rPr>
            </w:pPr>
            <w:r>
              <w:rPr>
                <w:rFonts w:ascii="Arial" w:cs="Arial" w:eastAsia="Arial" w:hAnsi="Arial"/>
                <w:sz w:val="14"/>
                <w:szCs w:val="14"/>
                <w:color w:val="auto"/>
              </w:rPr>
              <w:t>(21.8)%</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gridSpan w:val="2"/>
            <w:vMerge w:val="restart"/>
          </w:tcPr>
          <w:p>
            <w:pPr>
              <w:jc w:val="center"/>
              <w:ind w:right="348"/>
              <w:spacing w:after="0"/>
              <w:rPr>
                <w:sz w:val="20"/>
                <w:szCs w:val="20"/>
                <w:color w:val="auto"/>
              </w:rPr>
            </w:pPr>
            <w:r>
              <w:rPr>
                <w:rFonts w:ascii="Arial" w:cs="Arial" w:eastAsia="Arial" w:hAnsi="Arial"/>
                <w:sz w:val="14"/>
                <w:szCs w:val="14"/>
                <w:color w:val="auto"/>
              </w:rPr>
              <w:t>(14.3)%</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6"/>
                <w:szCs w:val="16"/>
                <w:color w:val="auto"/>
              </w:rPr>
            </w:pPr>
          </w:p>
        </w:tc>
        <w:tc>
          <w:tcPr>
            <w:tcW w:w="15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20" w:type="dxa"/>
            <w:vAlign w:val="bottom"/>
            <w:vMerge w:val="restart"/>
          </w:tcPr>
          <w:p>
            <w:pPr>
              <w:ind w:left="60"/>
              <w:spacing w:after="0"/>
              <w:rPr>
                <w:sz w:val="20"/>
                <w:szCs w:val="20"/>
                <w:color w:val="auto"/>
              </w:rPr>
            </w:pPr>
            <w:r>
              <w:rPr>
                <w:rFonts w:ascii="Arial" w:cs="Arial" w:eastAsia="Arial" w:hAnsi="Arial"/>
                <w:sz w:val="14"/>
                <w:szCs w:val="14"/>
                <w:color w:val="auto"/>
              </w:rPr>
              <w:t>Free Cash Flow</w:t>
            </w: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Actual $3,235</w:t>
            </w: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2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80" w:type="dxa"/>
            <w:vAlign w:val="bottom"/>
            <w:tcBorders>
              <w:left w:val="single" w:sz="8" w:color="CCCCCC"/>
            </w:tcBorders>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Borders>
              <w:left w:val="single" w:sz="8" w:color="CCCCCC"/>
            </w:tcBorders>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restart"/>
            <w:shd w:val="clear" w:color="auto" w:fill="E6E6E6"/>
          </w:tcPr>
          <w:p>
            <w:pPr>
              <w:jc w:val="center"/>
              <w:spacing w:after="0"/>
              <w:rPr>
                <w:sz w:val="20"/>
                <w:szCs w:val="20"/>
                <w:color w:val="auto"/>
              </w:rPr>
            </w:pPr>
            <w:r>
              <w:rPr>
                <w:rFonts w:ascii="Arial" w:cs="Arial" w:eastAsia="Arial" w:hAnsi="Arial"/>
                <w:sz w:val="14"/>
                <w:szCs w:val="14"/>
                <w:b w:val="1"/>
                <w:bCs w:val="1"/>
                <w:color w:val="auto"/>
              </w:rPr>
              <w:t>157%</w:t>
            </w:r>
          </w:p>
        </w:tc>
        <w:tc>
          <w:tcPr>
            <w:tcW w:w="0" w:type="dxa"/>
            <w:vAlign w:val="bottom"/>
          </w:tcPr>
          <w:p>
            <w:pPr>
              <w:spacing w:after="0"/>
              <w:rPr>
                <w:sz w:val="1"/>
                <w:szCs w:val="1"/>
                <w:color w:val="auto"/>
              </w:rPr>
            </w:pPr>
          </w:p>
        </w:tc>
      </w:tr>
      <w:tr>
        <w:trPr>
          <w:trHeight w:val="77"/>
        </w:trPr>
        <w:tc>
          <w:tcPr>
            <w:tcW w:w="2020" w:type="dxa"/>
            <w:vAlign w:val="bottom"/>
            <w:vMerge w:val="restart"/>
          </w:tcPr>
          <w:p>
            <w:pPr>
              <w:ind w:left="60"/>
              <w:spacing w:after="0"/>
              <w:rPr>
                <w:sz w:val="20"/>
                <w:szCs w:val="20"/>
                <w:color w:val="auto"/>
              </w:rPr>
            </w:pPr>
            <w:r>
              <w:rPr>
                <w:rFonts w:ascii="Arial" w:cs="Arial" w:eastAsia="Arial" w:hAnsi="Arial"/>
                <w:sz w:val="14"/>
                <w:szCs w:val="14"/>
                <w:color w:val="auto"/>
              </w:rPr>
              <w:t>(Weighted 20%)</w:t>
            </w:r>
          </w:p>
        </w:tc>
        <w:tc>
          <w:tcPr>
            <w:tcW w:w="540" w:type="dxa"/>
            <w:vAlign w:val="bottom"/>
            <w:tcBorders>
              <w:bottom w:val="single" w:sz="8" w:color="918F90"/>
            </w:tcBorders>
          </w:tcPr>
          <w:p>
            <w:pPr>
              <w:spacing w:after="0"/>
              <w:rPr>
                <w:sz w:val="6"/>
                <w:szCs w:val="6"/>
                <w:color w:val="auto"/>
              </w:rPr>
            </w:pPr>
          </w:p>
        </w:tc>
        <w:tc>
          <w:tcPr>
            <w:tcW w:w="640" w:type="dxa"/>
            <w:vAlign w:val="bottom"/>
            <w:tcBorders>
              <w:bottom w:val="single" w:sz="8" w:color="918F90"/>
            </w:tcBorders>
          </w:tcPr>
          <w:p>
            <w:pPr>
              <w:spacing w:after="0"/>
              <w:rPr>
                <w:sz w:val="6"/>
                <w:szCs w:val="6"/>
                <w:color w:val="auto"/>
              </w:rPr>
            </w:pPr>
          </w:p>
        </w:tc>
        <w:tc>
          <w:tcPr>
            <w:tcW w:w="1380" w:type="dxa"/>
            <w:vAlign w:val="bottom"/>
            <w:tcBorders>
              <w:bottom w:val="single" w:sz="8" w:color="918F90"/>
            </w:tcBorders>
          </w:tcPr>
          <w:p>
            <w:pPr>
              <w:spacing w:after="0"/>
              <w:rPr>
                <w:sz w:val="6"/>
                <w:szCs w:val="6"/>
                <w:color w:val="auto"/>
              </w:rPr>
            </w:pPr>
          </w:p>
        </w:tc>
        <w:tc>
          <w:tcPr>
            <w:tcW w:w="300" w:type="dxa"/>
            <w:vAlign w:val="bottom"/>
            <w:tcBorders>
              <w:bottom w:val="single" w:sz="8" w:color="918F90"/>
            </w:tcBorders>
          </w:tcPr>
          <w:p>
            <w:pPr>
              <w:spacing w:after="0"/>
              <w:rPr>
                <w:sz w:val="6"/>
                <w:szCs w:val="6"/>
                <w:color w:val="auto"/>
              </w:rPr>
            </w:pPr>
          </w:p>
        </w:tc>
        <w:tc>
          <w:tcPr>
            <w:tcW w:w="40" w:type="dxa"/>
            <w:vAlign w:val="bottom"/>
            <w:tcBorders>
              <w:bottom w:val="single" w:sz="8" w:color="918F90"/>
            </w:tcBorders>
          </w:tcPr>
          <w:p>
            <w:pPr>
              <w:spacing w:after="0"/>
              <w:rPr>
                <w:sz w:val="6"/>
                <w:szCs w:val="6"/>
                <w:color w:val="auto"/>
              </w:rPr>
            </w:pPr>
          </w:p>
        </w:tc>
        <w:tc>
          <w:tcPr>
            <w:tcW w:w="260" w:type="dxa"/>
            <w:vAlign w:val="bottom"/>
            <w:tcBorders>
              <w:bottom w:val="single" w:sz="8" w:color="918F90"/>
            </w:tcBorders>
          </w:tcPr>
          <w:p>
            <w:pPr>
              <w:spacing w:after="0"/>
              <w:rPr>
                <w:sz w:val="6"/>
                <w:szCs w:val="6"/>
                <w:color w:val="auto"/>
              </w:rPr>
            </w:pPr>
          </w:p>
        </w:tc>
        <w:tc>
          <w:tcPr>
            <w:tcW w:w="1000" w:type="dxa"/>
            <w:vAlign w:val="bottom"/>
            <w:tcBorders>
              <w:bottom w:val="single" w:sz="8" w:color="918F90"/>
            </w:tcBorders>
          </w:tcPr>
          <w:p>
            <w:pPr>
              <w:spacing w:after="0"/>
              <w:rPr>
                <w:sz w:val="6"/>
                <w:szCs w:val="6"/>
                <w:color w:val="auto"/>
              </w:rPr>
            </w:pPr>
          </w:p>
        </w:tc>
        <w:tc>
          <w:tcPr>
            <w:tcW w:w="1080" w:type="dxa"/>
            <w:vAlign w:val="bottom"/>
            <w:tcBorders>
              <w:left w:val="single" w:sz="8" w:color="CCCCCC"/>
              <w:bottom w:val="single" w:sz="8" w:color="918F90"/>
            </w:tcBorders>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tcBorders>
              <w:bottom w:val="single" w:sz="8" w:color="E6E6E6"/>
            </w:tcBorders>
            <w:vMerge w:val="continue"/>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2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color w:val="auto"/>
              </w:rPr>
              <w:t>$1,966</w:t>
            </w:r>
          </w:p>
        </w:tc>
        <w:tc>
          <w:tcPr>
            <w:tcW w:w="640" w:type="dxa"/>
            <w:vAlign w:val="bottom"/>
          </w:tcPr>
          <w:p>
            <w:pPr>
              <w:spacing w:after="0"/>
              <w:rPr>
                <w:sz w:val="8"/>
                <w:szCs w:val="8"/>
                <w:color w:val="auto"/>
              </w:rPr>
            </w:pPr>
          </w:p>
        </w:tc>
        <w:tc>
          <w:tcPr>
            <w:tcW w:w="1380" w:type="dxa"/>
            <w:vAlign w:val="bottom"/>
            <w:vMerge w:val="restart"/>
          </w:tcPr>
          <w:p>
            <w:pPr>
              <w:jc w:val="center"/>
              <w:ind w:left="28"/>
              <w:spacing w:after="0"/>
              <w:rPr>
                <w:sz w:val="20"/>
                <w:szCs w:val="20"/>
                <w:color w:val="auto"/>
              </w:rPr>
            </w:pPr>
            <w:r>
              <w:rPr>
                <w:rFonts w:ascii="Arial" w:cs="Arial" w:eastAsia="Arial" w:hAnsi="Arial"/>
                <w:sz w:val="14"/>
                <w:szCs w:val="14"/>
                <w:color w:val="auto"/>
              </w:rPr>
              <w:t>$2,456</w:t>
            </w: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jc w:val="center"/>
              <w:ind w:right="348"/>
              <w:spacing w:after="0"/>
              <w:rPr>
                <w:sz w:val="20"/>
                <w:szCs w:val="20"/>
                <w:color w:val="auto"/>
              </w:rPr>
            </w:pPr>
            <w:r>
              <w:rPr>
                <w:rFonts w:ascii="Arial" w:cs="Arial" w:eastAsia="Arial" w:hAnsi="Arial"/>
                <w:sz w:val="14"/>
                <w:szCs w:val="14"/>
                <w:color w:val="auto"/>
              </w:rPr>
              <w:t>$2,946</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$3,523</w:t>
            </w:r>
          </w:p>
        </w:tc>
        <w:tc>
          <w:tcPr>
            <w:tcW w:w="120" w:type="dxa"/>
            <w:vAlign w:val="bottom"/>
          </w:tcPr>
          <w:p>
            <w:pPr>
              <w:spacing w:after="0"/>
              <w:rPr>
                <w:sz w:val="8"/>
                <w:szCs w:val="8"/>
                <w:color w:val="auto"/>
              </w:rPr>
            </w:pPr>
          </w:p>
        </w:tc>
        <w:tc>
          <w:tcPr>
            <w:tcW w:w="1580" w:type="dxa"/>
            <w:vAlign w:val="bottom"/>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bottom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200" w:type="dxa"/>
            <w:vAlign w:val="bottom"/>
            <w:tcBorders>
              <w:top w:val="single" w:sz="8" w:color="582C83"/>
              <w:bottom w:val="single" w:sz="8" w:color="E0DBEA"/>
            </w:tcBorders>
            <w:gridSpan w:val="3"/>
            <w:shd w:val="clear" w:color="auto" w:fill="E0DBEA"/>
          </w:tcPr>
          <w:p>
            <w:pPr>
              <w:ind w:left="60"/>
              <w:spacing w:after="0"/>
              <w:rPr>
                <w:sz w:val="20"/>
                <w:szCs w:val="20"/>
                <w:color w:val="auto"/>
              </w:rPr>
            </w:pPr>
            <w:r>
              <w:rPr>
                <w:rFonts w:ascii="Arial" w:cs="Arial" w:eastAsia="Arial" w:hAnsi="Arial"/>
                <w:sz w:val="14"/>
                <w:szCs w:val="14"/>
                <w:b w:val="1"/>
                <w:bCs w:val="1"/>
                <w:color w:val="auto"/>
              </w:rPr>
              <w:t>Preliminary Corporate Financial Rating</w:t>
            </w:r>
          </w:p>
        </w:tc>
        <w:tc>
          <w:tcPr>
            <w:tcW w:w="1380" w:type="dxa"/>
            <w:vAlign w:val="bottom"/>
            <w:tcBorders>
              <w:top w:val="single" w:sz="8" w:color="582C83"/>
              <w:bottom w:val="single" w:sz="8" w:color="E0DBEA"/>
              <w:right w:val="single" w:sz="8" w:color="E0DBEA"/>
            </w:tcBorders>
            <w:shd w:val="clear" w:color="auto" w:fill="E0DBEA"/>
          </w:tcPr>
          <w:p>
            <w:pPr>
              <w:spacing w:after="0"/>
              <w:rPr>
                <w:sz w:val="24"/>
                <w:szCs w:val="24"/>
                <w:color w:val="auto"/>
              </w:rPr>
            </w:pPr>
          </w:p>
        </w:tc>
        <w:tc>
          <w:tcPr>
            <w:tcW w:w="300" w:type="dxa"/>
            <w:vAlign w:val="bottom"/>
            <w:tcBorders>
              <w:top w:val="single" w:sz="8" w:color="582C83"/>
              <w:bottom w:val="single" w:sz="8" w:color="E0DBEA"/>
              <w:right w:val="single" w:sz="8" w:color="E0DBEA"/>
            </w:tcBorders>
            <w:shd w:val="clear" w:color="auto" w:fill="E0DBEA"/>
          </w:tcPr>
          <w:p>
            <w:pPr>
              <w:spacing w:after="0"/>
              <w:rPr>
                <w:sz w:val="24"/>
                <w:szCs w:val="24"/>
                <w:color w:val="auto"/>
              </w:rPr>
            </w:pPr>
          </w:p>
        </w:tc>
        <w:tc>
          <w:tcPr>
            <w:tcW w:w="40" w:type="dxa"/>
            <w:vAlign w:val="bottom"/>
            <w:tcBorders>
              <w:top w:val="single" w:sz="8" w:color="582C83"/>
              <w:bottom w:val="single" w:sz="8" w:color="E0DBEA"/>
            </w:tcBorders>
            <w:shd w:val="clear" w:color="auto" w:fill="E0DBEA"/>
          </w:tcPr>
          <w:p>
            <w:pPr>
              <w:spacing w:after="0"/>
              <w:rPr>
                <w:sz w:val="24"/>
                <w:szCs w:val="24"/>
                <w:color w:val="auto"/>
              </w:rPr>
            </w:pPr>
          </w:p>
        </w:tc>
        <w:tc>
          <w:tcPr>
            <w:tcW w:w="260" w:type="dxa"/>
            <w:vAlign w:val="bottom"/>
            <w:tcBorders>
              <w:top w:val="single" w:sz="8" w:color="582C83"/>
              <w:left w:val="single" w:sz="8" w:color="E0DBEA"/>
              <w:bottom w:val="single" w:sz="8" w:color="E0DBEA"/>
              <w:right w:val="single" w:sz="8" w:color="E0DBEA"/>
            </w:tcBorders>
            <w:shd w:val="clear" w:color="auto" w:fill="E0DBEA"/>
          </w:tcPr>
          <w:p>
            <w:pPr>
              <w:spacing w:after="0"/>
              <w:rPr>
                <w:sz w:val="24"/>
                <w:szCs w:val="24"/>
                <w:color w:val="auto"/>
              </w:rPr>
            </w:pPr>
          </w:p>
        </w:tc>
        <w:tc>
          <w:tcPr>
            <w:tcW w:w="1000" w:type="dxa"/>
            <w:vAlign w:val="bottom"/>
            <w:tcBorders>
              <w:top w:val="single" w:sz="8" w:color="582C83"/>
              <w:bottom w:val="single" w:sz="8" w:color="E0DBEA"/>
            </w:tcBorders>
            <w:shd w:val="clear" w:color="auto" w:fill="E0DBEA"/>
          </w:tcPr>
          <w:p>
            <w:pPr>
              <w:spacing w:after="0"/>
              <w:rPr>
                <w:sz w:val="24"/>
                <w:szCs w:val="24"/>
                <w:color w:val="auto"/>
              </w:rPr>
            </w:pPr>
          </w:p>
        </w:tc>
        <w:tc>
          <w:tcPr>
            <w:tcW w:w="1080" w:type="dxa"/>
            <w:vAlign w:val="bottom"/>
            <w:tcBorders>
              <w:top w:val="single" w:sz="8" w:color="582C83"/>
              <w:left w:val="single" w:sz="8" w:color="E0DBEA"/>
              <w:bottom w:val="single" w:sz="8" w:color="E0DBEA"/>
            </w:tcBorders>
            <w:shd w:val="clear" w:color="auto" w:fill="E0DBEA"/>
          </w:tcPr>
          <w:p>
            <w:pPr>
              <w:spacing w:after="0"/>
              <w:rPr>
                <w:sz w:val="24"/>
                <w:szCs w:val="24"/>
                <w:color w:val="auto"/>
              </w:rPr>
            </w:pPr>
          </w:p>
        </w:tc>
        <w:tc>
          <w:tcPr>
            <w:tcW w:w="120" w:type="dxa"/>
            <w:vAlign w:val="bottom"/>
            <w:tcBorders>
              <w:top w:val="single" w:sz="8" w:color="582C83"/>
              <w:bottom w:val="single" w:sz="8" w:color="E0DBEA"/>
            </w:tcBorders>
            <w:shd w:val="clear" w:color="auto" w:fill="E0DBEA"/>
          </w:tcPr>
          <w:p>
            <w:pPr>
              <w:spacing w:after="0"/>
              <w:rPr>
                <w:sz w:val="24"/>
                <w:szCs w:val="24"/>
                <w:color w:val="auto"/>
              </w:rPr>
            </w:pPr>
          </w:p>
        </w:tc>
        <w:tc>
          <w:tcPr>
            <w:tcW w:w="1580" w:type="dxa"/>
            <w:vAlign w:val="bottom"/>
            <w:tcBorders>
              <w:top w:val="single" w:sz="8" w:color="582C83"/>
              <w:bottom w:val="single" w:sz="8" w:color="E0DBEA"/>
            </w:tcBorders>
            <w:shd w:val="clear" w:color="auto" w:fill="E0DBEA"/>
          </w:tcPr>
          <w:p>
            <w:pPr>
              <w:jc w:val="center"/>
              <w:spacing w:after="0"/>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250"/>
        </w:trPr>
        <w:tc>
          <w:tcPr>
            <w:tcW w:w="2020" w:type="dxa"/>
            <w:vAlign w:val="bottom"/>
            <w:tcBorders>
              <w:top w:val="single" w:sz="8" w:color="582C83"/>
            </w:tcBorders>
            <w:shd w:val="clear" w:color="auto" w:fill="E0DBEA"/>
          </w:tcPr>
          <w:p>
            <w:pPr>
              <w:ind w:left="80"/>
              <w:spacing w:after="0"/>
              <w:rPr>
                <w:sz w:val="20"/>
                <w:szCs w:val="20"/>
                <w:color w:val="auto"/>
              </w:rPr>
            </w:pPr>
            <w:r>
              <w:rPr>
                <w:rFonts w:ascii="Arial" w:cs="Arial" w:eastAsia="Arial" w:hAnsi="Arial"/>
                <w:sz w:val="14"/>
                <w:szCs w:val="14"/>
                <w:b w:val="1"/>
                <w:bCs w:val="1"/>
                <w:color w:val="auto"/>
              </w:rPr>
              <w:t>+/- Market Share Overlay</w:t>
            </w:r>
            <w:r>
              <w:rPr>
                <w:rFonts w:ascii="Arial" w:cs="Arial" w:eastAsia="Arial" w:hAnsi="Arial"/>
                <w:sz w:val="18"/>
                <w:szCs w:val="18"/>
                <w:b w:val="1"/>
                <w:bCs w:val="1"/>
                <w:color w:val="auto"/>
                <w:vertAlign w:val="superscript"/>
              </w:rPr>
              <w:t>(4)</w:t>
            </w:r>
          </w:p>
        </w:tc>
        <w:tc>
          <w:tcPr>
            <w:tcW w:w="540" w:type="dxa"/>
            <w:vAlign w:val="bottom"/>
            <w:tcBorders>
              <w:top w:val="single" w:sz="8" w:color="582C83"/>
            </w:tcBorders>
            <w:shd w:val="clear" w:color="auto" w:fill="E0DBEA"/>
          </w:tcPr>
          <w:p>
            <w:pPr>
              <w:spacing w:after="0"/>
              <w:rPr>
                <w:sz w:val="21"/>
                <w:szCs w:val="21"/>
                <w:color w:val="auto"/>
              </w:rPr>
            </w:pPr>
          </w:p>
        </w:tc>
        <w:tc>
          <w:tcPr>
            <w:tcW w:w="640" w:type="dxa"/>
            <w:vAlign w:val="bottom"/>
            <w:tcBorders>
              <w:top w:val="single" w:sz="8" w:color="582C83"/>
            </w:tcBorders>
            <w:shd w:val="clear" w:color="auto" w:fill="E0DBEA"/>
          </w:tcPr>
          <w:p>
            <w:pPr>
              <w:spacing w:after="0"/>
              <w:rPr>
                <w:sz w:val="21"/>
                <w:szCs w:val="21"/>
                <w:color w:val="auto"/>
              </w:rPr>
            </w:pPr>
          </w:p>
        </w:tc>
        <w:tc>
          <w:tcPr>
            <w:tcW w:w="1380" w:type="dxa"/>
            <w:vAlign w:val="bottom"/>
            <w:tcBorders>
              <w:top w:val="single" w:sz="8" w:color="582C83"/>
              <w:right w:val="single" w:sz="8" w:color="E0DBEA"/>
            </w:tcBorders>
            <w:shd w:val="clear" w:color="auto" w:fill="E0DBEA"/>
          </w:tcPr>
          <w:p>
            <w:pPr>
              <w:spacing w:after="0"/>
              <w:rPr>
                <w:sz w:val="21"/>
                <w:szCs w:val="21"/>
                <w:color w:val="auto"/>
              </w:rPr>
            </w:pPr>
          </w:p>
        </w:tc>
        <w:tc>
          <w:tcPr>
            <w:tcW w:w="300" w:type="dxa"/>
            <w:vAlign w:val="bottom"/>
            <w:tcBorders>
              <w:top w:val="single" w:sz="8" w:color="582C83"/>
              <w:right w:val="single" w:sz="8" w:color="E0DBEA"/>
            </w:tcBorders>
            <w:shd w:val="clear" w:color="auto" w:fill="E0DBEA"/>
          </w:tcPr>
          <w:p>
            <w:pPr>
              <w:spacing w:after="0"/>
              <w:rPr>
                <w:sz w:val="21"/>
                <w:szCs w:val="21"/>
                <w:color w:val="auto"/>
              </w:rPr>
            </w:pPr>
          </w:p>
        </w:tc>
        <w:tc>
          <w:tcPr>
            <w:tcW w:w="40" w:type="dxa"/>
            <w:vAlign w:val="bottom"/>
            <w:tcBorders>
              <w:top w:val="single" w:sz="8" w:color="582C83"/>
            </w:tcBorders>
            <w:shd w:val="clear" w:color="auto" w:fill="E0DBEA"/>
          </w:tcPr>
          <w:p>
            <w:pPr>
              <w:spacing w:after="0"/>
              <w:rPr>
                <w:sz w:val="21"/>
                <w:szCs w:val="21"/>
                <w:color w:val="auto"/>
              </w:rPr>
            </w:pPr>
          </w:p>
        </w:tc>
        <w:tc>
          <w:tcPr>
            <w:tcW w:w="260" w:type="dxa"/>
            <w:vAlign w:val="bottom"/>
            <w:tcBorders>
              <w:top w:val="single" w:sz="8" w:color="582C83"/>
              <w:left w:val="single" w:sz="8" w:color="E0DBEA"/>
              <w:right w:val="single" w:sz="8" w:color="E0DBEA"/>
            </w:tcBorders>
            <w:shd w:val="clear" w:color="auto" w:fill="E0DBEA"/>
          </w:tcPr>
          <w:p>
            <w:pPr>
              <w:spacing w:after="0"/>
              <w:rPr>
                <w:sz w:val="21"/>
                <w:szCs w:val="21"/>
                <w:color w:val="auto"/>
              </w:rPr>
            </w:pPr>
          </w:p>
        </w:tc>
        <w:tc>
          <w:tcPr>
            <w:tcW w:w="1000" w:type="dxa"/>
            <w:vAlign w:val="bottom"/>
            <w:tcBorders>
              <w:top w:val="single" w:sz="8" w:color="582C83"/>
            </w:tcBorders>
            <w:shd w:val="clear" w:color="auto" w:fill="E0DBEA"/>
          </w:tcPr>
          <w:p>
            <w:pPr>
              <w:spacing w:after="0"/>
              <w:rPr>
                <w:sz w:val="21"/>
                <w:szCs w:val="21"/>
                <w:color w:val="auto"/>
              </w:rPr>
            </w:pPr>
          </w:p>
        </w:tc>
        <w:tc>
          <w:tcPr>
            <w:tcW w:w="1080" w:type="dxa"/>
            <w:vAlign w:val="bottom"/>
            <w:tcBorders>
              <w:top w:val="single" w:sz="8" w:color="582C83"/>
              <w:left w:val="single" w:sz="8" w:color="E0DBEA"/>
            </w:tcBorders>
            <w:shd w:val="clear" w:color="auto" w:fill="E0DBEA"/>
          </w:tcPr>
          <w:p>
            <w:pPr>
              <w:spacing w:after="0"/>
              <w:rPr>
                <w:sz w:val="21"/>
                <w:szCs w:val="21"/>
                <w:color w:val="auto"/>
              </w:rPr>
            </w:pPr>
          </w:p>
        </w:tc>
        <w:tc>
          <w:tcPr>
            <w:tcW w:w="120" w:type="dxa"/>
            <w:vAlign w:val="bottom"/>
            <w:tcBorders>
              <w:top w:val="single" w:sz="8" w:color="582C83"/>
            </w:tcBorders>
            <w:shd w:val="clear" w:color="auto" w:fill="E0DBEA"/>
          </w:tcPr>
          <w:p>
            <w:pPr>
              <w:spacing w:after="0"/>
              <w:rPr>
                <w:sz w:val="21"/>
                <w:szCs w:val="21"/>
                <w:color w:val="auto"/>
              </w:rPr>
            </w:pPr>
          </w:p>
        </w:tc>
        <w:tc>
          <w:tcPr>
            <w:tcW w:w="1580" w:type="dxa"/>
            <w:vAlign w:val="bottom"/>
            <w:tcBorders>
              <w:top w:val="single" w:sz="8" w:color="582C83"/>
            </w:tcBorders>
            <w:shd w:val="clear" w:color="auto" w:fill="E0DBEA"/>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020" w:type="dxa"/>
            <w:vAlign w:val="bottom"/>
            <w:shd w:val="clear" w:color="auto" w:fill="E0DBEA"/>
          </w:tcPr>
          <w:p>
            <w:pPr>
              <w:ind w:left="60"/>
              <w:spacing w:after="0"/>
              <w:rPr>
                <w:sz w:val="20"/>
                <w:szCs w:val="20"/>
                <w:color w:val="auto"/>
              </w:rPr>
            </w:pPr>
            <w:r>
              <w:rPr>
                <w:rFonts w:ascii="Arial" w:cs="Arial" w:eastAsia="Arial" w:hAnsi="Arial"/>
                <w:sz w:val="14"/>
                <w:szCs w:val="14"/>
                <w:color w:val="auto"/>
              </w:rPr>
              <w:t>Market Share Payout Range</w:t>
            </w:r>
            <w:r>
              <w:rPr>
                <w:rFonts w:ascii="Arial" w:cs="Arial" w:eastAsia="Arial" w:hAnsi="Arial"/>
                <w:sz w:val="18"/>
                <w:szCs w:val="18"/>
                <w:color w:val="auto"/>
                <w:vertAlign w:val="superscript"/>
              </w:rPr>
              <w:t>(4)</w:t>
            </w:r>
          </w:p>
        </w:tc>
        <w:tc>
          <w:tcPr>
            <w:tcW w:w="540" w:type="dxa"/>
            <w:vAlign w:val="bottom"/>
            <w:shd w:val="clear" w:color="auto" w:fill="E0DBEA"/>
          </w:tcPr>
          <w:p>
            <w:pPr>
              <w:spacing w:after="0"/>
              <w:rPr>
                <w:sz w:val="22"/>
                <w:szCs w:val="22"/>
                <w:color w:val="auto"/>
              </w:rPr>
            </w:pPr>
          </w:p>
        </w:tc>
        <w:tc>
          <w:tcPr>
            <w:tcW w:w="640" w:type="dxa"/>
            <w:vAlign w:val="bottom"/>
            <w:shd w:val="clear" w:color="auto" w:fill="E0DBEA"/>
          </w:tcPr>
          <w:p>
            <w:pPr>
              <w:spacing w:after="0"/>
              <w:rPr>
                <w:sz w:val="22"/>
                <w:szCs w:val="22"/>
                <w:color w:val="auto"/>
              </w:rPr>
            </w:pPr>
          </w:p>
        </w:tc>
        <w:tc>
          <w:tcPr>
            <w:tcW w:w="1720" w:type="dxa"/>
            <w:vAlign w:val="bottom"/>
            <w:gridSpan w:val="3"/>
            <w:shd w:val="clear" w:color="auto" w:fill="E0DBEA"/>
          </w:tcPr>
          <w:p>
            <w:pPr>
              <w:ind w:left="600"/>
              <w:spacing w:after="0"/>
              <w:rPr>
                <w:sz w:val="20"/>
                <w:szCs w:val="20"/>
                <w:color w:val="auto"/>
              </w:rPr>
            </w:pPr>
            <w:r>
              <w:rPr>
                <w:rFonts w:ascii="Arial" w:cs="Arial" w:eastAsia="Arial" w:hAnsi="Arial"/>
                <w:sz w:val="14"/>
                <w:szCs w:val="14"/>
                <w:b w:val="1"/>
                <w:bCs w:val="1"/>
                <w:color w:val="FFFFFF"/>
              </w:rPr>
              <w:t>(10)pp</w:t>
            </w:r>
          </w:p>
        </w:tc>
        <w:tc>
          <w:tcPr>
            <w:tcW w:w="260" w:type="dxa"/>
            <w:vAlign w:val="bottom"/>
            <w:tcBorders>
              <w:left w:val="single" w:sz="8" w:color="E0DBEA"/>
              <w:right w:val="single" w:sz="8" w:color="E0DBEA"/>
            </w:tcBorders>
            <w:shd w:val="clear" w:color="auto" w:fill="E0DBEA"/>
          </w:tcPr>
          <w:p>
            <w:pPr>
              <w:spacing w:after="0"/>
              <w:rPr>
                <w:sz w:val="22"/>
                <w:szCs w:val="22"/>
                <w:color w:val="auto"/>
              </w:rPr>
            </w:pPr>
          </w:p>
        </w:tc>
        <w:tc>
          <w:tcPr>
            <w:tcW w:w="1000" w:type="dxa"/>
            <w:vAlign w:val="bottom"/>
            <w:shd w:val="clear" w:color="auto" w:fill="E0DBEA"/>
          </w:tcPr>
          <w:p>
            <w:pPr>
              <w:spacing w:after="0"/>
              <w:rPr>
                <w:sz w:val="22"/>
                <w:szCs w:val="22"/>
                <w:color w:val="auto"/>
              </w:rPr>
            </w:pPr>
          </w:p>
        </w:tc>
        <w:tc>
          <w:tcPr>
            <w:tcW w:w="1080" w:type="dxa"/>
            <w:vAlign w:val="bottom"/>
            <w:tcBorders>
              <w:left w:val="single" w:sz="8" w:color="E0DBEA"/>
            </w:tcBorders>
            <w:shd w:val="clear" w:color="auto" w:fill="E0DBEA"/>
          </w:tcPr>
          <w:p>
            <w:pPr>
              <w:spacing w:after="0"/>
              <w:rPr>
                <w:sz w:val="22"/>
                <w:szCs w:val="22"/>
                <w:color w:val="auto"/>
              </w:rPr>
            </w:pPr>
          </w:p>
        </w:tc>
        <w:tc>
          <w:tcPr>
            <w:tcW w:w="120" w:type="dxa"/>
            <w:vAlign w:val="bottom"/>
            <w:shd w:val="clear" w:color="auto" w:fill="E0DBEA"/>
          </w:tcPr>
          <w:p>
            <w:pPr>
              <w:spacing w:after="0"/>
              <w:rPr>
                <w:sz w:val="22"/>
                <w:szCs w:val="22"/>
                <w:color w:val="auto"/>
              </w:rPr>
            </w:pPr>
          </w:p>
        </w:tc>
        <w:tc>
          <w:tcPr>
            <w:tcW w:w="1580" w:type="dxa"/>
            <w:vAlign w:val="bottom"/>
            <w:vMerge w:val="restart"/>
            <w:shd w:val="clear" w:color="auto" w:fill="E0DBEA"/>
          </w:tcPr>
          <w:p>
            <w:pPr>
              <w:jc w:val="center"/>
              <w:spacing w:after="0"/>
              <w:rPr>
                <w:sz w:val="20"/>
                <w:szCs w:val="20"/>
                <w:color w:val="auto"/>
              </w:rPr>
            </w:pPr>
            <w:r>
              <w:rPr>
                <w:rFonts w:ascii="Arial" w:cs="Arial" w:eastAsia="Arial" w:hAnsi="Arial"/>
                <w:sz w:val="14"/>
                <w:szCs w:val="14"/>
                <w:b w:val="1"/>
                <w:bCs w:val="1"/>
                <w:color w:val="auto"/>
              </w:rPr>
              <w:t>(10)pp</w:t>
            </w:r>
          </w:p>
        </w:tc>
        <w:tc>
          <w:tcPr>
            <w:tcW w:w="0" w:type="dxa"/>
            <w:vAlign w:val="bottom"/>
          </w:tcPr>
          <w:p>
            <w:pPr>
              <w:spacing w:after="0"/>
              <w:rPr>
                <w:sz w:val="1"/>
                <w:szCs w:val="1"/>
                <w:color w:val="auto"/>
              </w:rPr>
            </w:pPr>
          </w:p>
        </w:tc>
      </w:tr>
      <w:tr>
        <w:trPr>
          <w:trHeight w:val="88"/>
        </w:trPr>
        <w:tc>
          <w:tcPr>
            <w:tcW w:w="2020" w:type="dxa"/>
            <w:vAlign w:val="bottom"/>
            <w:vMerge w:val="restart"/>
            <w:shd w:val="clear" w:color="auto" w:fill="E0DBEA"/>
          </w:tcPr>
          <w:p>
            <w:pPr>
              <w:ind w:left="60"/>
              <w:spacing w:after="0" w:line="158" w:lineRule="exact"/>
              <w:rPr>
                <w:sz w:val="20"/>
                <w:szCs w:val="20"/>
                <w:color w:val="auto"/>
              </w:rPr>
            </w:pPr>
            <w:r>
              <w:rPr>
                <w:rFonts w:ascii="Arial" w:cs="Arial" w:eastAsia="Arial" w:hAnsi="Arial"/>
                <w:sz w:val="14"/>
                <w:szCs w:val="14"/>
                <w:color w:val="auto"/>
              </w:rPr>
              <w:t>(Gain/loss in our</w:t>
            </w:r>
          </w:p>
        </w:tc>
        <w:tc>
          <w:tcPr>
            <w:tcW w:w="540" w:type="dxa"/>
            <w:vAlign w:val="bottom"/>
            <w:shd w:val="clear" w:color="auto" w:fill="E0DBEA"/>
          </w:tcPr>
          <w:p>
            <w:pPr>
              <w:spacing w:after="0"/>
              <w:rPr>
                <w:sz w:val="7"/>
                <w:szCs w:val="7"/>
                <w:color w:val="auto"/>
              </w:rPr>
            </w:pPr>
          </w:p>
        </w:tc>
        <w:tc>
          <w:tcPr>
            <w:tcW w:w="640" w:type="dxa"/>
            <w:vAlign w:val="bottom"/>
            <w:shd w:val="clear" w:color="auto" w:fill="E0DBEA"/>
          </w:tcPr>
          <w:p>
            <w:pPr>
              <w:spacing w:after="0"/>
              <w:rPr>
                <w:sz w:val="7"/>
                <w:szCs w:val="7"/>
                <w:color w:val="auto"/>
              </w:rPr>
            </w:pPr>
          </w:p>
        </w:tc>
        <w:tc>
          <w:tcPr>
            <w:tcW w:w="1380" w:type="dxa"/>
            <w:vAlign w:val="bottom"/>
            <w:tcBorders>
              <w:right w:val="single" w:sz="8" w:color="E0DBEA"/>
            </w:tcBorders>
            <w:shd w:val="clear" w:color="auto" w:fill="E0DBEA"/>
          </w:tcPr>
          <w:p>
            <w:pPr>
              <w:spacing w:after="0"/>
              <w:rPr>
                <w:sz w:val="7"/>
                <w:szCs w:val="7"/>
                <w:color w:val="auto"/>
              </w:rPr>
            </w:pPr>
          </w:p>
        </w:tc>
        <w:tc>
          <w:tcPr>
            <w:tcW w:w="300" w:type="dxa"/>
            <w:vAlign w:val="bottom"/>
            <w:tcBorders>
              <w:right w:val="single" w:sz="8" w:color="E0DBEA"/>
            </w:tcBorders>
            <w:shd w:val="clear" w:color="auto" w:fill="E0DBEA"/>
          </w:tcPr>
          <w:p>
            <w:pPr>
              <w:spacing w:after="0"/>
              <w:rPr>
                <w:sz w:val="7"/>
                <w:szCs w:val="7"/>
                <w:color w:val="auto"/>
              </w:rPr>
            </w:pPr>
          </w:p>
        </w:tc>
        <w:tc>
          <w:tcPr>
            <w:tcW w:w="40" w:type="dxa"/>
            <w:vAlign w:val="bottom"/>
            <w:shd w:val="clear" w:color="auto" w:fill="E0DBEA"/>
          </w:tcPr>
          <w:p>
            <w:pPr>
              <w:spacing w:after="0"/>
              <w:rPr>
                <w:sz w:val="7"/>
                <w:szCs w:val="7"/>
                <w:color w:val="auto"/>
              </w:rPr>
            </w:pPr>
          </w:p>
        </w:tc>
        <w:tc>
          <w:tcPr>
            <w:tcW w:w="260" w:type="dxa"/>
            <w:vAlign w:val="bottom"/>
            <w:tcBorders>
              <w:left w:val="single" w:sz="8" w:color="E0DBEA"/>
              <w:right w:val="single" w:sz="8" w:color="E0DBEA"/>
            </w:tcBorders>
            <w:shd w:val="clear" w:color="auto" w:fill="E0DBEA"/>
          </w:tcPr>
          <w:p>
            <w:pPr>
              <w:spacing w:after="0"/>
              <w:rPr>
                <w:sz w:val="7"/>
                <w:szCs w:val="7"/>
                <w:color w:val="auto"/>
              </w:rPr>
            </w:pPr>
          </w:p>
        </w:tc>
        <w:tc>
          <w:tcPr>
            <w:tcW w:w="1000" w:type="dxa"/>
            <w:vAlign w:val="bottom"/>
            <w:shd w:val="clear" w:color="auto" w:fill="E0DBEA"/>
          </w:tcPr>
          <w:p>
            <w:pPr>
              <w:spacing w:after="0"/>
              <w:rPr>
                <w:sz w:val="7"/>
                <w:szCs w:val="7"/>
                <w:color w:val="auto"/>
              </w:rPr>
            </w:pPr>
          </w:p>
        </w:tc>
        <w:tc>
          <w:tcPr>
            <w:tcW w:w="1080" w:type="dxa"/>
            <w:vAlign w:val="bottom"/>
            <w:tcBorders>
              <w:left w:val="single" w:sz="8" w:color="E0DBEA"/>
            </w:tcBorders>
            <w:shd w:val="clear" w:color="auto" w:fill="E0DBEA"/>
          </w:tcPr>
          <w:p>
            <w:pPr>
              <w:spacing w:after="0"/>
              <w:rPr>
                <w:sz w:val="7"/>
                <w:szCs w:val="7"/>
                <w:color w:val="auto"/>
              </w:rPr>
            </w:pPr>
          </w:p>
        </w:tc>
        <w:tc>
          <w:tcPr>
            <w:tcW w:w="120" w:type="dxa"/>
            <w:vAlign w:val="bottom"/>
            <w:shd w:val="clear" w:color="auto" w:fill="E0DBEA"/>
          </w:tcPr>
          <w:p>
            <w:pPr>
              <w:spacing w:after="0"/>
              <w:rPr>
                <w:sz w:val="7"/>
                <w:szCs w:val="7"/>
                <w:color w:val="auto"/>
              </w:rPr>
            </w:pPr>
          </w:p>
        </w:tc>
        <w:tc>
          <w:tcPr>
            <w:tcW w:w="1580" w:type="dxa"/>
            <w:vAlign w:val="bottom"/>
            <w:vMerge w:val="continue"/>
            <w:shd w:val="clear" w:color="auto" w:fill="E0DBEA"/>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020" w:type="dxa"/>
            <w:vAlign w:val="bottom"/>
            <w:tcBorders>
              <w:bottom w:val="single" w:sz="8" w:color="E0DBEA"/>
            </w:tcBorders>
            <w:vMerge w:val="continue"/>
            <w:shd w:val="clear" w:color="auto" w:fill="E0DBEA"/>
          </w:tcPr>
          <w:p>
            <w:pPr>
              <w:spacing w:after="0"/>
              <w:rPr>
                <w:sz w:val="6"/>
                <w:szCs w:val="6"/>
                <w:color w:val="auto"/>
              </w:rPr>
            </w:pPr>
          </w:p>
        </w:tc>
        <w:tc>
          <w:tcPr>
            <w:tcW w:w="540" w:type="dxa"/>
            <w:vAlign w:val="bottom"/>
            <w:tcBorders>
              <w:bottom w:val="single" w:sz="8" w:color="918F90"/>
            </w:tcBorders>
            <w:shd w:val="clear" w:color="auto" w:fill="E0DBEA"/>
          </w:tcPr>
          <w:p>
            <w:pPr>
              <w:spacing w:after="0"/>
              <w:rPr>
                <w:sz w:val="6"/>
                <w:szCs w:val="6"/>
                <w:color w:val="auto"/>
              </w:rPr>
            </w:pPr>
          </w:p>
        </w:tc>
        <w:tc>
          <w:tcPr>
            <w:tcW w:w="640" w:type="dxa"/>
            <w:vAlign w:val="bottom"/>
            <w:tcBorders>
              <w:bottom w:val="single" w:sz="8" w:color="918F90"/>
            </w:tcBorders>
            <w:shd w:val="clear" w:color="auto" w:fill="E0DBEA"/>
          </w:tcPr>
          <w:p>
            <w:pPr>
              <w:spacing w:after="0"/>
              <w:rPr>
                <w:sz w:val="6"/>
                <w:szCs w:val="6"/>
                <w:color w:val="auto"/>
              </w:rPr>
            </w:pPr>
          </w:p>
        </w:tc>
        <w:tc>
          <w:tcPr>
            <w:tcW w:w="1380" w:type="dxa"/>
            <w:vAlign w:val="bottom"/>
            <w:tcBorders>
              <w:bottom w:val="single" w:sz="8" w:color="918F90"/>
              <w:right w:val="single" w:sz="8" w:color="E0DBEA"/>
            </w:tcBorders>
            <w:shd w:val="clear" w:color="auto" w:fill="E0DBEA"/>
          </w:tcPr>
          <w:p>
            <w:pPr>
              <w:spacing w:after="0"/>
              <w:rPr>
                <w:sz w:val="6"/>
                <w:szCs w:val="6"/>
                <w:color w:val="auto"/>
              </w:rPr>
            </w:pPr>
          </w:p>
        </w:tc>
        <w:tc>
          <w:tcPr>
            <w:tcW w:w="300" w:type="dxa"/>
            <w:vAlign w:val="bottom"/>
            <w:tcBorders>
              <w:bottom w:val="single" w:sz="8" w:color="918F90"/>
              <w:right w:val="single" w:sz="8" w:color="E0DBEA"/>
            </w:tcBorders>
            <w:shd w:val="clear" w:color="auto" w:fill="E0DBEA"/>
          </w:tcPr>
          <w:p>
            <w:pPr>
              <w:spacing w:after="0"/>
              <w:rPr>
                <w:sz w:val="6"/>
                <w:szCs w:val="6"/>
                <w:color w:val="auto"/>
              </w:rPr>
            </w:pPr>
          </w:p>
        </w:tc>
        <w:tc>
          <w:tcPr>
            <w:tcW w:w="40" w:type="dxa"/>
            <w:vAlign w:val="bottom"/>
            <w:tcBorders>
              <w:bottom w:val="single" w:sz="8" w:color="918F90"/>
            </w:tcBorders>
            <w:shd w:val="clear" w:color="auto" w:fill="E0DBEA"/>
          </w:tcPr>
          <w:p>
            <w:pPr>
              <w:spacing w:after="0"/>
              <w:rPr>
                <w:sz w:val="6"/>
                <w:szCs w:val="6"/>
                <w:color w:val="auto"/>
              </w:rPr>
            </w:pPr>
          </w:p>
        </w:tc>
        <w:tc>
          <w:tcPr>
            <w:tcW w:w="260" w:type="dxa"/>
            <w:vAlign w:val="bottom"/>
            <w:tcBorders>
              <w:left w:val="single" w:sz="8" w:color="E0DBEA"/>
              <w:bottom w:val="single" w:sz="8" w:color="918F90"/>
              <w:right w:val="single" w:sz="8" w:color="E0DBEA"/>
            </w:tcBorders>
            <w:shd w:val="clear" w:color="auto" w:fill="E0DBEA"/>
          </w:tcPr>
          <w:p>
            <w:pPr>
              <w:spacing w:after="0"/>
              <w:rPr>
                <w:sz w:val="6"/>
                <w:szCs w:val="6"/>
                <w:color w:val="auto"/>
              </w:rPr>
            </w:pPr>
          </w:p>
        </w:tc>
        <w:tc>
          <w:tcPr>
            <w:tcW w:w="1000" w:type="dxa"/>
            <w:vAlign w:val="bottom"/>
            <w:tcBorders>
              <w:bottom w:val="single" w:sz="8" w:color="918F90"/>
            </w:tcBorders>
            <w:shd w:val="clear" w:color="auto" w:fill="E0DBEA"/>
          </w:tcPr>
          <w:p>
            <w:pPr>
              <w:spacing w:after="0"/>
              <w:rPr>
                <w:sz w:val="6"/>
                <w:szCs w:val="6"/>
                <w:color w:val="auto"/>
              </w:rPr>
            </w:pPr>
          </w:p>
        </w:tc>
        <w:tc>
          <w:tcPr>
            <w:tcW w:w="1080" w:type="dxa"/>
            <w:vAlign w:val="bottom"/>
            <w:tcBorders>
              <w:left w:val="single" w:sz="8" w:color="E0DBEA"/>
              <w:bottom w:val="single" w:sz="8" w:color="918F90"/>
            </w:tcBorders>
            <w:shd w:val="clear" w:color="auto" w:fill="E0DBEA"/>
          </w:tcPr>
          <w:p>
            <w:pPr>
              <w:spacing w:after="0"/>
              <w:rPr>
                <w:sz w:val="6"/>
                <w:szCs w:val="6"/>
                <w:color w:val="auto"/>
              </w:rPr>
            </w:pPr>
          </w:p>
        </w:tc>
        <w:tc>
          <w:tcPr>
            <w:tcW w:w="120" w:type="dxa"/>
            <w:vAlign w:val="bottom"/>
            <w:tcBorders>
              <w:bottom w:val="single" w:sz="8" w:color="E0DBEA"/>
            </w:tcBorders>
            <w:shd w:val="clear" w:color="auto" w:fill="E0DBEA"/>
          </w:tcPr>
          <w:p>
            <w:pPr>
              <w:spacing w:after="0"/>
              <w:rPr>
                <w:sz w:val="6"/>
                <w:szCs w:val="6"/>
                <w:color w:val="auto"/>
              </w:rPr>
            </w:pPr>
          </w:p>
        </w:tc>
        <w:tc>
          <w:tcPr>
            <w:tcW w:w="1580" w:type="dxa"/>
            <w:vAlign w:val="bottom"/>
            <w:tcBorders>
              <w:bottom w:val="single" w:sz="8" w:color="E0DBEA"/>
            </w:tcBorders>
            <w:shd w:val="clear" w:color="auto" w:fill="E0DBEA"/>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020" w:type="dxa"/>
            <w:vAlign w:val="bottom"/>
            <w:shd w:val="clear" w:color="auto" w:fill="E0DBEA"/>
          </w:tcPr>
          <w:p>
            <w:pPr>
              <w:ind w:left="60"/>
              <w:spacing w:after="0"/>
              <w:rPr>
                <w:sz w:val="20"/>
                <w:szCs w:val="20"/>
                <w:color w:val="auto"/>
              </w:rPr>
            </w:pPr>
            <w:r>
              <w:rPr>
                <w:rFonts w:ascii="Arial" w:cs="Arial" w:eastAsia="Arial" w:hAnsi="Arial"/>
                <w:sz w:val="14"/>
                <w:szCs w:val="14"/>
                <w:color w:val="auto"/>
              </w:rPr>
              <w:t>core categories)</w:t>
            </w:r>
          </w:p>
        </w:tc>
        <w:tc>
          <w:tcPr>
            <w:tcW w:w="1180" w:type="dxa"/>
            <w:vAlign w:val="bottom"/>
            <w:gridSpan w:val="2"/>
            <w:vMerge w:val="restart"/>
            <w:shd w:val="clear" w:color="auto" w:fill="E0DBEA"/>
          </w:tcPr>
          <w:p>
            <w:pPr>
              <w:ind w:left="60"/>
              <w:spacing w:after="0"/>
              <w:rPr>
                <w:sz w:val="20"/>
                <w:szCs w:val="20"/>
                <w:color w:val="auto"/>
              </w:rPr>
            </w:pPr>
            <w:r>
              <w:rPr>
                <w:rFonts w:ascii="Arial" w:cs="Arial" w:eastAsia="Arial" w:hAnsi="Arial"/>
                <w:sz w:val="14"/>
                <w:szCs w:val="14"/>
                <w:color w:val="auto"/>
              </w:rPr>
              <w:t>(30)pp</w:t>
            </w:r>
          </w:p>
        </w:tc>
        <w:tc>
          <w:tcPr>
            <w:tcW w:w="1380" w:type="dxa"/>
            <w:vAlign w:val="bottom"/>
            <w:tcBorders>
              <w:right w:val="single" w:sz="8" w:color="E0DBEA"/>
            </w:tcBorders>
            <w:shd w:val="clear" w:color="auto" w:fill="E0DBEA"/>
          </w:tcPr>
          <w:p>
            <w:pPr>
              <w:spacing w:after="0"/>
              <w:rPr>
                <w:sz w:val="16"/>
                <w:szCs w:val="16"/>
                <w:color w:val="auto"/>
              </w:rPr>
            </w:pPr>
          </w:p>
        </w:tc>
        <w:tc>
          <w:tcPr>
            <w:tcW w:w="300" w:type="dxa"/>
            <w:vAlign w:val="bottom"/>
            <w:tcBorders>
              <w:right w:val="single" w:sz="8" w:color="E0DBEA"/>
            </w:tcBorders>
            <w:shd w:val="clear" w:color="auto" w:fill="E0DBEA"/>
          </w:tcPr>
          <w:p>
            <w:pPr>
              <w:spacing w:after="0"/>
              <w:rPr>
                <w:sz w:val="16"/>
                <w:szCs w:val="16"/>
                <w:color w:val="auto"/>
              </w:rPr>
            </w:pPr>
          </w:p>
        </w:tc>
        <w:tc>
          <w:tcPr>
            <w:tcW w:w="40" w:type="dxa"/>
            <w:vAlign w:val="bottom"/>
            <w:shd w:val="clear" w:color="auto" w:fill="E0DBEA"/>
          </w:tcPr>
          <w:p>
            <w:pPr>
              <w:spacing w:after="0"/>
              <w:rPr>
                <w:sz w:val="16"/>
                <w:szCs w:val="16"/>
                <w:color w:val="auto"/>
              </w:rPr>
            </w:pPr>
          </w:p>
        </w:tc>
        <w:tc>
          <w:tcPr>
            <w:tcW w:w="260" w:type="dxa"/>
            <w:vAlign w:val="bottom"/>
            <w:tcBorders>
              <w:left w:val="single" w:sz="8" w:color="E0DBEA"/>
              <w:right w:val="single" w:sz="8" w:color="E0DBEA"/>
            </w:tcBorders>
            <w:shd w:val="clear" w:color="auto" w:fill="E0DBEA"/>
          </w:tcPr>
          <w:p>
            <w:pPr>
              <w:spacing w:after="0"/>
              <w:rPr>
                <w:sz w:val="16"/>
                <w:szCs w:val="16"/>
                <w:color w:val="auto"/>
              </w:rPr>
            </w:pPr>
          </w:p>
        </w:tc>
        <w:tc>
          <w:tcPr>
            <w:tcW w:w="1000" w:type="dxa"/>
            <w:vAlign w:val="bottom"/>
            <w:vMerge w:val="restart"/>
            <w:shd w:val="clear" w:color="auto" w:fill="E0DBEA"/>
          </w:tcPr>
          <w:p>
            <w:pPr>
              <w:jc w:val="center"/>
              <w:ind w:right="608"/>
              <w:spacing w:after="0"/>
              <w:rPr>
                <w:sz w:val="20"/>
                <w:szCs w:val="20"/>
                <w:color w:val="auto"/>
              </w:rPr>
            </w:pPr>
            <w:r>
              <w:rPr>
                <w:rFonts w:ascii="Arial" w:cs="Arial" w:eastAsia="Arial" w:hAnsi="Arial"/>
                <w:sz w:val="14"/>
                <w:szCs w:val="14"/>
                <w:color w:val="auto"/>
              </w:rPr>
              <w:t>0pp</w:t>
            </w:r>
          </w:p>
        </w:tc>
        <w:tc>
          <w:tcPr>
            <w:tcW w:w="1080" w:type="dxa"/>
            <w:vAlign w:val="bottom"/>
            <w:tcBorders>
              <w:left w:val="single" w:sz="8" w:color="E0DBEA"/>
            </w:tcBorders>
            <w:vMerge w:val="restart"/>
            <w:shd w:val="clear" w:color="auto" w:fill="E0DBEA"/>
          </w:tcPr>
          <w:p>
            <w:pPr>
              <w:jc w:val="center"/>
              <w:spacing w:after="0"/>
              <w:rPr>
                <w:sz w:val="20"/>
                <w:szCs w:val="20"/>
                <w:color w:val="auto"/>
              </w:rPr>
            </w:pPr>
            <w:r>
              <w:rPr>
                <w:rFonts w:ascii="Arial" w:cs="Arial" w:eastAsia="Arial" w:hAnsi="Arial"/>
                <w:sz w:val="14"/>
                <w:szCs w:val="14"/>
                <w:color w:val="auto"/>
              </w:rPr>
              <w:t>+30pp</w:t>
            </w:r>
          </w:p>
        </w:tc>
        <w:tc>
          <w:tcPr>
            <w:tcW w:w="120" w:type="dxa"/>
            <w:vAlign w:val="bottom"/>
            <w:shd w:val="clear" w:color="auto" w:fill="E0DBEA"/>
          </w:tcPr>
          <w:p>
            <w:pPr>
              <w:spacing w:after="0"/>
              <w:rPr>
                <w:sz w:val="16"/>
                <w:szCs w:val="16"/>
                <w:color w:val="auto"/>
              </w:rPr>
            </w:pPr>
          </w:p>
        </w:tc>
        <w:tc>
          <w:tcPr>
            <w:tcW w:w="1580" w:type="dxa"/>
            <w:vAlign w:val="bottom"/>
            <w:shd w:val="clear" w:color="auto" w:fill="E0DBEA"/>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20" w:type="dxa"/>
            <w:vAlign w:val="bottom"/>
            <w:tcBorders>
              <w:bottom w:val="single" w:sz="8" w:color="E0DBEA"/>
            </w:tcBorders>
            <w:shd w:val="clear" w:color="auto" w:fill="E0DBEA"/>
          </w:tcPr>
          <w:p>
            <w:pPr>
              <w:spacing w:after="0"/>
              <w:rPr>
                <w:sz w:val="10"/>
                <w:szCs w:val="10"/>
                <w:color w:val="auto"/>
              </w:rPr>
            </w:pPr>
          </w:p>
        </w:tc>
        <w:tc>
          <w:tcPr>
            <w:tcW w:w="1180" w:type="dxa"/>
            <w:vAlign w:val="bottom"/>
            <w:tcBorders>
              <w:bottom w:val="single" w:sz="8" w:color="E0DBEA"/>
            </w:tcBorders>
            <w:gridSpan w:val="2"/>
            <w:vMerge w:val="continue"/>
            <w:shd w:val="clear" w:color="auto" w:fill="E0DBEA"/>
          </w:tcPr>
          <w:p>
            <w:pPr>
              <w:spacing w:after="0"/>
              <w:rPr>
                <w:sz w:val="10"/>
                <w:szCs w:val="10"/>
                <w:color w:val="auto"/>
              </w:rPr>
            </w:pPr>
          </w:p>
        </w:tc>
        <w:tc>
          <w:tcPr>
            <w:tcW w:w="1380" w:type="dxa"/>
            <w:vAlign w:val="bottom"/>
            <w:tcBorders>
              <w:bottom w:val="single" w:sz="8" w:color="E0DBEA"/>
              <w:right w:val="single" w:sz="8" w:color="E0DBEA"/>
            </w:tcBorders>
            <w:shd w:val="clear" w:color="auto" w:fill="E0DBEA"/>
          </w:tcPr>
          <w:p>
            <w:pPr>
              <w:spacing w:after="0"/>
              <w:rPr>
                <w:sz w:val="10"/>
                <w:szCs w:val="10"/>
                <w:color w:val="auto"/>
              </w:rPr>
            </w:pPr>
          </w:p>
        </w:tc>
        <w:tc>
          <w:tcPr>
            <w:tcW w:w="300" w:type="dxa"/>
            <w:vAlign w:val="bottom"/>
            <w:tcBorders>
              <w:bottom w:val="single" w:sz="8" w:color="E0DBEA"/>
              <w:right w:val="single" w:sz="8" w:color="E0DBEA"/>
            </w:tcBorders>
            <w:shd w:val="clear" w:color="auto" w:fill="E0DBEA"/>
          </w:tcPr>
          <w:p>
            <w:pPr>
              <w:spacing w:after="0"/>
              <w:rPr>
                <w:sz w:val="10"/>
                <w:szCs w:val="10"/>
                <w:color w:val="auto"/>
              </w:rPr>
            </w:pPr>
          </w:p>
        </w:tc>
        <w:tc>
          <w:tcPr>
            <w:tcW w:w="40" w:type="dxa"/>
            <w:vAlign w:val="bottom"/>
            <w:tcBorders>
              <w:bottom w:val="single" w:sz="8" w:color="E0DBEA"/>
            </w:tcBorders>
            <w:shd w:val="clear" w:color="auto" w:fill="E0DBEA"/>
          </w:tcPr>
          <w:p>
            <w:pPr>
              <w:spacing w:after="0"/>
              <w:rPr>
                <w:sz w:val="10"/>
                <w:szCs w:val="10"/>
                <w:color w:val="auto"/>
              </w:rPr>
            </w:pPr>
          </w:p>
        </w:tc>
        <w:tc>
          <w:tcPr>
            <w:tcW w:w="260" w:type="dxa"/>
            <w:vAlign w:val="bottom"/>
            <w:tcBorders>
              <w:left w:val="single" w:sz="8" w:color="E0DBEA"/>
              <w:bottom w:val="single" w:sz="8" w:color="E0DBEA"/>
              <w:right w:val="single" w:sz="8" w:color="E0DBEA"/>
            </w:tcBorders>
            <w:shd w:val="clear" w:color="auto" w:fill="E0DBEA"/>
          </w:tcPr>
          <w:p>
            <w:pPr>
              <w:spacing w:after="0"/>
              <w:rPr>
                <w:sz w:val="10"/>
                <w:szCs w:val="10"/>
                <w:color w:val="auto"/>
              </w:rPr>
            </w:pPr>
          </w:p>
        </w:tc>
        <w:tc>
          <w:tcPr>
            <w:tcW w:w="1000" w:type="dxa"/>
            <w:vAlign w:val="bottom"/>
            <w:tcBorders>
              <w:bottom w:val="single" w:sz="8" w:color="E0DBEA"/>
            </w:tcBorders>
            <w:vMerge w:val="continue"/>
            <w:shd w:val="clear" w:color="auto" w:fill="E0DBEA"/>
          </w:tcPr>
          <w:p>
            <w:pPr>
              <w:spacing w:after="0"/>
              <w:rPr>
                <w:sz w:val="10"/>
                <w:szCs w:val="10"/>
                <w:color w:val="auto"/>
              </w:rPr>
            </w:pPr>
          </w:p>
        </w:tc>
        <w:tc>
          <w:tcPr>
            <w:tcW w:w="1080" w:type="dxa"/>
            <w:vAlign w:val="bottom"/>
            <w:tcBorders>
              <w:left w:val="single" w:sz="8" w:color="E0DBEA"/>
              <w:bottom w:val="single" w:sz="8" w:color="E0DBEA"/>
            </w:tcBorders>
            <w:vMerge w:val="continue"/>
            <w:shd w:val="clear" w:color="auto" w:fill="E0DBEA"/>
          </w:tcPr>
          <w:p>
            <w:pPr>
              <w:spacing w:after="0"/>
              <w:rPr>
                <w:sz w:val="10"/>
                <w:szCs w:val="10"/>
                <w:color w:val="auto"/>
              </w:rPr>
            </w:pPr>
          </w:p>
        </w:tc>
        <w:tc>
          <w:tcPr>
            <w:tcW w:w="120" w:type="dxa"/>
            <w:vAlign w:val="bottom"/>
            <w:tcBorders>
              <w:bottom w:val="single" w:sz="8" w:color="E0DBEA"/>
            </w:tcBorders>
            <w:shd w:val="clear" w:color="auto" w:fill="E0DBEA"/>
          </w:tcPr>
          <w:p>
            <w:pPr>
              <w:spacing w:after="0"/>
              <w:rPr>
                <w:sz w:val="10"/>
                <w:szCs w:val="10"/>
                <w:color w:val="auto"/>
              </w:rPr>
            </w:pPr>
          </w:p>
        </w:tc>
        <w:tc>
          <w:tcPr>
            <w:tcW w:w="1580" w:type="dxa"/>
            <w:vAlign w:val="bottom"/>
            <w:tcBorders>
              <w:bottom w:val="single" w:sz="8" w:color="E0DBEA"/>
            </w:tcBorders>
            <w:shd w:val="clear" w:color="auto" w:fill="E0DBEA"/>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20" w:type="dxa"/>
            <w:vAlign w:val="bottom"/>
            <w:tcBorders>
              <w:top w:val="single" w:sz="8" w:color="582C83"/>
            </w:tcBorders>
          </w:tcPr>
          <w:p>
            <w:pPr>
              <w:spacing w:after="0"/>
              <w:rPr>
                <w:sz w:val="2"/>
                <w:szCs w:val="2"/>
                <w:color w:val="auto"/>
              </w:rPr>
            </w:pPr>
          </w:p>
        </w:tc>
        <w:tc>
          <w:tcPr>
            <w:tcW w:w="540" w:type="dxa"/>
            <w:vAlign w:val="bottom"/>
            <w:tcBorders>
              <w:top w:val="single" w:sz="8" w:color="582C83"/>
            </w:tcBorders>
          </w:tcPr>
          <w:p>
            <w:pPr>
              <w:spacing w:after="0"/>
              <w:rPr>
                <w:sz w:val="2"/>
                <w:szCs w:val="2"/>
                <w:color w:val="auto"/>
              </w:rPr>
            </w:pPr>
          </w:p>
        </w:tc>
        <w:tc>
          <w:tcPr>
            <w:tcW w:w="640" w:type="dxa"/>
            <w:vAlign w:val="bottom"/>
            <w:tcBorders>
              <w:top w:val="single" w:sz="8" w:color="582C83"/>
            </w:tcBorders>
          </w:tcPr>
          <w:p>
            <w:pPr>
              <w:spacing w:after="0"/>
              <w:rPr>
                <w:sz w:val="2"/>
                <w:szCs w:val="2"/>
                <w:color w:val="auto"/>
              </w:rPr>
            </w:pPr>
          </w:p>
        </w:tc>
        <w:tc>
          <w:tcPr>
            <w:tcW w:w="1380" w:type="dxa"/>
            <w:vAlign w:val="bottom"/>
            <w:tcBorders>
              <w:top w:val="single" w:sz="8" w:color="582C83"/>
            </w:tcBorders>
          </w:tcPr>
          <w:p>
            <w:pPr>
              <w:spacing w:after="0"/>
              <w:rPr>
                <w:sz w:val="2"/>
                <w:szCs w:val="2"/>
                <w:color w:val="auto"/>
              </w:rPr>
            </w:pPr>
          </w:p>
        </w:tc>
        <w:tc>
          <w:tcPr>
            <w:tcW w:w="300" w:type="dxa"/>
            <w:vAlign w:val="bottom"/>
            <w:tcBorders>
              <w:top w:val="single" w:sz="8" w:color="582C83"/>
            </w:tcBorders>
          </w:tcPr>
          <w:p>
            <w:pPr>
              <w:spacing w:after="0"/>
              <w:rPr>
                <w:sz w:val="2"/>
                <w:szCs w:val="2"/>
                <w:color w:val="auto"/>
              </w:rPr>
            </w:pPr>
          </w:p>
        </w:tc>
        <w:tc>
          <w:tcPr>
            <w:tcW w:w="40" w:type="dxa"/>
            <w:vAlign w:val="bottom"/>
            <w:tcBorders>
              <w:top w:val="single" w:sz="8" w:color="582C83"/>
            </w:tcBorders>
          </w:tcPr>
          <w:p>
            <w:pPr>
              <w:spacing w:after="0"/>
              <w:rPr>
                <w:sz w:val="2"/>
                <w:szCs w:val="2"/>
                <w:color w:val="auto"/>
              </w:rPr>
            </w:pPr>
          </w:p>
        </w:tc>
        <w:tc>
          <w:tcPr>
            <w:tcW w:w="260" w:type="dxa"/>
            <w:vAlign w:val="bottom"/>
            <w:tcBorders>
              <w:top w:val="single" w:sz="8" w:color="582C83"/>
            </w:tcBorders>
          </w:tcPr>
          <w:p>
            <w:pPr>
              <w:spacing w:after="0"/>
              <w:rPr>
                <w:sz w:val="2"/>
                <w:szCs w:val="2"/>
                <w:color w:val="auto"/>
              </w:rPr>
            </w:pPr>
          </w:p>
        </w:tc>
        <w:tc>
          <w:tcPr>
            <w:tcW w:w="1000" w:type="dxa"/>
            <w:vAlign w:val="bottom"/>
            <w:tcBorders>
              <w:top w:val="single" w:sz="8" w:color="582C83"/>
            </w:tcBorders>
          </w:tcPr>
          <w:p>
            <w:pPr>
              <w:spacing w:after="0"/>
              <w:rPr>
                <w:sz w:val="2"/>
                <w:szCs w:val="2"/>
                <w:color w:val="auto"/>
              </w:rPr>
            </w:pPr>
          </w:p>
        </w:tc>
        <w:tc>
          <w:tcPr>
            <w:tcW w:w="1080" w:type="dxa"/>
            <w:vAlign w:val="bottom"/>
            <w:tcBorders>
              <w:top w:val="single" w:sz="8" w:color="582C83"/>
            </w:tcBorders>
          </w:tcPr>
          <w:p>
            <w:pPr>
              <w:spacing w:after="0"/>
              <w:rPr>
                <w:sz w:val="2"/>
                <w:szCs w:val="2"/>
                <w:color w:val="auto"/>
              </w:rPr>
            </w:pPr>
          </w:p>
        </w:tc>
        <w:tc>
          <w:tcPr>
            <w:tcW w:w="120" w:type="dxa"/>
            <w:vAlign w:val="bottom"/>
            <w:tcBorders>
              <w:top w:val="single" w:sz="8" w:color="582C83"/>
            </w:tcBorders>
          </w:tcPr>
          <w:p>
            <w:pPr>
              <w:spacing w:after="0"/>
              <w:rPr>
                <w:sz w:val="2"/>
                <w:szCs w:val="2"/>
                <w:color w:val="auto"/>
              </w:rPr>
            </w:pPr>
          </w:p>
        </w:tc>
        <w:tc>
          <w:tcPr>
            <w:tcW w:w="1580" w:type="dxa"/>
            <w:vAlign w:val="bottom"/>
            <w:tcBorders>
              <w:top w:val="single" w:sz="8" w:color="582C83"/>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20" w:type="dxa"/>
            <w:vAlign w:val="bottom"/>
            <w:shd w:val="clear" w:color="auto" w:fill="582C83"/>
          </w:tcPr>
          <w:p>
            <w:pPr>
              <w:ind w:left="60"/>
              <w:spacing w:after="0"/>
              <w:rPr>
                <w:sz w:val="20"/>
                <w:szCs w:val="20"/>
                <w:color w:val="auto"/>
              </w:rPr>
            </w:pPr>
            <w:r>
              <w:rPr>
                <w:rFonts w:ascii="Arial" w:cs="Arial" w:eastAsia="Arial" w:hAnsi="Arial"/>
                <w:sz w:val="14"/>
                <w:szCs w:val="14"/>
                <w:b w:val="1"/>
                <w:bCs w:val="1"/>
                <w:color w:val="FFFFFF"/>
              </w:rPr>
              <w:t>Final Corporate Rating</w:t>
            </w:r>
          </w:p>
        </w:tc>
        <w:tc>
          <w:tcPr>
            <w:tcW w:w="540" w:type="dxa"/>
            <w:vAlign w:val="bottom"/>
            <w:shd w:val="clear" w:color="auto" w:fill="582C83"/>
          </w:tcPr>
          <w:p>
            <w:pPr>
              <w:spacing w:after="0"/>
              <w:rPr>
                <w:sz w:val="23"/>
                <w:szCs w:val="23"/>
                <w:color w:val="auto"/>
              </w:rPr>
            </w:pPr>
          </w:p>
        </w:tc>
        <w:tc>
          <w:tcPr>
            <w:tcW w:w="640" w:type="dxa"/>
            <w:vAlign w:val="bottom"/>
            <w:shd w:val="clear" w:color="auto" w:fill="582C83"/>
          </w:tcPr>
          <w:p>
            <w:pPr>
              <w:spacing w:after="0"/>
              <w:rPr>
                <w:sz w:val="23"/>
                <w:szCs w:val="23"/>
                <w:color w:val="auto"/>
              </w:rPr>
            </w:pPr>
          </w:p>
        </w:tc>
        <w:tc>
          <w:tcPr>
            <w:tcW w:w="1380" w:type="dxa"/>
            <w:vAlign w:val="bottom"/>
            <w:tcBorders>
              <w:right w:val="single" w:sz="8" w:color="582C83"/>
            </w:tcBorders>
            <w:shd w:val="clear" w:color="auto" w:fill="582C83"/>
          </w:tcPr>
          <w:p>
            <w:pPr>
              <w:spacing w:after="0"/>
              <w:rPr>
                <w:sz w:val="23"/>
                <w:szCs w:val="23"/>
                <w:color w:val="auto"/>
              </w:rPr>
            </w:pPr>
          </w:p>
        </w:tc>
        <w:tc>
          <w:tcPr>
            <w:tcW w:w="300" w:type="dxa"/>
            <w:vAlign w:val="bottom"/>
            <w:tcBorders>
              <w:right w:val="single" w:sz="8" w:color="582C83"/>
            </w:tcBorders>
            <w:shd w:val="clear" w:color="auto" w:fill="582C83"/>
          </w:tcPr>
          <w:p>
            <w:pPr>
              <w:spacing w:after="0"/>
              <w:rPr>
                <w:sz w:val="23"/>
                <w:szCs w:val="23"/>
                <w:color w:val="auto"/>
              </w:rPr>
            </w:pPr>
          </w:p>
        </w:tc>
        <w:tc>
          <w:tcPr>
            <w:tcW w:w="40" w:type="dxa"/>
            <w:vAlign w:val="bottom"/>
            <w:shd w:val="clear" w:color="auto" w:fill="582C83"/>
          </w:tcPr>
          <w:p>
            <w:pPr>
              <w:spacing w:after="0"/>
              <w:rPr>
                <w:sz w:val="23"/>
                <w:szCs w:val="23"/>
                <w:color w:val="auto"/>
              </w:rPr>
            </w:pPr>
          </w:p>
        </w:tc>
        <w:tc>
          <w:tcPr>
            <w:tcW w:w="260" w:type="dxa"/>
            <w:vAlign w:val="bottom"/>
            <w:tcBorders>
              <w:left w:val="single" w:sz="8" w:color="582C83"/>
              <w:right w:val="single" w:sz="8" w:color="582C83"/>
            </w:tcBorders>
            <w:shd w:val="clear" w:color="auto" w:fill="582C83"/>
          </w:tcPr>
          <w:p>
            <w:pPr>
              <w:spacing w:after="0"/>
              <w:rPr>
                <w:sz w:val="23"/>
                <w:szCs w:val="23"/>
                <w:color w:val="auto"/>
              </w:rPr>
            </w:pPr>
          </w:p>
        </w:tc>
        <w:tc>
          <w:tcPr>
            <w:tcW w:w="1000" w:type="dxa"/>
            <w:vAlign w:val="bottom"/>
            <w:shd w:val="clear" w:color="auto" w:fill="582C83"/>
          </w:tcPr>
          <w:p>
            <w:pPr>
              <w:spacing w:after="0"/>
              <w:rPr>
                <w:sz w:val="23"/>
                <w:szCs w:val="23"/>
                <w:color w:val="auto"/>
              </w:rPr>
            </w:pPr>
          </w:p>
        </w:tc>
        <w:tc>
          <w:tcPr>
            <w:tcW w:w="1080" w:type="dxa"/>
            <w:vAlign w:val="bottom"/>
            <w:tcBorders>
              <w:left w:val="single" w:sz="8" w:color="582C83"/>
            </w:tcBorders>
            <w:shd w:val="clear" w:color="auto" w:fill="582C83"/>
          </w:tcPr>
          <w:p>
            <w:pPr>
              <w:spacing w:after="0"/>
              <w:rPr>
                <w:sz w:val="23"/>
                <w:szCs w:val="23"/>
                <w:color w:val="auto"/>
              </w:rPr>
            </w:pPr>
          </w:p>
        </w:tc>
        <w:tc>
          <w:tcPr>
            <w:tcW w:w="120" w:type="dxa"/>
            <w:vAlign w:val="bottom"/>
            <w:shd w:val="clear" w:color="auto" w:fill="582C83"/>
          </w:tcPr>
          <w:p>
            <w:pPr>
              <w:spacing w:after="0"/>
              <w:rPr>
                <w:sz w:val="23"/>
                <w:szCs w:val="23"/>
                <w:color w:val="auto"/>
              </w:rPr>
            </w:pPr>
          </w:p>
        </w:tc>
        <w:tc>
          <w:tcPr>
            <w:tcW w:w="1580" w:type="dxa"/>
            <w:vAlign w:val="bottom"/>
            <w:shd w:val="clear" w:color="auto" w:fill="582C83"/>
          </w:tcPr>
          <w:p>
            <w:pPr>
              <w:jc w:val="center"/>
              <w:spacing w:after="0"/>
              <w:rPr>
                <w:sz w:val="20"/>
                <w:szCs w:val="20"/>
                <w:color w:val="auto"/>
              </w:rPr>
            </w:pPr>
            <w:r>
              <w:rPr>
                <w:rFonts w:ascii="Arial" w:cs="Arial" w:eastAsia="Arial" w:hAnsi="Arial"/>
                <w:sz w:val="14"/>
                <w:szCs w:val="14"/>
                <w:b w:val="1"/>
                <w:bCs w:val="1"/>
                <w:color w:val="FFFFFF"/>
                <w:w w:val="99"/>
              </w:rPr>
              <w:t>91%</w:t>
            </w:r>
          </w:p>
        </w:tc>
        <w:tc>
          <w:tcPr>
            <w:tcW w:w="0" w:type="dxa"/>
            <w:vAlign w:val="bottom"/>
          </w:tcPr>
          <w:p>
            <w:pPr>
              <w:spacing w:after="0"/>
              <w:rPr>
                <w:sz w:val="1"/>
                <w:szCs w:val="1"/>
                <w:color w:val="auto"/>
              </w:rPr>
            </w:pPr>
          </w:p>
        </w:tc>
      </w:tr>
      <w:tr>
        <w:trPr>
          <w:trHeight w:val="54"/>
        </w:trPr>
        <w:tc>
          <w:tcPr>
            <w:tcW w:w="2020" w:type="dxa"/>
            <w:vAlign w:val="bottom"/>
            <w:shd w:val="clear" w:color="auto" w:fill="582C83"/>
          </w:tcPr>
          <w:p>
            <w:pPr>
              <w:spacing w:after="0"/>
              <w:rPr>
                <w:sz w:val="4"/>
                <w:szCs w:val="4"/>
                <w:color w:val="auto"/>
              </w:rPr>
            </w:pPr>
          </w:p>
        </w:tc>
        <w:tc>
          <w:tcPr>
            <w:tcW w:w="540" w:type="dxa"/>
            <w:vAlign w:val="bottom"/>
            <w:shd w:val="clear" w:color="auto" w:fill="582C83"/>
          </w:tcPr>
          <w:p>
            <w:pPr>
              <w:spacing w:after="0"/>
              <w:rPr>
                <w:sz w:val="4"/>
                <w:szCs w:val="4"/>
                <w:color w:val="auto"/>
              </w:rPr>
            </w:pPr>
          </w:p>
        </w:tc>
        <w:tc>
          <w:tcPr>
            <w:tcW w:w="640" w:type="dxa"/>
            <w:vAlign w:val="bottom"/>
            <w:shd w:val="clear" w:color="auto" w:fill="582C83"/>
          </w:tcPr>
          <w:p>
            <w:pPr>
              <w:spacing w:after="0"/>
              <w:rPr>
                <w:sz w:val="4"/>
                <w:szCs w:val="4"/>
                <w:color w:val="auto"/>
              </w:rPr>
            </w:pPr>
          </w:p>
        </w:tc>
        <w:tc>
          <w:tcPr>
            <w:tcW w:w="1380" w:type="dxa"/>
            <w:vAlign w:val="bottom"/>
            <w:tcBorders>
              <w:right w:val="single" w:sz="8" w:color="582C83"/>
            </w:tcBorders>
            <w:shd w:val="clear" w:color="auto" w:fill="582C83"/>
          </w:tcPr>
          <w:p>
            <w:pPr>
              <w:spacing w:after="0"/>
              <w:rPr>
                <w:sz w:val="4"/>
                <w:szCs w:val="4"/>
                <w:color w:val="auto"/>
              </w:rPr>
            </w:pPr>
          </w:p>
        </w:tc>
        <w:tc>
          <w:tcPr>
            <w:tcW w:w="300" w:type="dxa"/>
            <w:vAlign w:val="bottom"/>
            <w:tcBorders>
              <w:right w:val="single" w:sz="8" w:color="582C83"/>
            </w:tcBorders>
            <w:shd w:val="clear" w:color="auto" w:fill="582C83"/>
          </w:tcPr>
          <w:p>
            <w:pPr>
              <w:spacing w:after="0"/>
              <w:rPr>
                <w:sz w:val="4"/>
                <w:szCs w:val="4"/>
                <w:color w:val="auto"/>
              </w:rPr>
            </w:pPr>
          </w:p>
        </w:tc>
        <w:tc>
          <w:tcPr>
            <w:tcW w:w="40" w:type="dxa"/>
            <w:vAlign w:val="bottom"/>
            <w:shd w:val="clear" w:color="auto" w:fill="582C83"/>
          </w:tcPr>
          <w:p>
            <w:pPr>
              <w:spacing w:after="0"/>
              <w:rPr>
                <w:sz w:val="4"/>
                <w:szCs w:val="4"/>
                <w:color w:val="auto"/>
              </w:rPr>
            </w:pPr>
          </w:p>
        </w:tc>
        <w:tc>
          <w:tcPr>
            <w:tcW w:w="260" w:type="dxa"/>
            <w:vAlign w:val="bottom"/>
            <w:tcBorders>
              <w:left w:val="single" w:sz="8" w:color="582C83"/>
              <w:right w:val="single" w:sz="8" w:color="582C83"/>
            </w:tcBorders>
            <w:shd w:val="clear" w:color="auto" w:fill="582C83"/>
          </w:tcPr>
          <w:p>
            <w:pPr>
              <w:spacing w:after="0"/>
              <w:rPr>
                <w:sz w:val="4"/>
                <w:szCs w:val="4"/>
                <w:color w:val="auto"/>
              </w:rPr>
            </w:pPr>
          </w:p>
        </w:tc>
        <w:tc>
          <w:tcPr>
            <w:tcW w:w="1000" w:type="dxa"/>
            <w:vAlign w:val="bottom"/>
            <w:shd w:val="clear" w:color="auto" w:fill="582C83"/>
          </w:tcPr>
          <w:p>
            <w:pPr>
              <w:spacing w:after="0"/>
              <w:rPr>
                <w:sz w:val="4"/>
                <w:szCs w:val="4"/>
                <w:color w:val="auto"/>
              </w:rPr>
            </w:pPr>
          </w:p>
        </w:tc>
        <w:tc>
          <w:tcPr>
            <w:tcW w:w="1080" w:type="dxa"/>
            <w:vAlign w:val="bottom"/>
            <w:tcBorders>
              <w:left w:val="single" w:sz="8" w:color="582C83"/>
            </w:tcBorders>
            <w:shd w:val="clear" w:color="auto" w:fill="582C83"/>
          </w:tcPr>
          <w:p>
            <w:pPr>
              <w:spacing w:after="0"/>
              <w:rPr>
                <w:sz w:val="4"/>
                <w:szCs w:val="4"/>
                <w:color w:val="auto"/>
              </w:rPr>
            </w:pPr>
          </w:p>
        </w:tc>
        <w:tc>
          <w:tcPr>
            <w:tcW w:w="120" w:type="dxa"/>
            <w:vAlign w:val="bottom"/>
            <w:shd w:val="clear" w:color="auto" w:fill="582C83"/>
          </w:tcPr>
          <w:p>
            <w:pPr>
              <w:spacing w:after="0"/>
              <w:rPr>
                <w:sz w:val="4"/>
                <w:szCs w:val="4"/>
                <w:color w:val="auto"/>
              </w:rPr>
            </w:pPr>
          </w:p>
        </w:tc>
        <w:tc>
          <w:tcPr>
            <w:tcW w:w="1580" w:type="dxa"/>
            <w:vAlign w:val="bottom"/>
            <w:shd w:val="clear" w:color="auto" w:fill="582C83"/>
          </w:tcPr>
          <w:p>
            <w:pPr>
              <w:spacing w:after="0"/>
              <w:rPr>
                <w:sz w:val="4"/>
                <w:szCs w:val="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260" w:hanging="253"/>
        <w:spacing w:after="0"/>
        <w:tabs>
          <w:tab w:leader="none" w:pos="260" w:val="left"/>
        </w:tabs>
        <w:numPr>
          <w:ilvl w:val="0"/>
          <w:numId w:val="80"/>
        </w:numPr>
        <w:rPr>
          <w:rFonts w:ascii="Arial" w:cs="Arial" w:eastAsia="Arial" w:hAnsi="Arial"/>
          <w:sz w:val="13"/>
          <w:szCs w:val="13"/>
          <w:color w:val="auto"/>
        </w:rPr>
      </w:pPr>
      <w:r>
        <w:rPr>
          <w:rFonts w:ascii="Arial" w:cs="Arial" w:eastAsia="Arial" w:hAnsi="Arial"/>
          <w:sz w:val="13"/>
          <w:szCs w:val="13"/>
          <w:color w:val="auto"/>
        </w:rPr>
        <w:t>See definitions in Annex A.</w:t>
      </w:r>
    </w:p>
    <w:p>
      <w:pPr>
        <w:spacing w:after="0" w:line="26" w:lineRule="exact"/>
        <w:rPr>
          <w:rFonts w:ascii="Arial" w:cs="Arial" w:eastAsia="Arial" w:hAnsi="Arial"/>
          <w:sz w:val="13"/>
          <w:szCs w:val="13"/>
          <w:color w:val="auto"/>
        </w:rPr>
      </w:pPr>
    </w:p>
    <w:p>
      <w:pPr>
        <w:ind w:left="260" w:hanging="253"/>
        <w:spacing w:after="0"/>
        <w:tabs>
          <w:tab w:leader="none" w:pos="260" w:val="left"/>
        </w:tabs>
        <w:numPr>
          <w:ilvl w:val="0"/>
          <w:numId w:val="80"/>
        </w:numPr>
        <w:rPr>
          <w:rFonts w:ascii="Arial" w:cs="Arial" w:eastAsia="Arial" w:hAnsi="Arial"/>
          <w:sz w:val="12"/>
          <w:szCs w:val="12"/>
          <w:color w:val="auto"/>
        </w:rPr>
      </w:pPr>
      <w:r>
        <w:rPr>
          <w:rFonts w:ascii="Arial" w:cs="Arial" w:eastAsia="Arial" w:hAnsi="Arial"/>
          <w:sz w:val="12"/>
          <w:szCs w:val="12"/>
          <w:color w:val="auto"/>
        </w:rPr>
        <w:t>Beginning in 2025, threshold performance results in a 0% payout. This change results in payouts that more closely correspond to actual performance levels.</w:t>
      </w:r>
    </w:p>
    <w:p>
      <w:pPr>
        <w:spacing w:after="0" w:line="27" w:lineRule="exact"/>
        <w:rPr>
          <w:rFonts w:ascii="Arial" w:cs="Arial" w:eastAsia="Arial" w:hAnsi="Arial"/>
          <w:sz w:val="12"/>
          <w:szCs w:val="12"/>
          <w:color w:val="auto"/>
        </w:rPr>
      </w:pPr>
    </w:p>
    <w:p>
      <w:pPr>
        <w:jc w:val="both"/>
        <w:ind w:left="260" w:right="139" w:hanging="253"/>
        <w:spacing w:after="0" w:line="281" w:lineRule="auto"/>
        <w:tabs>
          <w:tab w:leader="none" w:pos="260" w:val="left"/>
        </w:tabs>
        <w:numPr>
          <w:ilvl w:val="0"/>
          <w:numId w:val="80"/>
        </w:numPr>
        <w:rPr>
          <w:rFonts w:ascii="Arial" w:cs="Arial" w:eastAsia="Arial" w:hAnsi="Arial"/>
          <w:sz w:val="12"/>
          <w:szCs w:val="12"/>
          <w:color w:val="auto"/>
        </w:rPr>
      </w:pPr>
      <w:r>
        <w:rPr>
          <w:rFonts w:ascii="Arial" w:cs="Arial" w:eastAsia="Arial" w:hAnsi="Arial"/>
          <w:sz w:val="12"/>
          <w:szCs w:val="12"/>
          <w:color w:val="auto"/>
        </w:rPr>
        <w:t>See “Target-Setting Process” above for additional details. Targets approved in the first quarter of 2025 excluded the incremental impact of cocoa prices and tariffs to the extent that they exceeded specific pre-established guardrails set by the PCC due to macroeconomic conditions outside the Company’s control.</w:t>
      </w:r>
    </w:p>
    <w:p>
      <w:pPr>
        <w:ind w:left="260" w:hanging="253"/>
        <w:spacing w:after="0"/>
        <w:tabs>
          <w:tab w:leader="none" w:pos="260" w:val="left"/>
        </w:tabs>
        <w:numPr>
          <w:ilvl w:val="0"/>
          <w:numId w:val="80"/>
        </w:numPr>
        <w:rPr>
          <w:rFonts w:ascii="Arial" w:cs="Arial" w:eastAsia="Arial" w:hAnsi="Arial"/>
          <w:sz w:val="13"/>
          <w:szCs w:val="13"/>
          <w:color w:val="auto"/>
        </w:rPr>
      </w:pPr>
      <w:r>
        <w:rPr>
          <w:rFonts w:ascii="Arial" w:cs="Arial" w:eastAsia="Arial" w:hAnsi="Arial"/>
          <w:sz w:val="13"/>
          <w:szCs w:val="13"/>
          <w:color w:val="auto"/>
        </w:rPr>
        <w:t>Reflects a decrease in global market share in our core snacks categories (chocolate, biscuits, cakes and pastries, and snack bars).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305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10375" cy="83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COMPENSATION DISCUSSION AND ANALYSIS (CD&amp;A)</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Compensation Program</w:t>
      </w:r>
    </w:p>
    <w:p>
      <w:pPr>
        <w:sectPr>
          <w:pgSz w:w="11900" w:h="16838" w:orient="portrait"/>
          <w:cols w:equalWidth="0" w:num="1">
            <w:col w:w="9039"/>
          </w:cols>
          <w:pgMar w:left="1420" w:top="589" w:right="1440" w:bottom="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582C83"/>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0257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10375" cy="8025765"/>
                    </a:xfrm>
                    <a:prstGeom prst="rect">
                      <a:avLst/>
                    </a:prstGeom>
                    <a:noFill/>
                  </pic:spPr>
                </pic:pic>
              </a:graphicData>
            </a:graphic>
          </wp:anchor>
        </w:drawing>
        <w:t xml:space="preserve">2025 </w:t>
      </w:r>
      <w:r>
        <w:rPr>
          <w:rFonts w:ascii="Arial" w:cs="Arial" w:eastAsia="Arial" w:hAnsi="Arial"/>
          <w:sz w:val="16"/>
          <w:szCs w:val="16"/>
          <w:b w:val="1"/>
          <w:bCs w:val="1"/>
          <w:color w:val="582C83"/>
        </w:rPr>
        <w:t>Europe and North America Financial Ratings</w:t>
      </w:r>
    </w:p>
    <w:p>
      <w:pPr>
        <w:spacing w:after="0" w:line="115"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color w:val="auto"/>
        </w:rPr>
        <w:t>To determine awards for Mr. Kuhn and Mr. Valle, the PCC evaluated the weighted average of the performance of the business units in each of their respective regions against the performance targets and determined final region performance ratings. These ratings, together with the global corporate performance rating above, were used to create blended performance ratings (weighted as 80% region and 20% corporate), as shown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40" w:type="dxa"/>
            <w:vAlign w:val="bottom"/>
            <w:tcBorders>
              <w:bottom w:val="single" w:sz="8" w:color="582C83"/>
            </w:tcBorders>
            <w:gridSpan w:val="2"/>
          </w:tcPr>
          <w:p>
            <w:pPr>
              <w:jc w:val="right"/>
              <w:ind w:right="1208"/>
              <w:spacing w:after="0"/>
              <w:rPr>
                <w:sz w:val="20"/>
                <w:szCs w:val="20"/>
                <w:color w:val="auto"/>
              </w:rPr>
            </w:pPr>
            <w:r>
              <w:rPr>
                <w:rFonts w:ascii="Arial" w:cs="Arial" w:eastAsia="Arial" w:hAnsi="Arial"/>
                <w:sz w:val="14"/>
                <w:szCs w:val="14"/>
                <w:b w:val="1"/>
                <w:bCs w:val="1"/>
                <w:color w:val="auto"/>
              </w:rPr>
              <w:t>Performance Rating</w:t>
            </w:r>
            <w:r>
              <w:rPr>
                <w:rFonts w:ascii="Arial" w:cs="Arial" w:eastAsia="Arial" w:hAnsi="Arial"/>
                <w:sz w:val="18"/>
                <w:szCs w:val="18"/>
                <w:b w:val="1"/>
                <w:bCs w:val="1"/>
                <w:color w:val="auto"/>
                <w:vertAlign w:val="superscript"/>
              </w:rPr>
              <w:t>(1)</w:t>
            </w:r>
          </w:p>
        </w:tc>
      </w:tr>
      <w:tr>
        <w:trPr>
          <w:trHeight w:val="209"/>
        </w:trPr>
        <w:tc>
          <w:tcPr>
            <w:tcW w:w="3300" w:type="dxa"/>
            <w:vAlign w:val="bottom"/>
            <w:tcBorders>
              <w:bottom w:val="single" w:sz="8" w:color="582C83"/>
            </w:tcBorders>
          </w:tcPr>
          <w:p>
            <w:pPr>
              <w:ind w:left="60"/>
              <w:spacing w:after="0" w:line="202" w:lineRule="exact"/>
              <w:rPr>
                <w:sz w:val="20"/>
                <w:szCs w:val="20"/>
                <w:color w:val="auto"/>
              </w:rPr>
            </w:pPr>
            <w:r>
              <w:rPr>
                <w:rFonts w:ascii="Arial" w:cs="Arial" w:eastAsia="Arial" w:hAnsi="Arial"/>
                <w:sz w:val="14"/>
                <w:szCs w:val="14"/>
                <w:b w:val="1"/>
                <w:bCs w:val="1"/>
                <w:color w:val="auto"/>
              </w:rPr>
              <w:t>Performance Measures</w:t>
            </w:r>
            <w:r>
              <w:rPr>
                <w:rFonts w:ascii="Arial" w:cs="Arial" w:eastAsia="Arial" w:hAnsi="Arial"/>
                <w:sz w:val="18"/>
                <w:szCs w:val="18"/>
                <w:b w:val="1"/>
                <w:bCs w:val="1"/>
                <w:color w:val="auto"/>
                <w:vertAlign w:val="superscript"/>
              </w:rPr>
              <w:t>(1)</w:t>
            </w:r>
          </w:p>
        </w:tc>
        <w:tc>
          <w:tcPr>
            <w:tcW w:w="170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Weighting</w:t>
            </w:r>
          </w:p>
        </w:tc>
        <w:tc>
          <w:tcPr>
            <w:tcW w:w="2300" w:type="dxa"/>
            <w:vAlign w:val="bottom"/>
            <w:tcBorders>
              <w:bottom w:val="single" w:sz="8" w:color="582C83"/>
            </w:tcBorders>
          </w:tcPr>
          <w:p>
            <w:pPr>
              <w:jc w:val="right"/>
              <w:ind w:right="168"/>
              <w:spacing w:after="0"/>
              <w:rPr>
                <w:sz w:val="20"/>
                <w:szCs w:val="20"/>
                <w:color w:val="auto"/>
              </w:rPr>
            </w:pPr>
            <w:r>
              <w:rPr>
                <w:rFonts w:ascii="Arial" w:cs="Arial" w:eastAsia="Arial" w:hAnsi="Arial"/>
                <w:sz w:val="14"/>
                <w:szCs w:val="14"/>
                <w:b w:val="1"/>
                <w:bCs w:val="1"/>
                <w:color w:val="auto"/>
              </w:rPr>
              <w:t>Europe (Kuhn)</w:t>
            </w:r>
          </w:p>
        </w:tc>
        <w:tc>
          <w:tcPr>
            <w:tcW w:w="1740" w:type="dxa"/>
            <w:vAlign w:val="bottom"/>
            <w:tcBorders>
              <w:bottom w:val="single" w:sz="8" w:color="582C83"/>
            </w:tcBorders>
          </w:tcPr>
          <w:p>
            <w:pPr>
              <w:ind w:left="220"/>
              <w:spacing w:after="0"/>
              <w:rPr>
                <w:sz w:val="20"/>
                <w:szCs w:val="20"/>
                <w:color w:val="auto"/>
              </w:rPr>
            </w:pPr>
            <w:r>
              <w:rPr>
                <w:rFonts w:ascii="Arial" w:cs="Arial" w:eastAsia="Arial" w:hAnsi="Arial"/>
                <w:sz w:val="14"/>
                <w:szCs w:val="14"/>
                <w:b w:val="1"/>
                <w:bCs w:val="1"/>
                <w:color w:val="auto"/>
              </w:rPr>
              <w:t>North America (Valle)</w:t>
            </w:r>
          </w:p>
        </w:tc>
      </w:tr>
      <w:tr>
        <w:trPr>
          <w:trHeight w:val="203"/>
        </w:trPr>
        <w:tc>
          <w:tcPr>
            <w:tcW w:w="330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color w:val="auto"/>
              </w:rPr>
              <w:t>Organic Volume Growth</w:t>
            </w:r>
          </w:p>
        </w:tc>
        <w:tc>
          <w:tcPr>
            <w:tcW w:w="170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15%</w:t>
            </w:r>
          </w:p>
        </w:tc>
        <w:tc>
          <w:tcPr>
            <w:tcW w:w="2300" w:type="dxa"/>
            <w:vAlign w:val="bottom"/>
            <w:tcBorders>
              <w:bottom w:val="single" w:sz="8" w:color="582C83"/>
            </w:tcBorders>
            <w:shd w:val="clear" w:color="auto" w:fill="E0DBEA"/>
          </w:tcPr>
          <w:p>
            <w:pPr>
              <w:jc w:val="right"/>
              <w:ind w:right="188"/>
              <w:spacing w:after="0"/>
              <w:rPr>
                <w:sz w:val="20"/>
                <w:szCs w:val="20"/>
                <w:color w:val="auto"/>
              </w:rPr>
            </w:pPr>
            <w:r>
              <w:rPr>
                <w:rFonts w:ascii="Arial" w:cs="Arial" w:eastAsia="Arial" w:hAnsi="Arial"/>
                <w:sz w:val="14"/>
                <w:szCs w:val="14"/>
                <w:color w:val="auto"/>
              </w:rPr>
              <w:t>101%</w:t>
            </w:r>
          </w:p>
        </w:tc>
        <w:tc>
          <w:tcPr>
            <w:tcW w:w="1740" w:type="dxa"/>
            <w:vAlign w:val="bottom"/>
            <w:tcBorders>
              <w:bottom w:val="single" w:sz="8" w:color="582C83"/>
            </w:tcBorders>
            <w:shd w:val="clear" w:color="auto" w:fill="E0DBEA"/>
          </w:tcPr>
          <w:p>
            <w:pPr>
              <w:ind w:left="1380"/>
              <w:spacing w:after="0"/>
              <w:rPr>
                <w:sz w:val="20"/>
                <w:szCs w:val="20"/>
                <w:color w:val="auto"/>
              </w:rPr>
            </w:pPr>
            <w:r>
              <w:rPr>
                <w:rFonts w:ascii="Arial" w:cs="Arial" w:eastAsia="Arial" w:hAnsi="Arial"/>
                <w:sz w:val="14"/>
                <w:szCs w:val="14"/>
                <w:color w:val="auto"/>
              </w:rPr>
              <w:t>45%</w:t>
            </w:r>
          </w:p>
        </w:tc>
      </w:tr>
      <w:tr>
        <w:trPr>
          <w:trHeight w:val="196"/>
        </w:trPr>
        <w:tc>
          <w:tcPr>
            <w:tcW w:w="3300" w:type="dxa"/>
            <w:vAlign w:val="bottom"/>
            <w:tcBorders>
              <w:bottom w:val="single" w:sz="8" w:color="582C83"/>
            </w:tcBorders>
          </w:tcPr>
          <w:p>
            <w:pPr>
              <w:ind w:left="60"/>
              <w:spacing w:after="0"/>
              <w:rPr>
                <w:sz w:val="20"/>
                <w:szCs w:val="20"/>
                <w:color w:val="auto"/>
              </w:rPr>
            </w:pPr>
            <w:r>
              <w:rPr>
                <w:rFonts w:ascii="Arial" w:cs="Arial" w:eastAsia="Arial" w:hAnsi="Arial"/>
                <w:sz w:val="14"/>
                <w:szCs w:val="14"/>
                <w:color w:val="auto"/>
              </w:rPr>
              <w:t>Organic Net Revenue Growth</w:t>
            </w:r>
          </w:p>
        </w:tc>
        <w:tc>
          <w:tcPr>
            <w:tcW w:w="170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15%</w:t>
            </w:r>
          </w:p>
        </w:tc>
        <w:tc>
          <w:tcPr>
            <w:tcW w:w="2300" w:type="dxa"/>
            <w:vAlign w:val="bottom"/>
            <w:tcBorders>
              <w:bottom w:val="single" w:sz="8" w:color="582C83"/>
            </w:tcBorders>
          </w:tcPr>
          <w:p>
            <w:pPr>
              <w:jc w:val="right"/>
              <w:ind w:right="188"/>
              <w:spacing w:after="0"/>
              <w:rPr>
                <w:sz w:val="20"/>
                <w:szCs w:val="20"/>
                <w:color w:val="auto"/>
              </w:rPr>
            </w:pPr>
            <w:r>
              <w:rPr>
                <w:rFonts w:ascii="Arial" w:cs="Arial" w:eastAsia="Arial" w:hAnsi="Arial"/>
                <w:sz w:val="14"/>
                <w:szCs w:val="14"/>
                <w:color w:val="auto"/>
              </w:rPr>
              <w:t>90%</w:t>
            </w:r>
          </w:p>
        </w:tc>
        <w:tc>
          <w:tcPr>
            <w:tcW w:w="1740" w:type="dxa"/>
            <w:vAlign w:val="bottom"/>
            <w:tcBorders>
              <w:bottom w:val="single" w:sz="8" w:color="582C83"/>
            </w:tcBorders>
          </w:tcPr>
          <w:p>
            <w:pPr>
              <w:ind w:left="1380"/>
              <w:spacing w:after="0"/>
              <w:rPr>
                <w:sz w:val="20"/>
                <w:szCs w:val="20"/>
                <w:color w:val="auto"/>
              </w:rPr>
            </w:pPr>
            <w:r>
              <w:rPr>
                <w:rFonts w:ascii="Arial" w:cs="Arial" w:eastAsia="Arial" w:hAnsi="Arial"/>
                <w:sz w:val="14"/>
                <w:szCs w:val="14"/>
                <w:color w:val="auto"/>
              </w:rPr>
              <w:t>29%</w:t>
            </w:r>
          </w:p>
        </w:tc>
      </w:tr>
      <w:tr>
        <w:trPr>
          <w:trHeight w:val="196"/>
        </w:trPr>
        <w:tc>
          <w:tcPr>
            <w:tcW w:w="330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color w:val="auto"/>
              </w:rPr>
              <w:t>Adjusted Gross Profit Growth</w:t>
            </w:r>
          </w:p>
        </w:tc>
        <w:tc>
          <w:tcPr>
            <w:tcW w:w="170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35%</w:t>
            </w:r>
          </w:p>
        </w:tc>
        <w:tc>
          <w:tcPr>
            <w:tcW w:w="2300" w:type="dxa"/>
            <w:vAlign w:val="bottom"/>
            <w:tcBorders>
              <w:bottom w:val="single" w:sz="8" w:color="582C83"/>
            </w:tcBorders>
            <w:shd w:val="clear" w:color="auto" w:fill="E0DBEA"/>
          </w:tcPr>
          <w:p>
            <w:pPr>
              <w:jc w:val="right"/>
              <w:ind w:right="188"/>
              <w:spacing w:after="0"/>
              <w:rPr>
                <w:sz w:val="20"/>
                <w:szCs w:val="20"/>
                <w:color w:val="auto"/>
              </w:rPr>
            </w:pPr>
            <w:r>
              <w:rPr>
                <w:rFonts w:ascii="Arial" w:cs="Arial" w:eastAsia="Arial" w:hAnsi="Arial"/>
                <w:sz w:val="14"/>
                <w:szCs w:val="14"/>
                <w:color w:val="auto"/>
              </w:rPr>
              <w:t>94%</w:t>
            </w:r>
          </w:p>
        </w:tc>
        <w:tc>
          <w:tcPr>
            <w:tcW w:w="1740" w:type="dxa"/>
            <w:vAlign w:val="bottom"/>
            <w:tcBorders>
              <w:bottom w:val="single" w:sz="8" w:color="582C83"/>
            </w:tcBorders>
            <w:shd w:val="clear" w:color="auto" w:fill="E0DBEA"/>
          </w:tcPr>
          <w:p>
            <w:pPr>
              <w:ind w:left="1380"/>
              <w:spacing w:after="0"/>
              <w:rPr>
                <w:sz w:val="20"/>
                <w:szCs w:val="20"/>
                <w:color w:val="auto"/>
              </w:rPr>
            </w:pPr>
            <w:r>
              <w:rPr>
                <w:rFonts w:ascii="Arial" w:cs="Arial" w:eastAsia="Arial" w:hAnsi="Arial"/>
                <w:sz w:val="14"/>
                <w:szCs w:val="14"/>
                <w:color w:val="auto"/>
              </w:rPr>
              <w:t>11%</w:t>
            </w:r>
          </w:p>
        </w:tc>
      </w:tr>
      <w:tr>
        <w:trPr>
          <w:trHeight w:val="196"/>
        </w:trPr>
        <w:tc>
          <w:tcPr>
            <w:tcW w:w="3300" w:type="dxa"/>
            <w:vAlign w:val="bottom"/>
            <w:tcBorders>
              <w:bottom w:val="single" w:sz="8" w:color="582C83"/>
            </w:tcBorders>
          </w:tcPr>
          <w:p>
            <w:pPr>
              <w:ind w:left="60"/>
              <w:spacing w:after="0"/>
              <w:rPr>
                <w:sz w:val="20"/>
                <w:szCs w:val="20"/>
                <w:color w:val="auto"/>
              </w:rPr>
            </w:pPr>
            <w:r>
              <w:rPr>
                <w:rFonts w:ascii="Arial" w:cs="Arial" w:eastAsia="Arial" w:hAnsi="Arial"/>
                <w:sz w:val="14"/>
                <w:szCs w:val="14"/>
                <w:color w:val="auto"/>
              </w:rPr>
              <w:t>Adjusted Operating Income Growth</w:t>
            </w:r>
          </w:p>
        </w:tc>
        <w:tc>
          <w:tcPr>
            <w:tcW w:w="170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15%</w:t>
            </w:r>
          </w:p>
        </w:tc>
        <w:tc>
          <w:tcPr>
            <w:tcW w:w="2300" w:type="dxa"/>
            <w:vAlign w:val="bottom"/>
            <w:tcBorders>
              <w:bottom w:val="single" w:sz="8" w:color="582C83"/>
            </w:tcBorders>
          </w:tcPr>
          <w:p>
            <w:pPr>
              <w:jc w:val="right"/>
              <w:ind w:right="188"/>
              <w:spacing w:after="0"/>
              <w:rPr>
                <w:sz w:val="20"/>
                <w:szCs w:val="20"/>
                <w:color w:val="auto"/>
              </w:rPr>
            </w:pPr>
            <w:r>
              <w:rPr>
                <w:rFonts w:ascii="Arial" w:cs="Arial" w:eastAsia="Arial" w:hAnsi="Arial"/>
                <w:sz w:val="14"/>
                <w:szCs w:val="14"/>
                <w:color w:val="auto"/>
              </w:rPr>
              <w:t>90%</w:t>
            </w:r>
          </w:p>
        </w:tc>
        <w:tc>
          <w:tcPr>
            <w:tcW w:w="1740" w:type="dxa"/>
            <w:vAlign w:val="bottom"/>
            <w:tcBorders>
              <w:bottom w:val="single" w:sz="8" w:color="582C83"/>
            </w:tcBorders>
          </w:tcPr>
          <w:p>
            <w:pPr>
              <w:ind w:left="1380"/>
              <w:spacing w:after="0"/>
              <w:rPr>
                <w:sz w:val="20"/>
                <w:szCs w:val="20"/>
                <w:color w:val="auto"/>
              </w:rPr>
            </w:pPr>
            <w:r>
              <w:rPr>
                <w:rFonts w:ascii="Arial" w:cs="Arial" w:eastAsia="Arial" w:hAnsi="Arial"/>
                <w:sz w:val="14"/>
                <w:szCs w:val="14"/>
                <w:color w:val="auto"/>
              </w:rPr>
              <w:t>10%</w:t>
            </w:r>
          </w:p>
        </w:tc>
      </w:tr>
      <w:tr>
        <w:trPr>
          <w:trHeight w:val="196"/>
        </w:trPr>
        <w:tc>
          <w:tcPr>
            <w:tcW w:w="330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color w:val="auto"/>
              </w:rPr>
              <w:t>Free Cash Flow</w:t>
            </w:r>
          </w:p>
        </w:tc>
        <w:tc>
          <w:tcPr>
            <w:tcW w:w="170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20%</w:t>
            </w:r>
          </w:p>
        </w:tc>
        <w:tc>
          <w:tcPr>
            <w:tcW w:w="2300" w:type="dxa"/>
            <w:vAlign w:val="bottom"/>
            <w:tcBorders>
              <w:bottom w:val="single" w:sz="8" w:color="582C83"/>
            </w:tcBorders>
            <w:shd w:val="clear" w:color="auto" w:fill="E0DBEA"/>
          </w:tcPr>
          <w:p>
            <w:pPr>
              <w:jc w:val="right"/>
              <w:ind w:right="188"/>
              <w:spacing w:after="0"/>
              <w:rPr>
                <w:sz w:val="20"/>
                <w:szCs w:val="20"/>
                <w:color w:val="auto"/>
              </w:rPr>
            </w:pPr>
            <w:r>
              <w:rPr>
                <w:rFonts w:ascii="Arial" w:cs="Arial" w:eastAsia="Arial" w:hAnsi="Arial"/>
                <w:sz w:val="14"/>
                <w:szCs w:val="14"/>
                <w:color w:val="auto"/>
              </w:rPr>
              <w:t>41%</w:t>
            </w:r>
          </w:p>
        </w:tc>
        <w:tc>
          <w:tcPr>
            <w:tcW w:w="17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300" w:type="dxa"/>
            <w:vAlign w:val="bottom"/>
            <w:tcBorders>
              <w:bottom w:val="single" w:sz="8" w:color="582C83"/>
            </w:tcBorders>
          </w:tcPr>
          <w:p>
            <w:pPr>
              <w:ind w:left="60"/>
              <w:spacing w:after="0"/>
              <w:rPr>
                <w:sz w:val="20"/>
                <w:szCs w:val="20"/>
                <w:color w:val="auto"/>
              </w:rPr>
            </w:pPr>
            <w:r>
              <w:rPr>
                <w:rFonts w:ascii="Arial" w:cs="Arial" w:eastAsia="Arial" w:hAnsi="Arial"/>
                <w:sz w:val="14"/>
                <w:szCs w:val="14"/>
                <w:color w:val="auto"/>
              </w:rPr>
              <w:t>Market Share Overlay</w:t>
            </w:r>
          </w:p>
        </w:tc>
        <w:tc>
          <w:tcPr>
            <w:tcW w:w="170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-/+30pp</w:t>
            </w:r>
          </w:p>
        </w:tc>
        <w:tc>
          <w:tcPr>
            <w:tcW w:w="2300" w:type="dxa"/>
            <w:vAlign w:val="bottom"/>
            <w:tcBorders>
              <w:bottom w:val="single" w:sz="8" w:color="582C83"/>
            </w:tcBorders>
          </w:tcPr>
          <w:p>
            <w:pPr>
              <w:jc w:val="right"/>
              <w:ind w:right="168"/>
              <w:spacing w:after="0"/>
              <w:rPr>
                <w:sz w:val="20"/>
                <w:szCs w:val="20"/>
                <w:color w:val="auto"/>
              </w:rPr>
            </w:pPr>
            <w:r>
              <w:rPr>
                <w:rFonts w:ascii="Arial" w:cs="Arial" w:eastAsia="Arial" w:hAnsi="Arial"/>
                <w:sz w:val="14"/>
                <w:szCs w:val="14"/>
                <w:color w:val="auto"/>
              </w:rPr>
              <w:t>4pp</w:t>
            </w:r>
          </w:p>
        </w:tc>
        <w:tc>
          <w:tcPr>
            <w:tcW w:w="174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(25)pp</w:t>
            </w:r>
          </w:p>
        </w:tc>
      </w:tr>
      <w:tr>
        <w:trPr>
          <w:trHeight w:val="196"/>
        </w:trPr>
        <w:tc>
          <w:tcPr>
            <w:tcW w:w="330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Region Performance Rating</w:t>
            </w:r>
          </w:p>
        </w:tc>
        <w:tc>
          <w:tcPr>
            <w:tcW w:w="1700" w:type="dxa"/>
            <w:vAlign w:val="bottom"/>
            <w:tcBorders>
              <w:bottom w:val="single" w:sz="8" w:color="582C83"/>
            </w:tcBorders>
            <w:shd w:val="clear" w:color="auto" w:fill="E0DBEA"/>
          </w:tcPr>
          <w:p>
            <w:pPr>
              <w:spacing w:after="0"/>
              <w:rPr>
                <w:sz w:val="17"/>
                <w:szCs w:val="17"/>
                <w:color w:val="auto"/>
              </w:rPr>
            </w:pPr>
          </w:p>
        </w:tc>
        <w:tc>
          <w:tcPr>
            <w:tcW w:w="2300" w:type="dxa"/>
            <w:vAlign w:val="bottom"/>
            <w:tcBorders>
              <w:bottom w:val="single" w:sz="8" w:color="582C83"/>
            </w:tcBorders>
            <w:shd w:val="clear" w:color="auto" w:fill="E0DBEA"/>
          </w:tcPr>
          <w:p>
            <w:pPr>
              <w:jc w:val="right"/>
              <w:ind w:right="188"/>
              <w:spacing w:after="0"/>
              <w:rPr>
                <w:sz w:val="20"/>
                <w:szCs w:val="20"/>
                <w:color w:val="auto"/>
              </w:rPr>
            </w:pPr>
            <w:r>
              <w:rPr>
                <w:rFonts w:ascii="Arial" w:cs="Arial" w:eastAsia="Arial" w:hAnsi="Arial"/>
                <w:sz w:val="14"/>
                <w:szCs w:val="14"/>
                <w:b w:val="1"/>
                <w:bCs w:val="1"/>
                <w:color w:val="auto"/>
              </w:rPr>
              <w:t>87%</w:t>
            </w:r>
          </w:p>
        </w:tc>
        <w:tc>
          <w:tcPr>
            <w:tcW w:w="17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b w:val="1"/>
                <w:bCs w:val="1"/>
                <w:color w:val="auto"/>
              </w:rPr>
              <w:t>—</w:t>
            </w:r>
          </w:p>
        </w:tc>
      </w:tr>
      <w:tr>
        <w:trPr>
          <w:trHeight w:val="196"/>
        </w:trPr>
        <w:tc>
          <w:tcPr>
            <w:tcW w:w="330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Final Blended Rating</w:t>
            </w:r>
          </w:p>
        </w:tc>
        <w:tc>
          <w:tcPr>
            <w:tcW w:w="1700" w:type="dxa"/>
            <w:vAlign w:val="bottom"/>
            <w:tcBorders>
              <w:bottom w:val="single" w:sz="8" w:color="582C83"/>
            </w:tcBorders>
          </w:tcPr>
          <w:p>
            <w:pPr>
              <w:spacing w:after="0"/>
              <w:rPr>
                <w:sz w:val="17"/>
                <w:szCs w:val="17"/>
                <w:color w:val="auto"/>
              </w:rPr>
            </w:pPr>
          </w:p>
        </w:tc>
        <w:tc>
          <w:tcPr>
            <w:tcW w:w="2300" w:type="dxa"/>
            <w:vAlign w:val="bottom"/>
            <w:tcBorders>
              <w:bottom w:val="single" w:sz="8" w:color="582C83"/>
            </w:tcBorders>
          </w:tcPr>
          <w:p>
            <w:pPr>
              <w:jc w:val="right"/>
              <w:ind w:right="188"/>
              <w:spacing w:after="0"/>
              <w:rPr>
                <w:sz w:val="20"/>
                <w:szCs w:val="20"/>
                <w:color w:val="auto"/>
              </w:rPr>
            </w:pPr>
            <w:r>
              <w:rPr>
                <w:rFonts w:ascii="Arial" w:cs="Arial" w:eastAsia="Arial" w:hAnsi="Arial"/>
                <w:sz w:val="14"/>
                <w:szCs w:val="14"/>
                <w:b w:val="1"/>
                <w:bCs w:val="1"/>
                <w:color w:val="auto"/>
              </w:rPr>
              <w:t>88%</w:t>
            </w:r>
          </w:p>
        </w:tc>
        <w:tc>
          <w:tcPr>
            <w:tcW w:w="1740" w:type="dxa"/>
            <w:vAlign w:val="bottom"/>
            <w:tcBorders>
              <w:bottom w:val="single" w:sz="8" w:color="582C83"/>
            </w:tcBorders>
          </w:tcPr>
          <w:p>
            <w:pPr>
              <w:ind w:left="1380"/>
              <w:spacing w:after="0"/>
              <w:rPr>
                <w:sz w:val="20"/>
                <w:szCs w:val="20"/>
                <w:color w:val="auto"/>
              </w:rPr>
            </w:pPr>
            <w:r>
              <w:rPr>
                <w:rFonts w:ascii="Arial" w:cs="Arial" w:eastAsia="Arial" w:hAnsi="Arial"/>
                <w:sz w:val="14"/>
                <w:szCs w:val="14"/>
                <w:b w:val="1"/>
                <w:bCs w:val="1"/>
                <w:color w:val="auto"/>
              </w:rPr>
              <w:t>18%</w:t>
            </w:r>
          </w:p>
        </w:tc>
      </w:tr>
    </w:tbl>
    <w:p>
      <w:pPr>
        <w:spacing w:after="0" w:line="158"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See definitions in Annex 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Progress Indicator Goals (20% of AIP)</w:t>
      </w:r>
    </w:p>
    <w:p>
      <w:pPr>
        <w:spacing w:after="0" w:line="11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four equally weighted long-term SPI goals: growth, execution, culture, and sustainability. We assess our leadership team annually on progress made against these SPI goals to support achieving our long-term strategic objectives. Achievement on each SPI can range from 0% to 200% of target. This approach aligns the leadership team in delivering the right strategic outcomes for the Company. Similar to prior years, the PCC reviews all the results and approves the Company’s SPI rating. Following the end of the year, the PCC determines a payout percentage based on its qualitative and quantitative assessment of the Company’s global performance against the annual SPI goals.</w:t>
      </w:r>
    </w:p>
    <w:p>
      <w:pPr>
        <w:spacing w:after="0" w:line="81" w:lineRule="exact"/>
        <w:rPr>
          <w:sz w:val="20"/>
          <w:szCs w:val="20"/>
          <w:color w:val="auto"/>
        </w:rPr>
      </w:pPr>
    </w:p>
    <w:p>
      <w:pPr>
        <w:jc w:val="both"/>
        <w:ind w:right="40"/>
        <w:spacing w:after="0" w:line="301" w:lineRule="auto"/>
        <w:rPr>
          <w:sz w:val="20"/>
          <w:szCs w:val="20"/>
          <w:color w:val="auto"/>
        </w:rPr>
      </w:pPr>
      <w:r>
        <w:rPr>
          <w:rFonts w:ascii="Arial" w:cs="Arial" w:eastAsia="Arial" w:hAnsi="Arial"/>
          <w:sz w:val="17"/>
          <w:szCs w:val="17"/>
          <w:color w:val="auto"/>
        </w:rPr>
        <w:t>Each member of the corporate leadership team is measured on the same SPI goals and receives the same SPI rating, while region leaders receive a rating specific to the actual performance of the business units in their respective regions.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16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SPI Goals</w:t>
            </w:r>
          </w:p>
        </w:tc>
        <w:tc>
          <w:tcPr>
            <w:tcW w:w="640" w:type="dxa"/>
            <w:vAlign w:val="bottom"/>
            <w:tcBorders>
              <w:bottom w:val="single" w:sz="8" w:color="582C83"/>
            </w:tcBorders>
          </w:tcPr>
          <w:p>
            <w:pPr>
              <w:jc w:val="right"/>
              <w:ind w:right="28"/>
              <w:spacing w:after="0"/>
              <w:rPr>
                <w:sz w:val="20"/>
                <w:szCs w:val="20"/>
                <w:color w:val="auto"/>
              </w:rPr>
            </w:pPr>
            <w:r>
              <w:rPr>
                <w:rFonts w:ascii="Arial" w:cs="Arial" w:eastAsia="Arial" w:hAnsi="Arial"/>
                <w:sz w:val="14"/>
                <w:szCs w:val="14"/>
                <w:b w:val="1"/>
                <w:bCs w:val="1"/>
                <w:color w:val="auto"/>
              </w:rPr>
              <w:t>Weight</w:t>
            </w:r>
          </w:p>
        </w:tc>
        <w:tc>
          <w:tcPr>
            <w:tcW w:w="6240" w:type="dxa"/>
            <w:vAlign w:val="bottom"/>
            <w:tcBorders>
              <w:bottom w:val="single" w:sz="8" w:color="582C83"/>
            </w:tcBorders>
            <w:gridSpan w:val="2"/>
          </w:tcPr>
          <w:p>
            <w:pPr>
              <w:ind w:left="40"/>
              <w:spacing w:after="0"/>
              <w:rPr>
                <w:sz w:val="20"/>
                <w:szCs w:val="20"/>
                <w:color w:val="auto"/>
              </w:rPr>
            </w:pPr>
            <w:r>
              <w:rPr>
                <w:rFonts w:ascii="Arial" w:cs="Arial" w:eastAsia="Arial" w:hAnsi="Arial"/>
                <w:sz w:val="14"/>
                <w:szCs w:val="14"/>
                <w:b w:val="1"/>
                <w:bCs w:val="1"/>
                <w:color w:val="auto"/>
              </w:rPr>
              <w:t>Assessment</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Annual Progress</w:t>
            </w:r>
          </w:p>
        </w:tc>
        <w:tc>
          <w:tcPr>
            <w:tcW w:w="0" w:type="dxa"/>
            <w:vAlign w:val="bottom"/>
          </w:tcPr>
          <w:p>
            <w:pPr>
              <w:spacing w:after="0"/>
              <w:rPr>
                <w:sz w:val="1"/>
                <w:szCs w:val="1"/>
                <w:color w:val="auto"/>
              </w:rPr>
            </w:pPr>
          </w:p>
        </w:tc>
      </w:tr>
      <w:tr>
        <w:trPr>
          <w:trHeight w:val="234"/>
        </w:trPr>
        <w:tc>
          <w:tcPr>
            <w:tcW w:w="216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Growth:</w:t>
            </w:r>
          </w:p>
        </w:tc>
        <w:tc>
          <w:tcPr>
            <w:tcW w:w="640" w:type="dxa"/>
            <w:vAlign w:val="bottom"/>
            <w:shd w:val="clear" w:color="auto" w:fill="E0DBEA"/>
          </w:tcPr>
          <w:p>
            <w:pPr>
              <w:jc w:val="right"/>
              <w:ind w:right="88"/>
              <w:spacing w:after="0"/>
              <w:rPr>
                <w:sz w:val="20"/>
                <w:szCs w:val="20"/>
                <w:color w:val="auto"/>
              </w:rPr>
            </w:pPr>
            <w:r>
              <w:rPr>
                <w:rFonts w:ascii="Arial" w:cs="Arial" w:eastAsia="Arial" w:hAnsi="Arial"/>
                <w:sz w:val="14"/>
                <w:szCs w:val="14"/>
                <w:color w:val="auto"/>
              </w:rPr>
              <w:t>25%</w:t>
            </w:r>
          </w:p>
        </w:tc>
        <w:tc>
          <w:tcPr>
            <w:tcW w:w="1220" w:type="dxa"/>
            <w:vAlign w:val="bottom"/>
            <w:shd w:val="clear" w:color="auto" w:fill="E0DBEA"/>
          </w:tcPr>
          <w:p>
            <w:pPr>
              <w:ind w:left="1120"/>
              <w:spacing w:after="0"/>
              <w:rPr>
                <w:sz w:val="20"/>
                <w:szCs w:val="20"/>
                <w:color w:val="auto"/>
              </w:rPr>
            </w:pPr>
            <w:r>
              <w:rPr>
                <w:rFonts w:ascii="Arial" w:cs="Arial" w:eastAsia="Arial" w:hAnsi="Arial"/>
                <w:sz w:val="17"/>
                <w:szCs w:val="17"/>
                <w:color w:val="582C83"/>
              </w:rPr>
              <w:t>•</w:t>
            </w:r>
          </w:p>
        </w:tc>
        <w:tc>
          <w:tcPr>
            <w:tcW w:w="5020" w:type="dxa"/>
            <w:vAlign w:val="bottom"/>
            <w:shd w:val="clear" w:color="auto" w:fill="E0DBEA"/>
          </w:tcPr>
          <w:p>
            <w:pPr>
              <w:ind w:left="40"/>
              <w:spacing w:after="0"/>
              <w:rPr>
                <w:sz w:val="20"/>
                <w:szCs w:val="20"/>
                <w:color w:val="auto"/>
              </w:rPr>
            </w:pPr>
            <w:r>
              <w:rPr>
                <w:rFonts w:ascii="Arial" w:cs="Arial" w:eastAsia="Arial" w:hAnsi="Arial"/>
                <w:sz w:val="14"/>
                <w:szCs w:val="14"/>
                <w:b w:val="1"/>
                <w:bCs w:val="1"/>
                <w:color w:val="auto"/>
              </w:rPr>
              <w:t xml:space="preserve">Innovation: </w:t>
            </w:r>
            <w:r>
              <w:rPr>
                <w:rFonts w:ascii="Arial" w:cs="Arial" w:eastAsia="Arial" w:hAnsi="Arial"/>
                <w:sz w:val="14"/>
                <w:szCs w:val="14"/>
                <w:color w:val="auto"/>
              </w:rPr>
              <w:t>Net revenue progress driven by increased focus</w:t>
            </w:r>
          </w:p>
        </w:tc>
        <w:tc>
          <w:tcPr>
            <w:tcW w:w="0" w:type="dxa"/>
            <w:vAlign w:val="bottom"/>
          </w:tcPr>
          <w:p>
            <w:pPr>
              <w:spacing w:after="0"/>
              <w:rPr>
                <w:sz w:val="1"/>
                <w:szCs w:val="1"/>
                <w:color w:val="auto"/>
              </w:rPr>
            </w:pPr>
          </w:p>
        </w:tc>
      </w:tr>
      <w:tr>
        <w:trPr>
          <w:trHeight w:val="175"/>
        </w:trPr>
        <w:tc>
          <w:tcPr>
            <w:tcW w:w="2160" w:type="dxa"/>
            <w:vAlign w:val="bottom"/>
            <w:shd w:val="clear" w:color="auto" w:fill="E0DBEA"/>
          </w:tcPr>
          <w:p>
            <w:pPr>
              <w:ind w:left="60"/>
              <w:spacing w:after="0"/>
              <w:rPr>
                <w:sz w:val="20"/>
                <w:szCs w:val="20"/>
                <w:color w:val="auto"/>
              </w:rPr>
            </w:pPr>
            <w:r>
              <w:rPr>
                <w:rFonts w:ascii="Arial" w:cs="Arial" w:eastAsia="Arial" w:hAnsi="Arial"/>
                <w:sz w:val="14"/>
                <w:szCs w:val="14"/>
                <w:color w:val="auto"/>
              </w:rPr>
              <w:t>Increase % of net revenue</w:t>
            </w:r>
          </w:p>
        </w:tc>
        <w:tc>
          <w:tcPr>
            <w:tcW w:w="640" w:type="dxa"/>
            <w:vAlign w:val="bottom"/>
            <w:shd w:val="clear" w:color="auto" w:fill="E0DBEA"/>
          </w:tcPr>
          <w:p>
            <w:pPr>
              <w:spacing w:after="0"/>
              <w:rPr>
                <w:sz w:val="15"/>
                <w:szCs w:val="15"/>
                <w:color w:val="auto"/>
              </w:rPr>
            </w:pPr>
          </w:p>
        </w:tc>
        <w:tc>
          <w:tcPr>
            <w:tcW w:w="1220" w:type="dxa"/>
            <w:vAlign w:val="bottom"/>
            <w:shd w:val="clear" w:color="auto" w:fill="E0DBEA"/>
          </w:tcPr>
          <w:p>
            <w:pPr>
              <w:spacing w:after="0"/>
              <w:rPr>
                <w:sz w:val="15"/>
                <w:szCs w:val="15"/>
                <w:color w:val="auto"/>
              </w:rPr>
            </w:pPr>
          </w:p>
        </w:tc>
        <w:tc>
          <w:tcPr>
            <w:tcW w:w="5020" w:type="dxa"/>
            <w:vAlign w:val="bottom"/>
            <w:shd w:val="clear" w:color="auto" w:fill="E0DBEA"/>
          </w:tcPr>
          <w:p>
            <w:pPr>
              <w:ind w:left="40"/>
              <w:spacing w:after="0"/>
              <w:rPr>
                <w:sz w:val="20"/>
                <w:szCs w:val="20"/>
                <w:color w:val="auto"/>
              </w:rPr>
            </w:pPr>
            <w:r>
              <w:rPr>
                <w:rFonts w:ascii="Arial" w:cs="Arial" w:eastAsia="Arial" w:hAnsi="Arial"/>
                <w:sz w:val="14"/>
                <w:szCs w:val="14"/>
                <w:color w:val="auto"/>
              </w:rPr>
              <w:t>on ~100 top innovations</w:t>
            </w:r>
          </w:p>
        </w:tc>
        <w:tc>
          <w:tcPr>
            <w:tcW w:w="0" w:type="dxa"/>
            <w:vAlign w:val="bottom"/>
          </w:tcPr>
          <w:p>
            <w:pPr>
              <w:spacing w:after="0"/>
              <w:rPr>
                <w:sz w:val="1"/>
                <w:szCs w:val="1"/>
                <w:color w:val="auto"/>
              </w:rPr>
            </w:pPr>
          </w:p>
        </w:tc>
      </w:tr>
      <w:tr>
        <w:trPr>
          <w:trHeight w:val="176"/>
        </w:trPr>
        <w:tc>
          <w:tcPr>
            <w:tcW w:w="2160" w:type="dxa"/>
            <w:vAlign w:val="bottom"/>
            <w:shd w:val="clear" w:color="auto" w:fill="E0DBEA"/>
          </w:tcPr>
          <w:p>
            <w:pPr>
              <w:ind w:left="60"/>
              <w:spacing w:after="0"/>
              <w:rPr>
                <w:sz w:val="20"/>
                <w:szCs w:val="20"/>
                <w:color w:val="auto"/>
              </w:rPr>
            </w:pPr>
            <w:r>
              <w:rPr>
                <w:rFonts w:ascii="Arial" w:cs="Arial" w:eastAsia="Arial" w:hAnsi="Arial"/>
                <w:sz w:val="14"/>
                <w:szCs w:val="14"/>
                <w:color w:val="auto"/>
              </w:rPr>
              <w:t>driven by top innovation projects</w:t>
            </w:r>
          </w:p>
        </w:tc>
        <w:tc>
          <w:tcPr>
            <w:tcW w:w="640" w:type="dxa"/>
            <w:vAlign w:val="bottom"/>
            <w:shd w:val="clear" w:color="auto" w:fill="E0DBEA"/>
          </w:tcPr>
          <w:p>
            <w:pPr>
              <w:spacing w:after="0"/>
              <w:rPr>
                <w:sz w:val="15"/>
                <w:szCs w:val="15"/>
                <w:color w:val="auto"/>
              </w:rPr>
            </w:pPr>
          </w:p>
        </w:tc>
        <w:tc>
          <w:tcPr>
            <w:tcW w:w="1220" w:type="dxa"/>
            <w:vAlign w:val="bottom"/>
            <w:vMerge w:val="restart"/>
            <w:shd w:val="clear" w:color="auto" w:fill="E0DBEA"/>
          </w:tcPr>
          <w:p>
            <w:pPr>
              <w:ind w:left="1120"/>
              <w:spacing w:after="0"/>
              <w:rPr>
                <w:sz w:val="20"/>
                <w:szCs w:val="20"/>
                <w:color w:val="auto"/>
              </w:rPr>
            </w:pPr>
            <w:r>
              <w:rPr>
                <w:rFonts w:ascii="Arial" w:cs="Arial" w:eastAsia="Arial" w:hAnsi="Arial"/>
                <w:sz w:val="17"/>
                <w:szCs w:val="17"/>
                <w:color w:val="582C83"/>
              </w:rPr>
              <w:t>•</w:t>
            </w:r>
          </w:p>
        </w:tc>
        <w:tc>
          <w:tcPr>
            <w:tcW w:w="5020" w:type="dxa"/>
            <w:vAlign w:val="bottom"/>
            <w:vMerge w:val="restart"/>
            <w:shd w:val="clear" w:color="auto" w:fill="E0DBEA"/>
          </w:tcPr>
          <w:p>
            <w:pPr>
              <w:ind w:left="40"/>
              <w:spacing w:after="0"/>
              <w:rPr>
                <w:sz w:val="20"/>
                <w:szCs w:val="20"/>
                <w:color w:val="auto"/>
              </w:rPr>
            </w:pPr>
            <w:r>
              <w:rPr>
                <w:rFonts w:ascii="Arial" w:cs="Arial" w:eastAsia="Arial" w:hAnsi="Arial"/>
                <w:sz w:val="14"/>
                <w:szCs w:val="14"/>
                <w:b w:val="1"/>
                <w:bCs w:val="1"/>
                <w:color w:val="auto"/>
              </w:rPr>
              <w:t xml:space="preserve">Revenue Growth Management: </w:t>
            </w:r>
            <w:r>
              <w:rPr>
                <w:rFonts w:ascii="Arial" w:cs="Arial" w:eastAsia="Arial" w:hAnsi="Arial"/>
                <w:sz w:val="14"/>
                <w:szCs w:val="14"/>
                <w:color w:val="auto"/>
              </w:rPr>
              <w:t>Strong price realization driven by price/mix</w:t>
            </w:r>
          </w:p>
        </w:tc>
        <w:tc>
          <w:tcPr>
            <w:tcW w:w="0" w:type="dxa"/>
            <w:vAlign w:val="bottom"/>
          </w:tcPr>
          <w:p>
            <w:pPr>
              <w:spacing w:after="0"/>
              <w:rPr>
                <w:sz w:val="1"/>
                <w:szCs w:val="1"/>
                <w:color w:val="auto"/>
              </w:rPr>
            </w:pPr>
          </w:p>
        </w:tc>
      </w:tr>
      <w:tr>
        <w:trPr>
          <w:trHeight w:val="94"/>
        </w:trPr>
        <w:tc>
          <w:tcPr>
            <w:tcW w:w="2160" w:type="dxa"/>
            <w:vAlign w:val="bottom"/>
            <w:vMerge w:val="restart"/>
            <w:shd w:val="clear" w:color="auto" w:fill="E0DBEA"/>
          </w:tcPr>
          <w:p>
            <w:pPr>
              <w:ind w:left="60"/>
              <w:spacing w:after="0"/>
              <w:rPr>
                <w:sz w:val="20"/>
                <w:szCs w:val="20"/>
                <w:color w:val="auto"/>
              </w:rPr>
            </w:pPr>
            <w:r>
              <w:rPr>
                <w:rFonts w:ascii="Arial" w:cs="Arial" w:eastAsia="Arial" w:hAnsi="Arial"/>
                <w:sz w:val="14"/>
                <w:szCs w:val="14"/>
                <w:color w:val="auto"/>
              </w:rPr>
              <w:t>and drive price realization</w:t>
            </w:r>
          </w:p>
        </w:tc>
        <w:tc>
          <w:tcPr>
            <w:tcW w:w="640" w:type="dxa"/>
            <w:vAlign w:val="bottom"/>
            <w:shd w:val="clear" w:color="auto" w:fill="E0DBEA"/>
          </w:tcPr>
          <w:p>
            <w:pPr>
              <w:spacing w:after="0"/>
              <w:rPr>
                <w:sz w:val="8"/>
                <w:szCs w:val="8"/>
                <w:color w:val="auto"/>
              </w:rPr>
            </w:pPr>
          </w:p>
        </w:tc>
        <w:tc>
          <w:tcPr>
            <w:tcW w:w="1220" w:type="dxa"/>
            <w:vAlign w:val="bottom"/>
            <w:vMerge w:val="continue"/>
            <w:shd w:val="clear" w:color="auto" w:fill="E0DBEA"/>
          </w:tcPr>
          <w:p>
            <w:pPr>
              <w:spacing w:after="0"/>
              <w:rPr>
                <w:sz w:val="8"/>
                <w:szCs w:val="8"/>
                <w:color w:val="auto"/>
              </w:rPr>
            </w:pPr>
          </w:p>
        </w:tc>
        <w:tc>
          <w:tcPr>
            <w:tcW w:w="5020" w:type="dxa"/>
            <w:vAlign w:val="bottom"/>
            <w:vMerge w:val="continue"/>
            <w:shd w:val="clear" w:color="auto" w:fill="E0DBEA"/>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60" w:type="dxa"/>
            <w:vAlign w:val="bottom"/>
            <w:vMerge w:val="continue"/>
            <w:shd w:val="clear" w:color="auto" w:fill="E0DBEA"/>
          </w:tcPr>
          <w:p>
            <w:pPr>
              <w:spacing w:after="0"/>
              <w:rPr>
                <w:sz w:val="5"/>
                <w:szCs w:val="5"/>
                <w:color w:val="auto"/>
              </w:rPr>
            </w:pPr>
          </w:p>
        </w:tc>
        <w:tc>
          <w:tcPr>
            <w:tcW w:w="640" w:type="dxa"/>
            <w:vAlign w:val="bottom"/>
            <w:shd w:val="clear" w:color="auto" w:fill="E0DBEA"/>
          </w:tcPr>
          <w:p>
            <w:pPr>
              <w:spacing w:after="0"/>
              <w:rPr>
                <w:sz w:val="5"/>
                <w:szCs w:val="5"/>
                <w:color w:val="auto"/>
              </w:rPr>
            </w:pPr>
          </w:p>
        </w:tc>
        <w:tc>
          <w:tcPr>
            <w:tcW w:w="1220" w:type="dxa"/>
            <w:vAlign w:val="bottom"/>
            <w:shd w:val="clear" w:color="auto" w:fill="E0DBEA"/>
          </w:tcPr>
          <w:p>
            <w:pPr>
              <w:spacing w:after="0"/>
              <w:rPr>
                <w:sz w:val="5"/>
                <w:szCs w:val="5"/>
                <w:color w:val="auto"/>
              </w:rPr>
            </w:pPr>
          </w:p>
        </w:tc>
        <w:tc>
          <w:tcPr>
            <w:tcW w:w="5020" w:type="dxa"/>
            <w:vAlign w:val="bottom"/>
            <w:vMerge w:val="restart"/>
            <w:shd w:val="clear" w:color="auto" w:fill="E0DBEA"/>
          </w:tcPr>
          <w:p>
            <w:pPr>
              <w:ind w:left="40"/>
              <w:spacing w:after="0"/>
              <w:rPr>
                <w:sz w:val="20"/>
                <w:szCs w:val="20"/>
                <w:color w:val="auto"/>
              </w:rPr>
            </w:pPr>
            <w:r>
              <w:rPr>
                <w:rFonts w:ascii="Arial" w:cs="Arial" w:eastAsia="Arial" w:hAnsi="Arial"/>
                <w:sz w:val="14"/>
                <w:szCs w:val="14"/>
                <w:color w:val="auto"/>
              </w:rPr>
              <w:t>growth, especially in our chocolate and biscuits categories</w:t>
            </w:r>
          </w:p>
        </w:tc>
        <w:tc>
          <w:tcPr>
            <w:tcW w:w="0" w:type="dxa"/>
            <w:vAlign w:val="bottom"/>
          </w:tcPr>
          <w:p>
            <w:pPr>
              <w:spacing w:after="0"/>
              <w:rPr>
                <w:sz w:val="1"/>
                <w:szCs w:val="1"/>
                <w:color w:val="auto"/>
              </w:rPr>
            </w:pPr>
          </w:p>
        </w:tc>
      </w:tr>
      <w:tr>
        <w:trPr>
          <w:trHeight w:val="123"/>
        </w:trPr>
        <w:tc>
          <w:tcPr>
            <w:tcW w:w="2160" w:type="dxa"/>
            <w:vAlign w:val="bottom"/>
            <w:vMerge w:val="restart"/>
            <w:shd w:val="clear" w:color="auto" w:fill="E0DBEA"/>
          </w:tcPr>
          <w:p>
            <w:pPr>
              <w:ind w:left="60"/>
              <w:spacing w:after="0"/>
              <w:rPr>
                <w:sz w:val="20"/>
                <w:szCs w:val="20"/>
                <w:color w:val="auto"/>
              </w:rPr>
            </w:pPr>
            <w:r>
              <w:rPr>
                <w:rFonts w:ascii="Arial" w:cs="Arial" w:eastAsia="Arial" w:hAnsi="Arial"/>
                <w:sz w:val="14"/>
                <w:szCs w:val="14"/>
                <w:color w:val="auto"/>
              </w:rPr>
              <w:t>vs. category</w:t>
            </w:r>
          </w:p>
        </w:tc>
        <w:tc>
          <w:tcPr>
            <w:tcW w:w="640" w:type="dxa"/>
            <w:vAlign w:val="bottom"/>
            <w:shd w:val="clear" w:color="auto" w:fill="E0DBEA"/>
          </w:tcPr>
          <w:p>
            <w:pPr>
              <w:spacing w:after="0"/>
              <w:rPr>
                <w:sz w:val="10"/>
                <w:szCs w:val="10"/>
                <w:color w:val="auto"/>
              </w:rPr>
            </w:pPr>
          </w:p>
        </w:tc>
        <w:tc>
          <w:tcPr>
            <w:tcW w:w="1220" w:type="dxa"/>
            <w:vAlign w:val="bottom"/>
            <w:shd w:val="clear" w:color="auto" w:fill="E0DBEA"/>
          </w:tcPr>
          <w:p>
            <w:pPr>
              <w:spacing w:after="0"/>
              <w:rPr>
                <w:sz w:val="10"/>
                <w:szCs w:val="10"/>
                <w:color w:val="auto"/>
              </w:rPr>
            </w:pPr>
          </w:p>
        </w:tc>
        <w:tc>
          <w:tcPr>
            <w:tcW w:w="5020" w:type="dxa"/>
            <w:vAlign w:val="bottom"/>
            <w:vMerge w:val="continue"/>
            <w:shd w:val="clear" w:color="auto" w:fill="E0DBEA"/>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160" w:type="dxa"/>
            <w:vAlign w:val="bottom"/>
            <w:vMerge w:val="continue"/>
            <w:shd w:val="clear" w:color="auto" w:fill="E0DBEA"/>
          </w:tcPr>
          <w:p>
            <w:pPr>
              <w:spacing w:after="0"/>
              <w:rPr>
                <w:sz w:val="5"/>
                <w:szCs w:val="5"/>
                <w:color w:val="auto"/>
              </w:rPr>
            </w:pPr>
          </w:p>
        </w:tc>
        <w:tc>
          <w:tcPr>
            <w:tcW w:w="640" w:type="dxa"/>
            <w:vAlign w:val="bottom"/>
            <w:shd w:val="clear" w:color="auto" w:fill="E0DBEA"/>
          </w:tcPr>
          <w:p>
            <w:pPr>
              <w:spacing w:after="0"/>
              <w:rPr>
                <w:sz w:val="5"/>
                <w:szCs w:val="5"/>
                <w:color w:val="auto"/>
              </w:rPr>
            </w:pPr>
          </w:p>
        </w:tc>
        <w:tc>
          <w:tcPr>
            <w:tcW w:w="1220" w:type="dxa"/>
            <w:vAlign w:val="bottom"/>
            <w:shd w:val="clear" w:color="auto" w:fill="E0DBEA"/>
          </w:tcPr>
          <w:p>
            <w:pPr>
              <w:spacing w:after="0"/>
              <w:rPr>
                <w:sz w:val="5"/>
                <w:szCs w:val="5"/>
                <w:color w:val="auto"/>
              </w:rPr>
            </w:pPr>
          </w:p>
        </w:tc>
        <w:tc>
          <w:tcPr>
            <w:tcW w:w="5020" w:type="dxa"/>
            <w:vAlign w:val="bottom"/>
            <w:shd w:val="clear" w:color="auto" w:fill="E0DBEA"/>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160" w:type="dxa"/>
            <w:vAlign w:val="bottom"/>
            <w:tcBorders>
              <w:bottom w:val="single" w:sz="8" w:color="582C83"/>
            </w:tcBorders>
            <w:shd w:val="clear" w:color="auto" w:fill="E0DBEA"/>
          </w:tcPr>
          <w:p>
            <w:pPr>
              <w:spacing w:after="0"/>
              <w:rPr>
                <w:sz w:val="5"/>
                <w:szCs w:val="5"/>
                <w:color w:val="auto"/>
              </w:rPr>
            </w:pPr>
          </w:p>
        </w:tc>
        <w:tc>
          <w:tcPr>
            <w:tcW w:w="640" w:type="dxa"/>
            <w:vAlign w:val="bottom"/>
            <w:tcBorders>
              <w:bottom w:val="single" w:sz="8" w:color="582C83"/>
            </w:tcBorders>
            <w:shd w:val="clear" w:color="auto" w:fill="E0DBEA"/>
          </w:tcPr>
          <w:p>
            <w:pPr>
              <w:spacing w:after="0"/>
              <w:rPr>
                <w:sz w:val="5"/>
                <w:szCs w:val="5"/>
                <w:color w:val="auto"/>
              </w:rPr>
            </w:pPr>
          </w:p>
        </w:tc>
        <w:tc>
          <w:tcPr>
            <w:tcW w:w="1220" w:type="dxa"/>
            <w:vAlign w:val="bottom"/>
            <w:tcBorders>
              <w:bottom w:val="single" w:sz="8" w:color="582C83"/>
            </w:tcBorders>
            <w:shd w:val="clear" w:color="auto" w:fill="E0DBEA"/>
          </w:tcPr>
          <w:p>
            <w:pPr>
              <w:spacing w:after="0"/>
              <w:rPr>
                <w:sz w:val="5"/>
                <w:szCs w:val="5"/>
                <w:color w:val="auto"/>
              </w:rPr>
            </w:pPr>
          </w:p>
        </w:tc>
        <w:tc>
          <w:tcPr>
            <w:tcW w:w="5020" w:type="dxa"/>
            <w:vAlign w:val="bottom"/>
            <w:tcBorders>
              <w:bottom w:val="single" w:sz="8" w:color="582C83"/>
            </w:tcBorders>
            <w:shd w:val="clear" w:color="auto" w:fill="E0DBEA"/>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160" w:type="dxa"/>
            <w:vAlign w:val="bottom"/>
          </w:tcPr>
          <w:p>
            <w:pPr>
              <w:ind w:left="60"/>
              <w:spacing w:after="0"/>
              <w:rPr>
                <w:sz w:val="20"/>
                <w:szCs w:val="20"/>
                <w:color w:val="auto"/>
              </w:rPr>
            </w:pPr>
            <w:r>
              <w:rPr>
                <w:rFonts w:ascii="Arial" w:cs="Arial" w:eastAsia="Arial" w:hAnsi="Arial"/>
                <w:sz w:val="14"/>
                <w:szCs w:val="14"/>
                <w:b w:val="1"/>
                <w:bCs w:val="1"/>
                <w:color w:val="auto"/>
              </w:rPr>
              <w:t>Execution:</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25%</w:t>
            </w:r>
          </w:p>
        </w:tc>
        <w:tc>
          <w:tcPr>
            <w:tcW w:w="1220" w:type="dxa"/>
            <w:vAlign w:val="bottom"/>
          </w:tcPr>
          <w:p>
            <w:pPr>
              <w:ind w:left="1120"/>
              <w:spacing w:after="0"/>
              <w:rPr>
                <w:sz w:val="20"/>
                <w:szCs w:val="20"/>
                <w:color w:val="auto"/>
              </w:rPr>
            </w:pPr>
            <w:r>
              <w:rPr>
                <w:rFonts w:ascii="Arial" w:cs="Arial" w:eastAsia="Arial" w:hAnsi="Arial"/>
                <w:sz w:val="17"/>
                <w:szCs w:val="17"/>
                <w:color w:val="582C83"/>
              </w:rPr>
              <w:t>•</w:t>
            </w:r>
          </w:p>
        </w:tc>
        <w:tc>
          <w:tcPr>
            <w:tcW w:w="5020" w:type="dxa"/>
            <w:vAlign w:val="bottom"/>
          </w:tcPr>
          <w:p>
            <w:pPr>
              <w:ind w:left="40"/>
              <w:spacing w:after="0"/>
              <w:rPr>
                <w:sz w:val="20"/>
                <w:szCs w:val="20"/>
                <w:color w:val="auto"/>
              </w:rPr>
            </w:pPr>
            <w:r>
              <w:rPr>
                <w:rFonts w:ascii="Arial" w:cs="Arial" w:eastAsia="Arial" w:hAnsi="Arial"/>
                <w:sz w:val="14"/>
                <w:szCs w:val="14"/>
                <w:b w:val="1"/>
                <w:bCs w:val="1"/>
                <w:color w:val="auto"/>
              </w:rPr>
              <w:t xml:space="preserve">Customer Partner of Choice: </w:t>
            </w:r>
            <w:r>
              <w:rPr>
                <w:rFonts w:ascii="Arial" w:cs="Arial" w:eastAsia="Arial" w:hAnsi="Arial"/>
                <w:sz w:val="14"/>
                <w:szCs w:val="14"/>
                <w:color w:val="auto"/>
              </w:rPr>
              <w:t>Increased satisfaction score in more than half</w:t>
            </w:r>
          </w:p>
        </w:tc>
        <w:tc>
          <w:tcPr>
            <w:tcW w:w="0" w:type="dxa"/>
            <w:vAlign w:val="bottom"/>
          </w:tcPr>
          <w:p>
            <w:pPr>
              <w:spacing w:after="0"/>
              <w:rPr>
                <w:sz w:val="1"/>
                <w:szCs w:val="1"/>
                <w:color w:val="auto"/>
              </w:rPr>
            </w:pPr>
          </w:p>
        </w:tc>
      </w:tr>
      <w:tr>
        <w:trPr>
          <w:trHeight w:val="185"/>
        </w:trPr>
        <w:tc>
          <w:tcPr>
            <w:tcW w:w="2160" w:type="dxa"/>
            <w:vAlign w:val="bottom"/>
          </w:tcPr>
          <w:p>
            <w:pPr>
              <w:ind w:left="60"/>
              <w:spacing w:after="0"/>
              <w:rPr>
                <w:sz w:val="20"/>
                <w:szCs w:val="20"/>
                <w:color w:val="auto"/>
              </w:rPr>
            </w:pPr>
            <w:r>
              <w:rPr>
                <w:rFonts w:ascii="Arial" w:cs="Arial" w:eastAsia="Arial" w:hAnsi="Arial"/>
                <w:sz w:val="14"/>
                <w:szCs w:val="14"/>
                <w:color w:val="auto"/>
              </w:rPr>
              <w:t>Achieve top ranking in customer</w:t>
            </w:r>
          </w:p>
        </w:tc>
        <w:tc>
          <w:tcPr>
            <w:tcW w:w="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20" w:type="dxa"/>
            <w:vAlign w:val="bottom"/>
          </w:tcPr>
          <w:p>
            <w:pPr>
              <w:ind w:left="40"/>
              <w:spacing w:after="0"/>
              <w:rPr>
                <w:sz w:val="20"/>
                <w:szCs w:val="20"/>
                <w:color w:val="auto"/>
              </w:rPr>
            </w:pPr>
            <w:r>
              <w:rPr>
                <w:rFonts w:ascii="Arial" w:cs="Arial" w:eastAsia="Arial" w:hAnsi="Arial"/>
                <w:sz w:val="14"/>
                <w:szCs w:val="14"/>
                <w:color w:val="auto"/>
              </w:rPr>
              <w:t>of our markets, but missed our expectations on annual progress towards our</w:t>
            </w:r>
          </w:p>
        </w:tc>
        <w:tc>
          <w:tcPr>
            <w:tcW w:w="0" w:type="dxa"/>
            <w:vAlign w:val="bottom"/>
          </w:tcPr>
          <w:p>
            <w:pPr>
              <w:spacing w:after="0"/>
              <w:rPr>
                <w:sz w:val="1"/>
                <w:szCs w:val="1"/>
                <w:color w:val="auto"/>
              </w:rPr>
            </w:pPr>
          </w:p>
        </w:tc>
      </w:tr>
      <w:tr>
        <w:trPr>
          <w:trHeight w:val="153"/>
        </w:trPr>
        <w:tc>
          <w:tcPr>
            <w:tcW w:w="2160" w:type="dxa"/>
            <w:vAlign w:val="bottom"/>
          </w:tcPr>
          <w:p>
            <w:pPr>
              <w:ind w:left="60"/>
              <w:spacing w:after="0" w:line="153" w:lineRule="exact"/>
              <w:rPr>
                <w:sz w:val="20"/>
                <w:szCs w:val="20"/>
                <w:color w:val="auto"/>
              </w:rPr>
            </w:pPr>
            <w:r>
              <w:rPr>
                <w:rFonts w:ascii="Arial" w:cs="Arial" w:eastAsia="Arial" w:hAnsi="Arial"/>
                <w:sz w:val="14"/>
                <w:szCs w:val="14"/>
                <w:color w:val="auto"/>
              </w:rPr>
              <w:t>partner of choice survey</w:t>
            </w:r>
          </w:p>
        </w:tc>
        <w:tc>
          <w:tcPr>
            <w:tcW w:w="6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20" w:type="dxa"/>
            <w:vAlign w:val="bottom"/>
            <w:vMerge w:val="restart"/>
          </w:tcPr>
          <w:p>
            <w:pPr>
              <w:ind w:left="40"/>
              <w:spacing w:after="0"/>
              <w:rPr>
                <w:sz w:val="20"/>
                <w:szCs w:val="20"/>
                <w:color w:val="auto"/>
              </w:rPr>
            </w:pPr>
            <w:r>
              <w:rPr>
                <w:rFonts w:ascii="Arial" w:cs="Arial" w:eastAsia="Arial" w:hAnsi="Arial"/>
                <w:sz w:val="14"/>
                <w:szCs w:val="14"/>
                <w:color w:val="auto"/>
              </w:rPr>
              <w:t>long-term objective</w:t>
            </w:r>
          </w:p>
        </w:tc>
        <w:tc>
          <w:tcPr>
            <w:tcW w:w="0" w:type="dxa"/>
            <w:vAlign w:val="bottom"/>
          </w:tcPr>
          <w:p>
            <w:pPr>
              <w:spacing w:after="0"/>
              <w:rPr>
                <w:sz w:val="1"/>
                <w:szCs w:val="1"/>
                <w:color w:val="auto"/>
              </w:rPr>
            </w:pPr>
          </w:p>
        </w:tc>
      </w:tr>
      <w:tr>
        <w:trPr>
          <w:trHeight w:val="109"/>
        </w:trPr>
        <w:tc>
          <w:tcPr>
            <w:tcW w:w="2160" w:type="dxa"/>
            <w:vAlign w:val="bottom"/>
            <w:vMerge w:val="restart"/>
          </w:tcPr>
          <w:p>
            <w:pPr>
              <w:ind w:left="60"/>
              <w:spacing w:after="0"/>
              <w:rPr>
                <w:sz w:val="20"/>
                <w:szCs w:val="20"/>
                <w:color w:val="auto"/>
              </w:rPr>
            </w:pPr>
            <w:r>
              <w:rPr>
                <w:rFonts w:ascii="Arial" w:cs="Arial" w:eastAsia="Arial" w:hAnsi="Arial"/>
                <w:sz w:val="14"/>
                <w:szCs w:val="14"/>
                <w:color w:val="auto"/>
              </w:rPr>
              <w:t>vs. peers</w:t>
            </w:r>
          </w:p>
        </w:tc>
        <w:tc>
          <w:tcPr>
            <w:tcW w:w="6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5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160" w:type="dxa"/>
            <w:vAlign w:val="bottom"/>
            <w:tcBorders>
              <w:bottom w:val="single" w:sz="8" w:color="582C83"/>
            </w:tcBorders>
          </w:tcPr>
          <w:p>
            <w:pPr>
              <w:spacing w:after="0"/>
              <w:rPr>
                <w:sz w:val="5"/>
                <w:szCs w:val="5"/>
                <w:color w:val="auto"/>
              </w:rPr>
            </w:pPr>
          </w:p>
        </w:tc>
        <w:tc>
          <w:tcPr>
            <w:tcW w:w="640" w:type="dxa"/>
            <w:vAlign w:val="bottom"/>
            <w:tcBorders>
              <w:bottom w:val="single" w:sz="8" w:color="582C83"/>
            </w:tcBorders>
          </w:tcPr>
          <w:p>
            <w:pPr>
              <w:spacing w:after="0"/>
              <w:rPr>
                <w:sz w:val="5"/>
                <w:szCs w:val="5"/>
                <w:color w:val="auto"/>
              </w:rPr>
            </w:pPr>
          </w:p>
        </w:tc>
        <w:tc>
          <w:tcPr>
            <w:tcW w:w="1220" w:type="dxa"/>
            <w:vAlign w:val="bottom"/>
            <w:tcBorders>
              <w:bottom w:val="single" w:sz="8" w:color="582C83"/>
            </w:tcBorders>
          </w:tcPr>
          <w:p>
            <w:pPr>
              <w:spacing w:after="0"/>
              <w:rPr>
                <w:sz w:val="5"/>
                <w:szCs w:val="5"/>
                <w:color w:val="auto"/>
              </w:rPr>
            </w:pPr>
          </w:p>
        </w:tc>
        <w:tc>
          <w:tcPr>
            <w:tcW w:w="5020" w:type="dxa"/>
            <w:vAlign w:val="bottom"/>
            <w:tcBorders>
              <w:bottom w:val="single" w:sz="8" w:color="582C83"/>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16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Culture:</w:t>
            </w:r>
          </w:p>
        </w:tc>
        <w:tc>
          <w:tcPr>
            <w:tcW w:w="640" w:type="dxa"/>
            <w:vAlign w:val="bottom"/>
            <w:shd w:val="clear" w:color="auto" w:fill="E0DBEA"/>
          </w:tcPr>
          <w:p>
            <w:pPr>
              <w:jc w:val="right"/>
              <w:ind w:right="88"/>
              <w:spacing w:after="0"/>
              <w:rPr>
                <w:sz w:val="20"/>
                <w:szCs w:val="20"/>
                <w:color w:val="auto"/>
              </w:rPr>
            </w:pPr>
            <w:r>
              <w:rPr>
                <w:rFonts w:ascii="Arial" w:cs="Arial" w:eastAsia="Arial" w:hAnsi="Arial"/>
                <w:sz w:val="14"/>
                <w:szCs w:val="14"/>
                <w:color w:val="auto"/>
              </w:rPr>
              <w:t>25%</w:t>
            </w:r>
          </w:p>
        </w:tc>
        <w:tc>
          <w:tcPr>
            <w:tcW w:w="1220" w:type="dxa"/>
            <w:vAlign w:val="bottom"/>
            <w:shd w:val="clear" w:color="auto" w:fill="E0DBEA"/>
          </w:tcPr>
          <w:p>
            <w:pPr>
              <w:ind w:left="1120"/>
              <w:spacing w:after="0"/>
              <w:rPr>
                <w:sz w:val="20"/>
                <w:szCs w:val="20"/>
                <w:color w:val="auto"/>
              </w:rPr>
            </w:pPr>
            <w:r>
              <w:rPr>
                <w:rFonts w:ascii="Arial" w:cs="Arial" w:eastAsia="Arial" w:hAnsi="Arial"/>
                <w:sz w:val="17"/>
                <w:szCs w:val="17"/>
                <w:color w:val="582C83"/>
              </w:rPr>
              <w:t>•</w:t>
            </w:r>
          </w:p>
        </w:tc>
        <w:tc>
          <w:tcPr>
            <w:tcW w:w="5020" w:type="dxa"/>
            <w:vAlign w:val="bottom"/>
            <w:shd w:val="clear" w:color="auto" w:fill="E0DBEA"/>
          </w:tcPr>
          <w:p>
            <w:pPr>
              <w:ind w:left="40"/>
              <w:spacing w:after="0"/>
              <w:rPr>
                <w:sz w:val="20"/>
                <w:szCs w:val="20"/>
                <w:color w:val="auto"/>
              </w:rPr>
            </w:pPr>
            <w:r>
              <w:rPr>
                <w:rFonts w:ascii="Arial" w:cs="Arial" w:eastAsia="Arial" w:hAnsi="Arial"/>
                <w:sz w:val="14"/>
                <w:szCs w:val="14"/>
                <w:b w:val="1"/>
                <w:bCs w:val="1"/>
                <w:color w:val="auto"/>
              </w:rPr>
              <w:t xml:space="preserve">Employee Engagement: </w:t>
            </w:r>
            <w:r>
              <w:rPr>
                <w:rFonts w:ascii="Arial" w:cs="Arial" w:eastAsia="Arial" w:hAnsi="Arial"/>
                <w:sz w:val="14"/>
                <w:szCs w:val="14"/>
                <w:color w:val="auto"/>
              </w:rPr>
              <w:t>Exceeded expectations by increasing our ranking</w:t>
            </w:r>
          </w:p>
        </w:tc>
        <w:tc>
          <w:tcPr>
            <w:tcW w:w="0" w:type="dxa"/>
            <w:vAlign w:val="bottom"/>
          </w:tcPr>
          <w:p>
            <w:pPr>
              <w:spacing w:after="0"/>
              <w:rPr>
                <w:sz w:val="1"/>
                <w:szCs w:val="1"/>
                <w:color w:val="auto"/>
              </w:rPr>
            </w:pPr>
          </w:p>
        </w:tc>
      </w:tr>
      <w:tr>
        <w:trPr>
          <w:trHeight w:val="176"/>
        </w:trPr>
        <w:tc>
          <w:tcPr>
            <w:tcW w:w="2160" w:type="dxa"/>
            <w:vAlign w:val="bottom"/>
            <w:shd w:val="clear" w:color="auto" w:fill="E0DBEA"/>
          </w:tcPr>
          <w:p>
            <w:pPr>
              <w:ind w:left="60"/>
              <w:spacing w:after="0"/>
              <w:rPr>
                <w:sz w:val="20"/>
                <w:szCs w:val="20"/>
                <w:color w:val="auto"/>
              </w:rPr>
            </w:pPr>
            <w:r>
              <w:rPr>
                <w:rFonts w:ascii="Arial" w:cs="Arial" w:eastAsia="Arial" w:hAnsi="Arial"/>
                <w:sz w:val="14"/>
                <w:szCs w:val="14"/>
                <w:color w:val="auto"/>
              </w:rPr>
              <w:t>Achieve top score in employee</w:t>
            </w:r>
          </w:p>
        </w:tc>
        <w:tc>
          <w:tcPr>
            <w:tcW w:w="640" w:type="dxa"/>
            <w:vAlign w:val="bottom"/>
            <w:shd w:val="clear" w:color="auto" w:fill="E0DBEA"/>
          </w:tcPr>
          <w:p>
            <w:pPr>
              <w:spacing w:after="0"/>
              <w:rPr>
                <w:sz w:val="15"/>
                <w:szCs w:val="15"/>
                <w:color w:val="auto"/>
              </w:rPr>
            </w:pPr>
          </w:p>
        </w:tc>
        <w:tc>
          <w:tcPr>
            <w:tcW w:w="1220" w:type="dxa"/>
            <w:vAlign w:val="bottom"/>
            <w:shd w:val="clear" w:color="auto" w:fill="E0DBEA"/>
          </w:tcPr>
          <w:p>
            <w:pPr>
              <w:spacing w:after="0"/>
              <w:rPr>
                <w:sz w:val="15"/>
                <w:szCs w:val="15"/>
                <w:color w:val="auto"/>
              </w:rPr>
            </w:pPr>
          </w:p>
        </w:tc>
        <w:tc>
          <w:tcPr>
            <w:tcW w:w="5020" w:type="dxa"/>
            <w:vAlign w:val="bottom"/>
            <w:shd w:val="clear" w:color="auto" w:fill="E0DBEA"/>
          </w:tcPr>
          <w:p>
            <w:pPr>
              <w:ind w:left="40"/>
              <w:spacing w:after="0"/>
              <w:rPr>
                <w:sz w:val="20"/>
                <w:szCs w:val="20"/>
                <w:color w:val="auto"/>
              </w:rPr>
            </w:pPr>
            <w:r>
              <w:rPr>
                <w:rFonts w:ascii="Arial" w:cs="Arial" w:eastAsia="Arial" w:hAnsi="Arial"/>
                <w:sz w:val="14"/>
                <w:szCs w:val="14"/>
                <w:color w:val="auto"/>
              </w:rPr>
              <w:t>in the top quartile relative to benchmark companies, as well as increasing</w:t>
            </w:r>
          </w:p>
        </w:tc>
        <w:tc>
          <w:tcPr>
            <w:tcW w:w="0" w:type="dxa"/>
            <w:vAlign w:val="bottom"/>
          </w:tcPr>
          <w:p>
            <w:pPr>
              <w:spacing w:after="0"/>
              <w:rPr>
                <w:sz w:val="1"/>
                <w:szCs w:val="1"/>
                <w:color w:val="auto"/>
              </w:rPr>
            </w:pPr>
          </w:p>
        </w:tc>
      </w:tr>
      <w:tr>
        <w:trPr>
          <w:trHeight w:val="231"/>
        </w:trPr>
        <w:tc>
          <w:tcPr>
            <w:tcW w:w="2160" w:type="dxa"/>
            <w:vAlign w:val="bottom"/>
            <w:shd w:val="clear" w:color="auto" w:fill="E0DBEA"/>
          </w:tcPr>
          <w:p>
            <w:pPr>
              <w:ind w:left="60"/>
              <w:spacing w:after="0"/>
              <w:rPr>
                <w:sz w:val="20"/>
                <w:szCs w:val="20"/>
                <w:color w:val="auto"/>
              </w:rPr>
            </w:pPr>
            <w:r>
              <w:rPr>
                <w:rFonts w:ascii="Arial" w:cs="Arial" w:eastAsia="Arial" w:hAnsi="Arial"/>
                <w:sz w:val="14"/>
                <w:szCs w:val="14"/>
                <w:color w:val="auto"/>
              </w:rPr>
              <w:t>engagement survey vs. peers</w:t>
            </w:r>
          </w:p>
        </w:tc>
        <w:tc>
          <w:tcPr>
            <w:tcW w:w="640" w:type="dxa"/>
            <w:vAlign w:val="bottom"/>
            <w:shd w:val="clear" w:color="auto" w:fill="E0DBEA"/>
          </w:tcPr>
          <w:p>
            <w:pPr>
              <w:spacing w:after="0"/>
              <w:rPr>
                <w:sz w:val="20"/>
                <w:szCs w:val="20"/>
                <w:color w:val="auto"/>
              </w:rPr>
            </w:pPr>
          </w:p>
        </w:tc>
        <w:tc>
          <w:tcPr>
            <w:tcW w:w="1220" w:type="dxa"/>
            <w:vAlign w:val="bottom"/>
            <w:shd w:val="clear" w:color="auto" w:fill="E0DBEA"/>
          </w:tcPr>
          <w:p>
            <w:pPr>
              <w:spacing w:after="0"/>
              <w:rPr>
                <w:sz w:val="20"/>
                <w:szCs w:val="20"/>
                <w:color w:val="auto"/>
              </w:rPr>
            </w:pPr>
          </w:p>
        </w:tc>
        <w:tc>
          <w:tcPr>
            <w:tcW w:w="5020" w:type="dxa"/>
            <w:vAlign w:val="bottom"/>
            <w:shd w:val="clear" w:color="auto" w:fill="E0DBEA"/>
          </w:tcPr>
          <w:p>
            <w:pPr>
              <w:ind w:left="40"/>
              <w:spacing w:after="0"/>
              <w:rPr>
                <w:sz w:val="20"/>
                <w:szCs w:val="20"/>
                <w:color w:val="auto"/>
              </w:rPr>
            </w:pPr>
            <w:r>
              <w:rPr>
                <w:rFonts w:ascii="Arial" w:cs="Arial" w:eastAsia="Arial" w:hAnsi="Arial"/>
                <w:sz w:val="14"/>
                <w:szCs w:val="14"/>
                <w:color w:val="auto"/>
              </w:rPr>
              <w:t>year-over-year employee participation and engagement scores</w:t>
            </w:r>
          </w:p>
        </w:tc>
        <w:tc>
          <w:tcPr>
            <w:tcW w:w="0" w:type="dxa"/>
            <w:vAlign w:val="bottom"/>
          </w:tcPr>
          <w:p>
            <w:pPr>
              <w:spacing w:after="0"/>
              <w:rPr>
                <w:sz w:val="1"/>
                <w:szCs w:val="1"/>
                <w:color w:val="auto"/>
              </w:rPr>
            </w:pPr>
          </w:p>
        </w:tc>
      </w:tr>
      <w:tr>
        <w:trPr>
          <w:trHeight w:val="103"/>
        </w:trPr>
        <w:tc>
          <w:tcPr>
            <w:tcW w:w="2160" w:type="dxa"/>
            <w:vAlign w:val="bottom"/>
            <w:tcBorders>
              <w:bottom w:val="single" w:sz="8" w:color="582C83"/>
            </w:tcBorders>
            <w:shd w:val="clear" w:color="auto" w:fill="E0DBEA"/>
          </w:tcPr>
          <w:p>
            <w:pPr>
              <w:spacing w:after="0"/>
              <w:rPr>
                <w:sz w:val="8"/>
                <w:szCs w:val="8"/>
                <w:color w:val="auto"/>
              </w:rPr>
            </w:pPr>
          </w:p>
        </w:tc>
        <w:tc>
          <w:tcPr>
            <w:tcW w:w="640" w:type="dxa"/>
            <w:vAlign w:val="bottom"/>
            <w:tcBorders>
              <w:bottom w:val="single" w:sz="8" w:color="582C83"/>
            </w:tcBorders>
            <w:shd w:val="clear" w:color="auto" w:fill="E0DBEA"/>
          </w:tcPr>
          <w:p>
            <w:pPr>
              <w:spacing w:after="0"/>
              <w:rPr>
                <w:sz w:val="8"/>
                <w:szCs w:val="8"/>
                <w:color w:val="auto"/>
              </w:rPr>
            </w:pPr>
          </w:p>
        </w:tc>
        <w:tc>
          <w:tcPr>
            <w:tcW w:w="1220" w:type="dxa"/>
            <w:vAlign w:val="bottom"/>
            <w:tcBorders>
              <w:bottom w:val="single" w:sz="8" w:color="582C83"/>
            </w:tcBorders>
            <w:shd w:val="clear" w:color="auto" w:fill="E0DBEA"/>
          </w:tcPr>
          <w:p>
            <w:pPr>
              <w:spacing w:after="0"/>
              <w:rPr>
                <w:sz w:val="8"/>
                <w:szCs w:val="8"/>
                <w:color w:val="auto"/>
              </w:rPr>
            </w:pPr>
          </w:p>
        </w:tc>
        <w:tc>
          <w:tcPr>
            <w:tcW w:w="5020" w:type="dxa"/>
            <w:vAlign w:val="bottom"/>
            <w:tcBorders>
              <w:bottom w:val="single" w:sz="8" w:color="582C83"/>
            </w:tcBorders>
            <w:shd w:val="clear" w:color="auto" w:fill="E0DBEA"/>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160" w:type="dxa"/>
            <w:vAlign w:val="bottom"/>
          </w:tcPr>
          <w:p>
            <w:pPr>
              <w:ind w:left="60"/>
              <w:spacing w:after="0"/>
              <w:rPr>
                <w:sz w:val="20"/>
                <w:szCs w:val="20"/>
                <w:color w:val="auto"/>
              </w:rPr>
            </w:pPr>
            <w:r>
              <w:rPr>
                <w:rFonts w:ascii="Arial" w:cs="Arial" w:eastAsia="Arial" w:hAnsi="Arial"/>
                <w:sz w:val="14"/>
                <w:szCs w:val="14"/>
                <w:b w:val="1"/>
                <w:bCs w:val="1"/>
                <w:color w:val="auto"/>
              </w:rPr>
              <w:t>Sustainability:</w:t>
            </w: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25%</w:t>
            </w:r>
          </w:p>
        </w:tc>
        <w:tc>
          <w:tcPr>
            <w:tcW w:w="1220" w:type="dxa"/>
            <w:vAlign w:val="bottom"/>
          </w:tcPr>
          <w:p>
            <w:pPr>
              <w:ind w:left="1120"/>
              <w:spacing w:after="0"/>
              <w:rPr>
                <w:sz w:val="20"/>
                <w:szCs w:val="20"/>
                <w:color w:val="auto"/>
              </w:rPr>
            </w:pPr>
            <w:r>
              <w:rPr>
                <w:rFonts w:ascii="Arial" w:cs="Arial" w:eastAsia="Arial" w:hAnsi="Arial"/>
                <w:sz w:val="17"/>
                <w:szCs w:val="17"/>
                <w:color w:val="582C83"/>
              </w:rPr>
              <w:t>•</w:t>
            </w:r>
          </w:p>
        </w:tc>
        <w:tc>
          <w:tcPr>
            <w:tcW w:w="5020" w:type="dxa"/>
            <w:vAlign w:val="bottom"/>
          </w:tcPr>
          <w:p>
            <w:pPr>
              <w:ind w:left="40"/>
              <w:spacing w:after="0"/>
              <w:rPr>
                <w:sz w:val="20"/>
                <w:szCs w:val="20"/>
                <w:color w:val="auto"/>
              </w:rPr>
            </w:pPr>
            <w:r>
              <w:rPr>
                <w:rFonts w:ascii="Arial" w:cs="Arial" w:eastAsia="Arial" w:hAnsi="Arial"/>
                <w:sz w:val="14"/>
                <w:szCs w:val="14"/>
                <w:b w:val="1"/>
                <w:bCs w:val="1"/>
                <w:color w:val="auto"/>
              </w:rPr>
              <w:t xml:space="preserve">Climate: </w:t>
            </w:r>
            <w:r>
              <w:rPr>
                <w:rFonts w:ascii="Arial" w:cs="Arial" w:eastAsia="Arial" w:hAnsi="Arial"/>
                <w:sz w:val="14"/>
                <w:szCs w:val="14"/>
                <w:color w:val="auto"/>
              </w:rPr>
              <w:t>Strong progress towards our long-term goal, with more sustainably</w:t>
            </w:r>
          </w:p>
        </w:tc>
        <w:tc>
          <w:tcPr>
            <w:tcW w:w="0" w:type="dxa"/>
            <w:vAlign w:val="bottom"/>
          </w:tcPr>
          <w:p>
            <w:pPr>
              <w:spacing w:after="0"/>
              <w:rPr>
                <w:sz w:val="1"/>
                <w:szCs w:val="1"/>
                <w:color w:val="auto"/>
              </w:rPr>
            </w:pPr>
          </w:p>
        </w:tc>
      </w:tr>
      <w:tr>
        <w:trPr>
          <w:trHeight w:val="185"/>
        </w:trPr>
        <w:tc>
          <w:tcPr>
            <w:tcW w:w="2160" w:type="dxa"/>
            <w:vAlign w:val="bottom"/>
          </w:tcPr>
          <w:p>
            <w:pPr>
              <w:ind w:left="60"/>
              <w:spacing w:after="0"/>
              <w:rPr>
                <w:sz w:val="20"/>
                <w:szCs w:val="20"/>
                <w:color w:val="auto"/>
              </w:rPr>
            </w:pPr>
            <w:r>
              <w:rPr>
                <w:rFonts w:ascii="Arial" w:cs="Arial" w:eastAsia="Arial" w:hAnsi="Arial"/>
                <w:sz w:val="14"/>
                <w:szCs w:val="14"/>
                <w:color w:val="auto"/>
              </w:rPr>
              <w:t>Reduce our end-to-end carbon</w:t>
            </w:r>
          </w:p>
        </w:tc>
        <w:tc>
          <w:tcPr>
            <w:tcW w:w="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20" w:type="dxa"/>
            <w:vAlign w:val="bottom"/>
          </w:tcPr>
          <w:p>
            <w:pPr>
              <w:ind w:left="40"/>
              <w:spacing w:after="0"/>
              <w:rPr>
                <w:sz w:val="20"/>
                <w:szCs w:val="20"/>
                <w:color w:val="auto"/>
              </w:rPr>
            </w:pPr>
            <w:r>
              <w:rPr>
                <w:rFonts w:ascii="Arial" w:cs="Arial" w:eastAsia="Arial" w:hAnsi="Arial"/>
                <w:sz w:val="14"/>
                <w:szCs w:val="14"/>
                <w:color w:val="auto"/>
              </w:rPr>
              <w:t>sourced cocoa continuing to be our largest carbon reduction initiative,</w:t>
            </w:r>
          </w:p>
        </w:tc>
        <w:tc>
          <w:tcPr>
            <w:tcW w:w="0" w:type="dxa"/>
            <w:vAlign w:val="bottom"/>
          </w:tcPr>
          <w:p>
            <w:pPr>
              <w:spacing w:after="0"/>
              <w:rPr>
                <w:sz w:val="1"/>
                <w:szCs w:val="1"/>
                <w:color w:val="auto"/>
              </w:rPr>
            </w:pPr>
          </w:p>
        </w:tc>
      </w:tr>
      <w:tr>
        <w:trPr>
          <w:trHeight w:val="153"/>
        </w:trPr>
        <w:tc>
          <w:tcPr>
            <w:tcW w:w="2160" w:type="dxa"/>
            <w:vAlign w:val="bottom"/>
          </w:tcPr>
          <w:p>
            <w:pPr>
              <w:ind w:left="60"/>
              <w:spacing w:after="0" w:line="153" w:lineRule="exact"/>
              <w:rPr>
                <w:sz w:val="20"/>
                <w:szCs w:val="20"/>
                <w:color w:val="auto"/>
              </w:rPr>
            </w:pPr>
            <w:r>
              <w:rPr>
                <w:rFonts w:ascii="Arial" w:cs="Arial" w:eastAsia="Arial" w:hAnsi="Arial"/>
                <w:sz w:val="14"/>
                <w:szCs w:val="14"/>
                <w:color w:val="auto"/>
              </w:rPr>
              <w:t>footprint from our full</w:t>
            </w:r>
          </w:p>
        </w:tc>
        <w:tc>
          <w:tcPr>
            <w:tcW w:w="6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20" w:type="dxa"/>
            <w:vAlign w:val="bottom"/>
            <w:vMerge w:val="restart"/>
          </w:tcPr>
          <w:p>
            <w:pPr>
              <w:ind w:left="40"/>
              <w:spacing w:after="0"/>
              <w:rPr>
                <w:sz w:val="20"/>
                <w:szCs w:val="20"/>
                <w:color w:val="auto"/>
              </w:rPr>
            </w:pPr>
            <w:r>
              <w:rPr>
                <w:rFonts w:ascii="Arial" w:cs="Arial" w:eastAsia="Arial" w:hAnsi="Arial"/>
                <w:sz w:val="14"/>
                <w:szCs w:val="14"/>
                <w:color w:val="auto"/>
              </w:rPr>
              <w:t>expanding renewable electricity, and expanding dairy</w:t>
            </w:r>
          </w:p>
        </w:tc>
        <w:tc>
          <w:tcPr>
            <w:tcW w:w="0" w:type="dxa"/>
            <w:vAlign w:val="bottom"/>
          </w:tcPr>
          <w:p>
            <w:pPr>
              <w:spacing w:after="0"/>
              <w:rPr>
                <w:sz w:val="1"/>
                <w:szCs w:val="1"/>
                <w:color w:val="auto"/>
              </w:rPr>
            </w:pPr>
          </w:p>
        </w:tc>
      </w:tr>
      <w:tr>
        <w:trPr>
          <w:trHeight w:val="82"/>
        </w:trPr>
        <w:tc>
          <w:tcPr>
            <w:tcW w:w="2160" w:type="dxa"/>
            <w:vAlign w:val="bottom"/>
            <w:vMerge w:val="restart"/>
          </w:tcPr>
          <w:p>
            <w:pPr>
              <w:ind w:left="60"/>
              <w:spacing w:after="0"/>
              <w:rPr>
                <w:sz w:val="20"/>
                <w:szCs w:val="20"/>
                <w:color w:val="auto"/>
              </w:rPr>
            </w:pPr>
            <w:r>
              <w:rPr>
                <w:rFonts w:ascii="Arial" w:cs="Arial" w:eastAsia="Arial" w:hAnsi="Arial"/>
                <w:sz w:val="14"/>
                <w:szCs w:val="14"/>
                <w:color w:val="auto"/>
              </w:rPr>
              <w:t>value chain</w:t>
            </w:r>
          </w:p>
        </w:tc>
        <w:tc>
          <w:tcPr>
            <w:tcW w:w="6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1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020" w:type="dxa"/>
            <w:vAlign w:val="bottom"/>
            <w:vMerge w:val="restart"/>
          </w:tcPr>
          <w:p>
            <w:pPr>
              <w:ind w:left="40"/>
              <w:spacing w:after="0"/>
              <w:rPr>
                <w:sz w:val="20"/>
                <w:szCs w:val="20"/>
                <w:color w:val="auto"/>
              </w:rPr>
            </w:pPr>
            <w:r>
              <w:rPr>
                <w:rFonts w:ascii="Arial" w:cs="Arial" w:eastAsia="Arial" w:hAnsi="Arial"/>
                <w:sz w:val="14"/>
                <w:szCs w:val="14"/>
                <w:color w:val="auto"/>
              </w:rPr>
              <w:t>decarbonization programs</w:t>
            </w:r>
          </w:p>
        </w:tc>
        <w:tc>
          <w:tcPr>
            <w:tcW w:w="0" w:type="dxa"/>
            <w:vAlign w:val="bottom"/>
          </w:tcPr>
          <w:p>
            <w:pPr>
              <w:spacing w:after="0"/>
              <w:rPr>
                <w:sz w:val="1"/>
                <w:szCs w:val="1"/>
                <w:color w:val="auto"/>
              </w:rPr>
            </w:pPr>
          </w:p>
        </w:tc>
      </w:tr>
      <w:tr>
        <w:trPr>
          <w:trHeight w:val="95"/>
        </w:trPr>
        <w:tc>
          <w:tcPr>
            <w:tcW w:w="2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160" w:type="dxa"/>
            <w:vAlign w:val="bottom"/>
            <w:tcBorders>
              <w:bottom w:val="single" w:sz="8" w:color="582C83"/>
            </w:tcBorders>
          </w:tcPr>
          <w:p>
            <w:pPr>
              <w:spacing w:after="0"/>
              <w:rPr>
                <w:sz w:val="8"/>
                <w:szCs w:val="8"/>
                <w:color w:val="auto"/>
              </w:rPr>
            </w:pPr>
          </w:p>
        </w:tc>
        <w:tc>
          <w:tcPr>
            <w:tcW w:w="640" w:type="dxa"/>
            <w:vAlign w:val="bottom"/>
            <w:tcBorders>
              <w:bottom w:val="single" w:sz="8" w:color="582C83"/>
            </w:tcBorders>
          </w:tcPr>
          <w:p>
            <w:pPr>
              <w:spacing w:after="0"/>
              <w:rPr>
                <w:sz w:val="8"/>
                <w:szCs w:val="8"/>
                <w:color w:val="auto"/>
              </w:rPr>
            </w:pPr>
          </w:p>
        </w:tc>
        <w:tc>
          <w:tcPr>
            <w:tcW w:w="6240" w:type="dxa"/>
            <w:vAlign w:val="bottom"/>
            <w:tcBorders>
              <w:bottom w:val="single" w:sz="8" w:color="582C83"/>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16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SPI Rating</w:t>
            </w:r>
          </w:p>
        </w:tc>
        <w:tc>
          <w:tcPr>
            <w:tcW w:w="640" w:type="dxa"/>
            <w:vAlign w:val="bottom"/>
            <w:shd w:val="clear" w:color="auto" w:fill="E0DBEA"/>
          </w:tcPr>
          <w:p>
            <w:pPr>
              <w:spacing w:after="0"/>
              <w:rPr>
                <w:sz w:val="21"/>
                <w:szCs w:val="21"/>
                <w:color w:val="auto"/>
              </w:rPr>
            </w:pPr>
          </w:p>
        </w:tc>
        <w:tc>
          <w:tcPr>
            <w:tcW w:w="6240" w:type="dxa"/>
            <w:vAlign w:val="bottom"/>
            <w:gridSpan w:val="2"/>
            <w:shd w:val="clear" w:color="auto" w:fill="E0DBEA"/>
          </w:tcPr>
          <w:p>
            <w:pPr>
              <w:ind w:left="1120"/>
              <w:spacing w:after="0"/>
              <w:rPr>
                <w:sz w:val="20"/>
                <w:szCs w:val="20"/>
                <w:color w:val="auto"/>
              </w:rPr>
            </w:pPr>
            <w:r>
              <w:rPr>
                <w:rFonts w:ascii="Arial" w:cs="Arial" w:eastAsia="Arial" w:hAnsi="Arial"/>
                <w:sz w:val="14"/>
                <w:szCs w:val="14"/>
                <w:b w:val="1"/>
                <w:bCs w:val="1"/>
                <w:color w:val="auto"/>
              </w:rPr>
              <w:t>125%</w:t>
            </w:r>
          </w:p>
        </w:tc>
        <w:tc>
          <w:tcPr>
            <w:tcW w:w="0" w:type="dxa"/>
            <w:vAlign w:val="bottom"/>
          </w:tcPr>
          <w:p>
            <w:pPr>
              <w:spacing w:after="0"/>
              <w:rPr>
                <w:sz w:val="1"/>
                <w:szCs w:val="1"/>
                <w:color w:val="auto"/>
              </w:rPr>
            </w:pPr>
          </w:p>
        </w:tc>
      </w:tr>
      <w:tr>
        <w:trPr>
          <w:trHeight w:val="70"/>
        </w:trPr>
        <w:tc>
          <w:tcPr>
            <w:tcW w:w="2160" w:type="dxa"/>
            <w:vAlign w:val="bottom"/>
            <w:tcBorders>
              <w:bottom w:val="single" w:sz="8" w:color="582C83"/>
            </w:tcBorders>
            <w:shd w:val="clear" w:color="auto" w:fill="E0DBEA"/>
          </w:tcPr>
          <w:p>
            <w:pPr>
              <w:spacing w:after="0"/>
              <w:rPr>
                <w:sz w:val="6"/>
                <w:szCs w:val="6"/>
                <w:color w:val="auto"/>
              </w:rPr>
            </w:pPr>
          </w:p>
        </w:tc>
        <w:tc>
          <w:tcPr>
            <w:tcW w:w="640" w:type="dxa"/>
            <w:vAlign w:val="bottom"/>
            <w:tcBorders>
              <w:bottom w:val="single" w:sz="8" w:color="582C83"/>
            </w:tcBorders>
            <w:shd w:val="clear" w:color="auto" w:fill="E0DBEA"/>
          </w:tcPr>
          <w:p>
            <w:pPr>
              <w:spacing w:after="0"/>
              <w:rPr>
                <w:sz w:val="6"/>
                <w:szCs w:val="6"/>
                <w:color w:val="auto"/>
              </w:rPr>
            </w:pPr>
          </w:p>
        </w:tc>
        <w:tc>
          <w:tcPr>
            <w:tcW w:w="1220" w:type="dxa"/>
            <w:vAlign w:val="bottom"/>
            <w:tcBorders>
              <w:bottom w:val="single" w:sz="8" w:color="582C83"/>
            </w:tcBorders>
            <w:shd w:val="clear" w:color="auto" w:fill="E0DBEA"/>
          </w:tcPr>
          <w:p>
            <w:pPr>
              <w:spacing w:after="0"/>
              <w:rPr>
                <w:sz w:val="6"/>
                <w:szCs w:val="6"/>
                <w:color w:val="auto"/>
              </w:rPr>
            </w:pPr>
          </w:p>
        </w:tc>
        <w:tc>
          <w:tcPr>
            <w:tcW w:w="5020" w:type="dxa"/>
            <w:vAlign w:val="bottom"/>
            <w:tcBorders>
              <w:bottom w:val="single" w:sz="8" w:color="582C83"/>
            </w:tcBorders>
            <w:shd w:val="clear" w:color="auto" w:fill="E0DBEA"/>
          </w:tcPr>
          <w:p>
            <w:pPr>
              <w:spacing w:after="0"/>
              <w:rPr>
                <w:sz w:val="6"/>
                <w:szCs w:val="6"/>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Arrow up = above expected progress; sideways arrow = at expected progress; arrow down = limited progress.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72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24079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10375" cy="240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340"/>
        <w:spacing w:after="0"/>
        <w:rPr>
          <w:sz w:val="20"/>
          <w:szCs w:val="20"/>
          <w:color w:val="auto"/>
        </w:rPr>
      </w:pPr>
      <w:r>
        <w:rPr>
          <w:rFonts w:ascii="Arial" w:cs="Arial" w:eastAsia="Arial" w:hAnsi="Arial"/>
          <w:sz w:val="21"/>
          <w:szCs w:val="21"/>
          <w:b w:val="1"/>
          <w:bCs w:val="1"/>
          <w:color w:val="auto"/>
        </w:rPr>
        <w:t>COMPENSATION DISCUSSION AND ANALYSIS (CD&amp;A)</w:t>
      </w:r>
    </w:p>
    <w:p>
      <w:pPr>
        <w:spacing w:after="0" w:line="48" w:lineRule="exact"/>
        <w:rPr>
          <w:sz w:val="20"/>
          <w:szCs w:val="20"/>
          <w:color w:val="auto"/>
        </w:rPr>
      </w:pPr>
    </w:p>
    <w:p>
      <w:pPr>
        <w:ind w:left="7480"/>
        <w:spacing w:after="0"/>
        <w:rPr>
          <w:sz w:val="20"/>
          <w:szCs w:val="20"/>
          <w:color w:val="auto"/>
        </w:rPr>
      </w:pPr>
      <w:r>
        <w:rPr>
          <w:rFonts w:ascii="Arial" w:cs="Arial" w:eastAsia="Arial" w:hAnsi="Arial"/>
          <w:sz w:val="14"/>
          <w:szCs w:val="14"/>
          <w:color w:val="auto"/>
        </w:rPr>
        <w:t>Compensation Program</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582C83"/>
        </w:rPr>
        <w:t>Region SPI Ratings</w:t>
      </w:r>
    </w:p>
    <w:p>
      <w:pPr>
        <w:spacing w:after="0" w:line="105" w:lineRule="exact"/>
        <w:rPr>
          <w:sz w:val="20"/>
          <w:szCs w:val="20"/>
          <w:color w:val="auto"/>
        </w:rPr>
      </w:pPr>
    </w:p>
    <w:p>
      <w:pPr>
        <w:jc w:val="both"/>
        <w:ind w:right="180"/>
        <w:spacing w:after="0" w:line="291" w:lineRule="auto"/>
        <w:rPr>
          <w:sz w:val="20"/>
          <w:szCs w:val="20"/>
          <w:color w:val="auto"/>
        </w:rPr>
      </w:pPr>
      <w:r>
        <w:rPr>
          <w:rFonts w:ascii="Arial" w:cs="Arial" w:eastAsia="Arial" w:hAnsi="Arial"/>
          <w:sz w:val="17"/>
          <w:szCs w:val="17"/>
          <w:color w:val="auto"/>
        </w:rPr>
        <w:t>The region SPI ratings are a net revenue weighted average of the final SPI rating for each business unit in the region. After reviewing annual progress toward each of the long-term SPI goals for the business units in the region, the PCC determined that the appropriate NEO payout ratings for the regions are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80" w:type="dxa"/>
            <w:vAlign w:val="bottom"/>
            <w:tcBorders>
              <w:bottom w:val="single" w:sz="8" w:color="582C83"/>
            </w:tcBorders>
          </w:tcPr>
          <w:p>
            <w:pPr>
              <w:spacing w:after="0"/>
              <w:rPr>
                <w:sz w:val="14"/>
                <w:szCs w:val="14"/>
                <w:color w:val="auto"/>
              </w:rPr>
            </w:pPr>
          </w:p>
        </w:tc>
        <w:tc>
          <w:tcPr>
            <w:tcW w:w="456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Final SPI Rating</w:t>
            </w:r>
          </w:p>
        </w:tc>
      </w:tr>
      <w:tr>
        <w:trPr>
          <w:trHeight w:val="215"/>
        </w:trPr>
        <w:tc>
          <w:tcPr>
            <w:tcW w:w="448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Corporate</w:t>
            </w:r>
          </w:p>
        </w:tc>
        <w:tc>
          <w:tcPr>
            <w:tcW w:w="456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125%</w:t>
            </w:r>
          </w:p>
        </w:tc>
      </w:tr>
      <w:tr>
        <w:trPr>
          <w:trHeight w:val="210"/>
        </w:trPr>
        <w:tc>
          <w:tcPr>
            <w:tcW w:w="448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Europe</w:t>
            </w:r>
          </w:p>
        </w:tc>
        <w:tc>
          <w:tcPr>
            <w:tcW w:w="456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85%</w:t>
            </w:r>
          </w:p>
        </w:tc>
      </w:tr>
      <w:tr>
        <w:trPr>
          <w:trHeight w:val="209"/>
        </w:trPr>
        <w:tc>
          <w:tcPr>
            <w:tcW w:w="448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North America</w:t>
            </w:r>
          </w:p>
        </w:tc>
        <w:tc>
          <w:tcPr>
            <w:tcW w:w="456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100%</w:t>
            </w:r>
          </w:p>
        </w:tc>
      </w:tr>
    </w:tbl>
    <w:p>
      <w:pPr>
        <w:sectPr>
          <w:pgSz w:w="11900" w:h="16838" w:orient="portrait"/>
          <w:cols w:equalWidth="0" w:num="1">
            <w:col w:w="9040"/>
          </w:cols>
          <w:pgMar w:left="1420" w:top="414" w:right="1439" w:bottom="0" w:gutter="0" w:footer="0" w:header="0"/>
        </w:sectPr>
      </w:pPr>
    </w:p>
    <w:bookmarkStart w:id="64" w:name="page65"/>
    <w:bookmarkEnd w:id="64"/>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4484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10375" cy="64484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2025 AIP Payouts</w:t>
      </w:r>
    </w:p>
    <w:p>
      <w:pPr>
        <w:spacing w:after="0" w:line="114" w:lineRule="exact"/>
        <w:rPr>
          <w:sz w:val="20"/>
          <w:szCs w:val="20"/>
          <w:color w:val="auto"/>
        </w:rPr>
      </w:pPr>
    </w:p>
    <w:p>
      <w:pPr>
        <w:spacing w:after="0" w:line="317" w:lineRule="auto"/>
        <w:rPr>
          <w:sz w:val="20"/>
          <w:szCs w:val="20"/>
          <w:color w:val="auto"/>
        </w:rPr>
      </w:pPr>
      <w:r>
        <w:rPr>
          <w:rFonts w:ascii="Arial" w:cs="Arial" w:eastAsia="Arial" w:hAnsi="Arial"/>
          <w:sz w:val="17"/>
          <w:szCs w:val="17"/>
          <w:color w:val="auto"/>
        </w:rPr>
        <w:t>After determining the financial payout percentages and SPI ratings, the PCC approved the following AIP cash payments for the NEOs: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80" w:type="dxa"/>
            <w:vAlign w:val="bottom"/>
          </w:tcPr>
          <w:p>
            <w:pPr>
              <w:jc w:val="right"/>
              <w:ind w:right="268"/>
              <w:spacing w:after="0"/>
              <w:rPr>
                <w:sz w:val="20"/>
                <w:szCs w:val="20"/>
                <w:color w:val="auto"/>
              </w:rPr>
            </w:pPr>
            <w:r>
              <w:rPr>
                <w:rFonts w:ascii="Arial" w:cs="Arial" w:eastAsia="Arial" w:hAnsi="Arial"/>
                <w:sz w:val="14"/>
                <w:szCs w:val="14"/>
                <w:b w:val="1"/>
                <w:bCs w:val="1"/>
                <w:color w:val="auto"/>
              </w:rPr>
              <w:t>Financial</w:t>
            </w: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62"/>
        </w:trPr>
        <w:tc>
          <w:tcPr>
            <w:tcW w:w="1720" w:type="dxa"/>
            <w:vAlign w:val="bottom"/>
          </w:tcPr>
          <w:p>
            <w:pPr>
              <w:spacing w:after="0"/>
              <w:rPr>
                <w:sz w:val="14"/>
                <w:szCs w:val="14"/>
                <w:color w:val="auto"/>
              </w:rPr>
            </w:pPr>
          </w:p>
        </w:tc>
        <w:tc>
          <w:tcPr>
            <w:tcW w:w="1920" w:type="dxa"/>
            <w:vAlign w:val="bottom"/>
          </w:tcPr>
          <w:p>
            <w:pPr>
              <w:jc w:val="right"/>
              <w:ind w:right="208"/>
              <w:spacing w:after="0"/>
              <w:rPr>
                <w:sz w:val="20"/>
                <w:szCs w:val="20"/>
                <w:color w:val="auto"/>
              </w:rPr>
            </w:pPr>
            <w:r>
              <w:rPr>
                <w:rFonts w:ascii="Arial" w:cs="Arial" w:eastAsia="Arial" w:hAnsi="Arial"/>
                <w:sz w:val="14"/>
                <w:szCs w:val="14"/>
                <w:b w:val="1"/>
                <w:bCs w:val="1"/>
                <w:color w:val="auto"/>
              </w:rPr>
              <w:t>Target</w:t>
            </w:r>
          </w:p>
        </w:tc>
        <w:tc>
          <w:tcPr>
            <w:tcW w:w="1480" w:type="dxa"/>
            <w:vAlign w:val="bottom"/>
          </w:tcPr>
          <w:p>
            <w:pPr>
              <w:jc w:val="right"/>
              <w:ind w:right="268"/>
              <w:spacing w:after="0"/>
              <w:rPr>
                <w:sz w:val="20"/>
                <w:szCs w:val="20"/>
                <w:color w:val="auto"/>
              </w:rPr>
            </w:pPr>
            <w:r>
              <w:rPr>
                <w:rFonts w:ascii="Arial" w:cs="Arial" w:eastAsia="Arial" w:hAnsi="Arial"/>
                <w:sz w:val="14"/>
                <w:szCs w:val="14"/>
                <w:b w:val="1"/>
                <w:bCs w:val="1"/>
                <w:color w:val="auto"/>
              </w:rPr>
              <w:t>Performance</w:t>
            </w:r>
          </w:p>
        </w:tc>
        <w:tc>
          <w:tcPr>
            <w:tcW w:w="1260" w:type="dxa"/>
            <w:vAlign w:val="bottom"/>
          </w:tcPr>
          <w:p>
            <w:pPr>
              <w:jc w:val="right"/>
              <w:ind w:right="128"/>
              <w:spacing w:after="0"/>
              <w:rPr>
                <w:sz w:val="20"/>
                <w:szCs w:val="20"/>
                <w:color w:val="auto"/>
              </w:rPr>
            </w:pPr>
            <w:r>
              <w:rPr>
                <w:rFonts w:ascii="Arial" w:cs="Arial" w:eastAsia="Arial" w:hAnsi="Arial"/>
                <w:sz w:val="14"/>
                <w:szCs w:val="14"/>
                <w:b w:val="1"/>
                <w:bCs w:val="1"/>
                <w:color w:val="auto"/>
              </w:rPr>
              <w:t>Strategic</w:t>
            </w: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Total Incentive</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Incentive Payment</w:t>
            </w:r>
          </w:p>
        </w:tc>
      </w:tr>
      <w:tr>
        <w:trPr>
          <w:trHeight w:val="165"/>
        </w:trPr>
        <w:tc>
          <w:tcPr>
            <w:tcW w:w="1720" w:type="dxa"/>
            <w:vAlign w:val="bottom"/>
            <w:tcBorders>
              <w:bottom w:val="single" w:sz="8" w:color="582C83"/>
            </w:tcBorders>
          </w:tcPr>
          <w:p>
            <w:pPr>
              <w:ind w:left="60"/>
              <w:spacing w:after="0" w:line="158" w:lineRule="exact"/>
              <w:rPr>
                <w:sz w:val="20"/>
                <w:szCs w:val="20"/>
                <w:color w:val="auto"/>
              </w:rPr>
            </w:pPr>
            <w:r>
              <w:rPr>
                <w:rFonts w:ascii="Arial" w:cs="Arial" w:eastAsia="Arial" w:hAnsi="Arial"/>
                <w:sz w:val="14"/>
                <w:szCs w:val="14"/>
                <w:b w:val="1"/>
                <w:bCs w:val="1"/>
                <w:color w:val="auto"/>
              </w:rPr>
              <w:t>Name</w:t>
            </w:r>
          </w:p>
        </w:tc>
        <w:tc>
          <w:tcPr>
            <w:tcW w:w="1920" w:type="dxa"/>
            <w:vAlign w:val="bottom"/>
            <w:tcBorders>
              <w:bottom w:val="single" w:sz="8" w:color="582C83"/>
            </w:tcBorders>
          </w:tcPr>
          <w:p>
            <w:pPr>
              <w:jc w:val="right"/>
              <w:ind w:right="188"/>
              <w:spacing w:after="0" w:line="158" w:lineRule="exact"/>
              <w:rPr>
                <w:sz w:val="20"/>
                <w:szCs w:val="20"/>
                <w:color w:val="auto"/>
              </w:rPr>
            </w:pPr>
            <w:r>
              <w:rPr>
                <w:rFonts w:ascii="Arial" w:cs="Arial" w:eastAsia="Arial" w:hAnsi="Arial"/>
                <w:sz w:val="14"/>
                <w:szCs w:val="14"/>
                <w:b w:val="1"/>
                <w:bCs w:val="1"/>
                <w:color w:val="auto"/>
              </w:rPr>
              <w:t>Incentive</w:t>
            </w:r>
          </w:p>
        </w:tc>
        <w:tc>
          <w:tcPr>
            <w:tcW w:w="1480" w:type="dxa"/>
            <w:vAlign w:val="bottom"/>
            <w:tcBorders>
              <w:bottom w:val="single" w:sz="8" w:color="582C83"/>
            </w:tcBorders>
          </w:tcPr>
          <w:p>
            <w:pPr>
              <w:jc w:val="right"/>
              <w:ind w:right="268"/>
              <w:spacing w:after="0" w:line="158" w:lineRule="exact"/>
              <w:rPr>
                <w:sz w:val="20"/>
                <w:szCs w:val="20"/>
                <w:color w:val="auto"/>
              </w:rPr>
            </w:pPr>
            <w:r>
              <w:rPr>
                <w:rFonts w:ascii="Arial" w:cs="Arial" w:eastAsia="Arial" w:hAnsi="Arial"/>
                <w:sz w:val="14"/>
                <w:szCs w:val="14"/>
                <w:b w:val="1"/>
                <w:bCs w:val="1"/>
                <w:color w:val="auto"/>
              </w:rPr>
              <w:t>Rating</w:t>
            </w:r>
          </w:p>
        </w:tc>
        <w:tc>
          <w:tcPr>
            <w:tcW w:w="1260" w:type="dxa"/>
            <w:vAlign w:val="bottom"/>
            <w:tcBorders>
              <w:bottom w:val="single" w:sz="8" w:color="582C83"/>
            </w:tcBorders>
          </w:tcPr>
          <w:p>
            <w:pPr>
              <w:jc w:val="right"/>
              <w:ind w:right="128"/>
              <w:spacing w:after="0" w:line="158" w:lineRule="exact"/>
              <w:rPr>
                <w:sz w:val="20"/>
                <w:szCs w:val="20"/>
                <w:color w:val="auto"/>
              </w:rPr>
            </w:pPr>
            <w:r>
              <w:rPr>
                <w:rFonts w:ascii="Arial" w:cs="Arial" w:eastAsia="Arial" w:hAnsi="Arial"/>
                <w:sz w:val="14"/>
                <w:szCs w:val="14"/>
                <w:b w:val="1"/>
                <w:bCs w:val="1"/>
                <w:color w:val="auto"/>
              </w:rPr>
              <w:t>SPI Rating</w:t>
            </w:r>
          </w:p>
        </w:tc>
        <w:tc>
          <w:tcPr>
            <w:tcW w:w="1280" w:type="dxa"/>
            <w:vAlign w:val="bottom"/>
            <w:tcBorders>
              <w:bottom w:val="single" w:sz="8" w:color="582C83"/>
            </w:tcBorders>
          </w:tcPr>
          <w:p>
            <w:pPr>
              <w:jc w:val="right"/>
              <w:ind w:right="8"/>
              <w:spacing w:after="0" w:line="158" w:lineRule="exact"/>
              <w:rPr>
                <w:sz w:val="20"/>
                <w:szCs w:val="20"/>
                <w:color w:val="auto"/>
              </w:rPr>
            </w:pPr>
            <w:r>
              <w:rPr>
                <w:rFonts w:ascii="Arial" w:cs="Arial" w:eastAsia="Arial" w:hAnsi="Arial"/>
                <w:sz w:val="14"/>
                <w:szCs w:val="14"/>
                <w:b w:val="1"/>
                <w:bCs w:val="1"/>
                <w:color w:val="auto"/>
              </w:rPr>
              <w:t>Payment</w:t>
            </w:r>
          </w:p>
        </w:tc>
        <w:tc>
          <w:tcPr>
            <w:tcW w:w="1380" w:type="dxa"/>
            <w:vAlign w:val="bottom"/>
            <w:tcBorders>
              <w:bottom w:val="single" w:sz="8" w:color="582C83"/>
            </w:tcBorders>
          </w:tcPr>
          <w:p>
            <w:pPr>
              <w:jc w:val="right"/>
              <w:spacing w:after="0" w:line="158" w:lineRule="exact"/>
              <w:rPr>
                <w:sz w:val="20"/>
                <w:szCs w:val="20"/>
                <w:color w:val="auto"/>
              </w:rPr>
            </w:pPr>
            <w:r>
              <w:rPr>
                <w:rFonts w:ascii="Arial" w:cs="Arial" w:eastAsia="Arial" w:hAnsi="Arial"/>
                <w:sz w:val="14"/>
                <w:szCs w:val="14"/>
                <w:b w:val="1"/>
                <w:bCs w:val="1"/>
                <w:color w:val="auto"/>
              </w:rPr>
              <w:t>as % of Target</w:t>
            </w:r>
          </w:p>
        </w:tc>
      </w:tr>
      <w:tr>
        <w:trPr>
          <w:trHeight w:val="216"/>
        </w:trPr>
        <w:tc>
          <w:tcPr>
            <w:tcW w:w="172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Mr. Van de Put</w:t>
            </w:r>
          </w:p>
        </w:tc>
        <w:tc>
          <w:tcPr>
            <w:tcW w:w="1920" w:type="dxa"/>
            <w:vAlign w:val="bottom"/>
            <w:tcBorders>
              <w:bottom w:val="single" w:sz="8" w:color="582C83"/>
            </w:tcBorders>
            <w:shd w:val="clear" w:color="auto" w:fill="E0DBEA"/>
          </w:tcPr>
          <w:p>
            <w:pPr>
              <w:jc w:val="right"/>
              <w:ind w:right="188"/>
              <w:spacing w:after="0"/>
              <w:rPr>
                <w:sz w:val="20"/>
                <w:szCs w:val="20"/>
                <w:color w:val="auto"/>
              </w:rPr>
            </w:pPr>
            <w:r>
              <w:rPr>
                <w:rFonts w:ascii="Arial" w:cs="Arial" w:eastAsia="Arial" w:hAnsi="Arial"/>
                <w:sz w:val="14"/>
                <w:szCs w:val="14"/>
                <w:color w:val="auto"/>
              </w:rPr>
              <w:t>$3,300,000</w:t>
            </w:r>
          </w:p>
        </w:tc>
        <w:tc>
          <w:tcPr>
            <w:tcW w:w="1480" w:type="dxa"/>
            <w:vAlign w:val="bottom"/>
            <w:tcBorders>
              <w:bottom w:val="single" w:sz="8" w:color="582C83"/>
            </w:tcBorders>
            <w:shd w:val="clear" w:color="auto" w:fill="E0DBEA"/>
          </w:tcPr>
          <w:p>
            <w:pPr>
              <w:jc w:val="right"/>
              <w:ind w:right="288"/>
              <w:spacing w:after="0"/>
              <w:rPr>
                <w:sz w:val="20"/>
                <w:szCs w:val="20"/>
                <w:color w:val="auto"/>
              </w:rPr>
            </w:pPr>
            <w:r>
              <w:rPr>
                <w:rFonts w:ascii="Arial" w:cs="Arial" w:eastAsia="Arial" w:hAnsi="Arial"/>
                <w:sz w:val="14"/>
                <w:szCs w:val="14"/>
                <w:color w:val="auto"/>
              </w:rPr>
              <w:t>91%</w:t>
            </w:r>
          </w:p>
        </w:tc>
        <w:tc>
          <w:tcPr>
            <w:tcW w:w="1260" w:type="dxa"/>
            <w:vAlign w:val="bottom"/>
            <w:tcBorders>
              <w:bottom w:val="single" w:sz="8" w:color="582C83"/>
            </w:tcBorders>
            <w:shd w:val="clear" w:color="auto" w:fill="E0DBEA"/>
          </w:tcPr>
          <w:p>
            <w:pPr>
              <w:jc w:val="right"/>
              <w:ind w:right="148"/>
              <w:spacing w:after="0"/>
              <w:rPr>
                <w:sz w:val="20"/>
                <w:szCs w:val="20"/>
                <w:color w:val="auto"/>
              </w:rPr>
            </w:pPr>
            <w:r>
              <w:rPr>
                <w:rFonts w:ascii="Arial" w:cs="Arial" w:eastAsia="Arial" w:hAnsi="Arial"/>
                <w:sz w:val="14"/>
                <w:szCs w:val="14"/>
                <w:color w:val="auto"/>
              </w:rPr>
              <w:t>125%</w:t>
            </w:r>
          </w:p>
        </w:tc>
        <w:tc>
          <w:tcPr>
            <w:tcW w:w="1280" w:type="dxa"/>
            <w:vAlign w:val="bottom"/>
            <w:tcBorders>
              <w:bottom w:val="single" w:sz="8" w:color="582C83"/>
            </w:tcBorders>
            <w:shd w:val="clear" w:color="auto" w:fill="E0DBEA"/>
          </w:tcPr>
          <w:p>
            <w:pPr>
              <w:jc w:val="right"/>
              <w:ind w:right="8"/>
              <w:spacing w:after="0"/>
              <w:rPr>
                <w:sz w:val="20"/>
                <w:szCs w:val="20"/>
                <w:color w:val="auto"/>
              </w:rPr>
            </w:pPr>
            <w:r>
              <w:rPr>
                <w:rFonts w:ascii="Arial" w:cs="Arial" w:eastAsia="Arial" w:hAnsi="Arial"/>
                <w:sz w:val="14"/>
                <w:szCs w:val="14"/>
                <w:color w:val="auto"/>
              </w:rPr>
              <w:t>$3,234,000</w:t>
            </w:r>
          </w:p>
        </w:tc>
        <w:tc>
          <w:tcPr>
            <w:tcW w:w="138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98%</w:t>
            </w:r>
          </w:p>
        </w:tc>
      </w:tr>
      <w:tr>
        <w:trPr>
          <w:trHeight w:val="209"/>
        </w:trPr>
        <w:tc>
          <w:tcPr>
            <w:tcW w:w="172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Mr. Zaramella</w:t>
            </w:r>
          </w:p>
        </w:tc>
        <w:tc>
          <w:tcPr>
            <w:tcW w:w="1920" w:type="dxa"/>
            <w:vAlign w:val="bottom"/>
            <w:tcBorders>
              <w:bottom w:val="single" w:sz="8" w:color="582C83"/>
            </w:tcBorders>
          </w:tcPr>
          <w:p>
            <w:pPr>
              <w:jc w:val="right"/>
              <w:ind w:right="188"/>
              <w:spacing w:after="0"/>
              <w:rPr>
                <w:sz w:val="20"/>
                <w:szCs w:val="20"/>
                <w:color w:val="auto"/>
              </w:rPr>
            </w:pPr>
            <w:r>
              <w:rPr>
                <w:rFonts w:ascii="Arial" w:cs="Arial" w:eastAsia="Arial" w:hAnsi="Arial"/>
                <w:sz w:val="14"/>
                <w:szCs w:val="14"/>
                <w:color w:val="auto"/>
              </w:rPr>
              <w:t>$1,560,130</w:t>
            </w:r>
          </w:p>
        </w:tc>
        <w:tc>
          <w:tcPr>
            <w:tcW w:w="1480" w:type="dxa"/>
            <w:vAlign w:val="bottom"/>
            <w:tcBorders>
              <w:bottom w:val="single" w:sz="8" w:color="582C83"/>
            </w:tcBorders>
          </w:tcPr>
          <w:p>
            <w:pPr>
              <w:jc w:val="right"/>
              <w:ind w:right="288"/>
              <w:spacing w:after="0"/>
              <w:rPr>
                <w:sz w:val="20"/>
                <w:szCs w:val="20"/>
                <w:color w:val="auto"/>
              </w:rPr>
            </w:pPr>
            <w:r>
              <w:rPr>
                <w:rFonts w:ascii="Arial" w:cs="Arial" w:eastAsia="Arial" w:hAnsi="Arial"/>
                <w:sz w:val="14"/>
                <w:szCs w:val="14"/>
                <w:color w:val="auto"/>
              </w:rPr>
              <w:t>91%</w:t>
            </w:r>
          </w:p>
        </w:tc>
        <w:tc>
          <w:tcPr>
            <w:tcW w:w="1260" w:type="dxa"/>
            <w:vAlign w:val="bottom"/>
            <w:tcBorders>
              <w:bottom w:val="single" w:sz="8" w:color="582C83"/>
            </w:tcBorders>
          </w:tcPr>
          <w:p>
            <w:pPr>
              <w:jc w:val="right"/>
              <w:ind w:right="148"/>
              <w:spacing w:after="0"/>
              <w:rPr>
                <w:sz w:val="20"/>
                <w:szCs w:val="20"/>
                <w:color w:val="auto"/>
              </w:rPr>
            </w:pPr>
            <w:r>
              <w:rPr>
                <w:rFonts w:ascii="Arial" w:cs="Arial" w:eastAsia="Arial" w:hAnsi="Arial"/>
                <w:sz w:val="14"/>
                <w:szCs w:val="14"/>
                <w:color w:val="auto"/>
              </w:rPr>
              <w:t>125%</w:t>
            </w:r>
          </w:p>
        </w:tc>
        <w:tc>
          <w:tcPr>
            <w:tcW w:w="1280" w:type="dxa"/>
            <w:vAlign w:val="bottom"/>
            <w:tcBorders>
              <w:bottom w:val="single" w:sz="8" w:color="582C83"/>
            </w:tcBorders>
          </w:tcPr>
          <w:p>
            <w:pPr>
              <w:jc w:val="right"/>
              <w:ind w:right="8"/>
              <w:spacing w:after="0"/>
              <w:rPr>
                <w:sz w:val="20"/>
                <w:szCs w:val="20"/>
                <w:color w:val="auto"/>
              </w:rPr>
            </w:pPr>
            <w:r>
              <w:rPr>
                <w:rFonts w:ascii="Arial" w:cs="Arial" w:eastAsia="Arial" w:hAnsi="Arial"/>
                <w:sz w:val="14"/>
                <w:szCs w:val="14"/>
                <w:color w:val="auto"/>
              </w:rPr>
              <w:t>$1,528,927</w:t>
            </w:r>
          </w:p>
        </w:tc>
        <w:tc>
          <w:tcPr>
            <w:tcW w:w="138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98%</w:t>
            </w:r>
          </w:p>
        </w:tc>
      </w:tr>
      <w:tr>
        <w:trPr>
          <w:trHeight w:val="210"/>
        </w:trPr>
        <w:tc>
          <w:tcPr>
            <w:tcW w:w="172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Mr. Kuhn</w:t>
            </w:r>
            <w:r>
              <w:rPr>
                <w:rFonts w:ascii="Arial" w:cs="Arial" w:eastAsia="Arial" w:hAnsi="Arial"/>
                <w:sz w:val="18"/>
                <w:szCs w:val="18"/>
                <w:b w:val="1"/>
                <w:bCs w:val="1"/>
                <w:color w:val="auto"/>
                <w:vertAlign w:val="superscript"/>
              </w:rPr>
              <w:t>(1)</w:t>
            </w:r>
          </w:p>
        </w:tc>
        <w:tc>
          <w:tcPr>
            <w:tcW w:w="1920" w:type="dxa"/>
            <w:vAlign w:val="bottom"/>
            <w:tcBorders>
              <w:bottom w:val="single" w:sz="8" w:color="582C83"/>
            </w:tcBorders>
            <w:shd w:val="clear" w:color="auto" w:fill="E0DBEA"/>
          </w:tcPr>
          <w:p>
            <w:pPr>
              <w:jc w:val="right"/>
              <w:ind w:right="188"/>
              <w:spacing w:after="0"/>
              <w:rPr>
                <w:sz w:val="20"/>
                <w:szCs w:val="20"/>
                <w:color w:val="auto"/>
              </w:rPr>
            </w:pPr>
            <w:r>
              <w:rPr>
                <w:rFonts w:ascii="Arial" w:cs="Arial" w:eastAsia="Arial" w:hAnsi="Arial"/>
                <w:sz w:val="14"/>
                <w:szCs w:val="14"/>
                <w:color w:val="auto"/>
              </w:rPr>
              <w:t>CHF 1,040,351</w:t>
            </w:r>
          </w:p>
        </w:tc>
        <w:tc>
          <w:tcPr>
            <w:tcW w:w="1480" w:type="dxa"/>
            <w:vAlign w:val="bottom"/>
            <w:tcBorders>
              <w:bottom w:val="single" w:sz="8" w:color="582C83"/>
            </w:tcBorders>
            <w:shd w:val="clear" w:color="auto" w:fill="E0DBEA"/>
          </w:tcPr>
          <w:p>
            <w:pPr>
              <w:jc w:val="right"/>
              <w:ind w:right="288"/>
              <w:spacing w:after="0"/>
              <w:rPr>
                <w:sz w:val="20"/>
                <w:szCs w:val="20"/>
                <w:color w:val="auto"/>
              </w:rPr>
            </w:pPr>
            <w:r>
              <w:rPr>
                <w:rFonts w:ascii="Arial" w:cs="Arial" w:eastAsia="Arial" w:hAnsi="Arial"/>
                <w:sz w:val="14"/>
                <w:szCs w:val="14"/>
                <w:color w:val="auto"/>
              </w:rPr>
              <w:t>88%</w:t>
            </w:r>
          </w:p>
        </w:tc>
        <w:tc>
          <w:tcPr>
            <w:tcW w:w="1260" w:type="dxa"/>
            <w:vAlign w:val="bottom"/>
            <w:tcBorders>
              <w:bottom w:val="single" w:sz="8" w:color="582C83"/>
            </w:tcBorders>
            <w:shd w:val="clear" w:color="auto" w:fill="E0DBEA"/>
          </w:tcPr>
          <w:p>
            <w:pPr>
              <w:jc w:val="right"/>
              <w:ind w:right="148"/>
              <w:spacing w:after="0"/>
              <w:rPr>
                <w:sz w:val="20"/>
                <w:szCs w:val="20"/>
                <w:color w:val="auto"/>
              </w:rPr>
            </w:pPr>
            <w:r>
              <w:rPr>
                <w:rFonts w:ascii="Arial" w:cs="Arial" w:eastAsia="Arial" w:hAnsi="Arial"/>
                <w:sz w:val="14"/>
                <w:szCs w:val="14"/>
                <w:color w:val="auto"/>
              </w:rPr>
              <w:t>85%</w:t>
            </w:r>
          </w:p>
        </w:tc>
        <w:tc>
          <w:tcPr>
            <w:tcW w:w="1280" w:type="dxa"/>
            <w:vAlign w:val="bottom"/>
            <w:tcBorders>
              <w:bottom w:val="single" w:sz="8" w:color="582C83"/>
            </w:tcBorders>
            <w:shd w:val="clear" w:color="auto" w:fill="E0DBEA"/>
          </w:tcPr>
          <w:p>
            <w:pPr>
              <w:jc w:val="right"/>
              <w:ind w:right="8"/>
              <w:spacing w:after="0"/>
              <w:rPr>
                <w:sz w:val="20"/>
                <w:szCs w:val="20"/>
                <w:color w:val="auto"/>
              </w:rPr>
            </w:pPr>
            <w:r>
              <w:rPr>
                <w:rFonts w:ascii="Arial" w:cs="Arial" w:eastAsia="Arial" w:hAnsi="Arial"/>
                <w:sz w:val="14"/>
                <w:szCs w:val="14"/>
                <w:color w:val="auto"/>
              </w:rPr>
              <w:t>CHF 905,105</w:t>
            </w:r>
          </w:p>
        </w:tc>
        <w:tc>
          <w:tcPr>
            <w:tcW w:w="138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87%</w:t>
            </w:r>
          </w:p>
        </w:tc>
      </w:tr>
      <w:tr>
        <w:trPr>
          <w:trHeight w:val="209"/>
        </w:trPr>
        <w:tc>
          <w:tcPr>
            <w:tcW w:w="172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Mr. Valle</w:t>
            </w:r>
          </w:p>
        </w:tc>
        <w:tc>
          <w:tcPr>
            <w:tcW w:w="1920" w:type="dxa"/>
            <w:vAlign w:val="bottom"/>
            <w:tcBorders>
              <w:bottom w:val="single" w:sz="8" w:color="582C83"/>
            </w:tcBorders>
          </w:tcPr>
          <w:p>
            <w:pPr>
              <w:jc w:val="right"/>
              <w:ind w:right="188"/>
              <w:spacing w:after="0"/>
              <w:rPr>
                <w:sz w:val="20"/>
                <w:szCs w:val="20"/>
                <w:color w:val="auto"/>
              </w:rPr>
            </w:pPr>
            <w:r>
              <w:rPr>
                <w:rFonts w:ascii="Arial" w:cs="Arial" w:eastAsia="Arial" w:hAnsi="Arial"/>
                <w:sz w:val="14"/>
                <w:szCs w:val="14"/>
                <w:color w:val="auto"/>
              </w:rPr>
              <w:t>$1,020,000</w:t>
            </w:r>
          </w:p>
        </w:tc>
        <w:tc>
          <w:tcPr>
            <w:tcW w:w="1480" w:type="dxa"/>
            <w:vAlign w:val="bottom"/>
            <w:tcBorders>
              <w:bottom w:val="single" w:sz="8" w:color="582C83"/>
            </w:tcBorders>
          </w:tcPr>
          <w:p>
            <w:pPr>
              <w:jc w:val="right"/>
              <w:ind w:right="288"/>
              <w:spacing w:after="0"/>
              <w:rPr>
                <w:sz w:val="20"/>
                <w:szCs w:val="20"/>
                <w:color w:val="auto"/>
              </w:rPr>
            </w:pPr>
            <w:r>
              <w:rPr>
                <w:rFonts w:ascii="Arial" w:cs="Arial" w:eastAsia="Arial" w:hAnsi="Arial"/>
                <w:sz w:val="14"/>
                <w:szCs w:val="14"/>
                <w:color w:val="auto"/>
              </w:rPr>
              <w:t>18%</w:t>
            </w:r>
          </w:p>
        </w:tc>
        <w:tc>
          <w:tcPr>
            <w:tcW w:w="1260" w:type="dxa"/>
            <w:vAlign w:val="bottom"/>
            <w:tcBorders>
              <w:bottom w:val="single" w:sz="8" w:color="582C83"/>
            </w:tcBorders>
          </w:tcPr>
          <w:p>
            <w:pPr>
              <w:jc w:val="right"/>
              <w:ind w:right="148"/>
              <w:spacing w:after="0"/>
              <w:rPr>
                <w:sz w:val="20"/>
                <w:szCs w:val="20"/>
                <w:color w:val="auto"/>
              </w:rPr>
            </w:pPr>
            <w:r>
              <w:rPr>
                <w:rFonts w:ascii="Arial" w:cs="Arial" w:eastAsia="Arial" w:hAnsi="Arial"/>
                <w:sz w:val="14"/>
                <w:szCs w:val="14"/>
                <w:color w:val="auto"/>
              </w:rPr>
              <w:t>100%</w:t>
            </w:r>
          </w:p>
        </w:tc>
        <w:tc>
          <w:tcPr>
            <w:tcW w:w="1280" w:type="dxa"/>
            <w:vAlign w:val="bottom"/>
            <w:tcBorders>
              <w:bottom w:val="single" w:sz="8" w:color="582C83"/>
            </w:tcBorders>
          </w:tcPr>
          <w:p>
            <w:pPr>
              <w:jc w:val="right"/>
              <w:ind w:right="8"/>
              <w:spacing w:after="0"/>
              <w:rPr>
                <w:sz w:val="20"/>
                <w:szCs w:val="20"/>
                <w:color w:val="auto"/>
              </w:rPr>
            </w:pPr>
            <w:r>
              <w:rPr>
                <w:rFonts w:ascii="Arial" w:cs="Arial" w:eastAsia="Arial" w:hAnsi="Arial"/>
                <w:sz w:val="14"/>
                <w:szCs w:val="14"/>
                <w:color w:val="auto"/>
              </w:rPr>
              <w:t>$357,000</w:t>
            </w:r>
          </w:p>
        </w:tc>
        <w:tc>
          <w:tcPr>
            <w:tcW w:w="138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35%</w:t>
            </w:r>
          </w:p>
        </w:tc>
      </w:tr>
      <w:tr>
        <w:trPr>
          <w:trHeight w:val="209"/>
        </w:trPr>
        <w:tc>
          <w:tcPr>
            <w:tcW w:w="172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Mr. Renaud</w:t>
            </w:r>
          </w:p>
        </w:tc>
        <w:tc>
          <w:tcPr>
            <w:tcW w:w="1920" w:type="dxa"/>
            <w:vAlign w:val="bottom"/>
            <w:tcBorders>
              <w:bottom w:val="single" w:sz="8" w:color="582C83"/>
            </w:tcBorders>
            <w:shd w:val="clear" w:color="auto" w:fill="E0DBEA"/>
          </w:tcPr>
          <w:p>
            <w:pPr>
              <w:jc w:val="right"/>
              <w:ind w:right="188"/>
              <w:spacing w:after="0"/>
              <w:rPr>
                <w:sz w:val="20"/>
                <w:szCs w:val="20"/>
                <w:color w:val="auto"/>
              </w:rPr>
            </w:pPr>
            <w:r>
              <w:rPr>
                <w:rFonts w:ascii="Arial" w:cs="Arial" w:eastAsia="Arial" w:hAnsi="Arial"/>
                <w:sz w:val="14"/>
                <w:szCs w:val="14"/>
                <w:color w:val="auto"/>
              </w:rPr>
              <w:t>$785,000</w:t>
            </w:r>
          </w:p>
        </w:tc>
        <w:tc>
          <w:tcPr>
            <w:tcW w:w="1480" w:type="dxa"/>
            <w:vAlign w:val="bottom"/>
            <w:tcBorders>
              <w:bottom w:val="single" w:sz="8" w:color="582C83"/>
            </w:tcBorders>
            <w:shd w:val="clear" w:color="auto" w:fill="E0DBEA"/>
          </w:tcPr>
          <w:p>
            <w:pPr>
              <w:jc w:val="right"/>
              <w:ind w:right="288"/>
              <w:spacing w:after="0"/>
              <w:rPr>
                <w:sz w:val="20"/>
                <w:szCs w:val="20"/>
                <w:color w:val="auto"/>
              </w:rPr>
            </w:pPr>
            <w:r>
              <w:rPr>
                <w:rFonts w:ascii="Arial" w:cs="Arial" w:eastAsia="Arial" w:hAnsi="Arial"/>
                <w:sz w:val="14"/>
                <w:szCs w:val="14"/>
                <w:color w:val="auto"/>
              </w:rPr>
              <w:t>91%</w:t>
            </w:r>
          </w:p>
        </w:tc>
        <w:tc>
          <w:tcPr>
            <w:tcW w:w="1260" w:type="dxa"/>
            <w:vAlign w:val="bottom"/>
            <w:tcBorders>
              <w:bottom w:val="single" w:sz="8" w:color="582C83"/>
            </w:tcBorders>
            <w:shd w:val="clear" w:color="auto" w:fill="E0DBEA"/>
          </w:tcPr>
          <w:p>
            <w:pPr>
              <w:jc w:val="right"/>
              <w:ind w:right="148"/>
              <w:spacing w:after="0"/>
              <w:rPr>
                <w:sz w:val="20"/>
                <w:szCs w:val="20"/>
                <w:color w:val="auto"/>
              </w:rPr>
            </w:pPr>
            <w:r>
              <w:rPr>
                <w:rFonts w:ascii="Arial" w:cs="Arial" w:eastAsia="Arial" w:hAnsi="Arial"/>
                <w:sz w:val="14"/>
                <w:szCs w:val="14"/>
                <w:color w:val="auto"/>
              </w:rPr>
              <w:t>125%</w:t>
            </w:r>
          </w:p>
        </w:tc>
        <w:tc>
          <w:tcPr>
            <w:tcW w:w="1280" w:type="dxa"/>
            <w:vAlign w:val="bottom"/>
            <w:tcBorders>
              <w:bottom w:val="single" w:sz="8" w:color="582C83"/>
            </w:tcBorders>
            <w:shd w:val="clear" w:color="auto" w:fill="E0DBEA"/>
          </w:tcPr>
          <w:p>
            <w:pPr>
              <w:jc w:val="right"/>
              <w:ind w:right="8"/>
              <w:spacing w:after="0"/>
              <w:rPr>
                <w:sz w:val="20"/>
                <w:szCs w:val="20"/>
                <w:color w:val="auto"/>
              </w:rPr>
            </w:pPr>
            <w:r>
              <w:rPr>
                <w:rFonts w:ascii="Arial" w:cs="Arial" w:eastAsia="Arial" w:hAnsi="Arial"/>
                <w:sz w:val="14"/>
                <w:szCs w:val="14"/>
                <w:color w:val="auto"/>
              </w:rPr>
              <w:t>$769,300</w:t>
            </w:r>
          </w:p>
        </w:tc>
        <w:tc>
          <w:tcPr>
            <w:tcW w:w="138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98%</w:t>
            </w:r>
          </w:p>
        </w:tc>
      </w:tr>
    </w:tbl>
    <w:p>
      <w:pPr>
        <w:spacing w:after="0" w:line="50"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Mr. Kuhn’s target incentive for 2025 was prorated based on his start date.</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LTI PROGRAM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4" w:lineRule="exact"/>
        <w:rPr>
          <w:sz w:val="20"/>
          <w:szCs w:val="20"/>
          <w:color w:val="auto"/>
        </w:rPr>
      </w:pPr>
    </w:p>
    <w:p>
      <w:pPr>
        <w:jc w:val="both"/>
        <w:ind w:right="440"/>
        <w:spacing w:after="0" w:line="291" w:lineRule="auto"/>
        <w:rPr>
          <w:sz w:val="20"/>
          <w:szCs w:val="20"/>
          <w:color w:val="auto"/>
        </w:rPr>
      </w:pPr>
      <w:r>
        <w:rPr>
          <w:rFonts w:ascii="Arial" w:cs="Arial" w:eastAsia="Arial" w:hAnsi="Arial"/>
          <w:sz w:val="17"/>
          <w:szCs w:val="17"/>
          <w:color w:val="auto"/>
        </w:rPr>
        <w:t>We design our LTI program to incentivize our NEOs to focus on critical performance objectives that we believe will translate into sustainable shareholder returns over the long term. Grants made under our 2025 LTI program were entirely in equity using the same mix used in 2024: 75% PSUs and 25% stock options.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b w:val="1"/>
                <w:bCs w:val="1"/>
                <w:color w:val="auto"/>
              </w:rPr>
              <w:t>2025 Performance</w:t>
            </w:r>
          </w:p>
        </w:tc>
        <w:tc>
          <w:tcPr>
            <w:tcW w:w="0" w:type="dxa"/>
            <w:vAlign w:val="bottom"/>
          </w:tcPr>
          <w:p>
            <w:pPr>
              <w:spacing w:after="0"/>
              <w:rPr>
                <w:sz w:val="1"/>
                <w:szCs w:val="1"/>
                <w:color w:val="auto"/>
              </w:rPr>
            </w:pPr>
          </w:p>
        </w:tc>
      </w:tr>
      <w:tr>
        <w:trPr>
          <w:trHeight w:val="181"/>
        </w:trPr>
        <w:tc>
          <w:tcPr>
            <w:tcW w:w="78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Vehicle</w:t>
            </w:r>
          </w:p>
        </w:tc>
        <w:tc>
          <w:tcPr>
            <w:tcW w:w="740" w:type="dxa"/>
            <w:vAlign w:val="bottom"/>
            <w:tcBorders>
              <w:bottom w:val="single" w:sz="8" w:color="582C83"/>
            </w:tcBorders>
          </w:tcPr>
          <w:p>
            <w:pPr>
              <w:jc w:val="center"/>
              <w:spacing w:after="0"/>
              <w:rPr>
                <w:sz w:val="20"/>
                <w:szCs w:val="20"/>
                <w:color w:val="auto"/>
              </w:rPr>
            </w:pPr>
            <w:r>
              <w:rPr>
                <w:rFonts w:ascii="Arial" w:cs="Arial" w:eastAsia="Arial" w:hAnsi="Arial"/>
                <w:sz w:val="14"/>
                <w:szCs w:val="14"/>
                <w:b w:val="1"/>
                <w:bCs w:val="1"/>
                <w:color w:val="auto"/>
              </w:rPr>
              <w:t>Weight</w:t>
            </w:r>
          </w:p>
        </w:tc>
        <w:tc>
          <w:tcPr>
            <w:tcW w:w="3740" w:type="dxa"/>
            <w:vAlign w:val="bottom"/>
            <w:tcBorders>
              <w:bottom w:val="single" w:sz="8" w:color="582C83"/>
            </w:tcBorders>
            <w:gridSpan w:val="2"/>
          </w:tcPr>
          <w:p>
            <w:pPr>
              <w:ind w:left="100"/>
              <w:spacing w:after="0"/>
              <w:rPr>
                <w:sz w:val="20"/>
                <w:szCs w:val="20"/>
                <w:color w:val="auto"/>
              </w:rPr>
            </w:pPr>
            <w:r>
              <w:rPr>
                <w:rFonts w:ascii="Arial" w:cs="Arial" w:eastAsia="Arial" w:hAnsi="Arial"/>
                <w:sz w:val="14"/>
                <w:szCs w:val="14"/>
                <w:b w:val="1"/>
                <w:bCs w:val="1"/>
                <w:color w:val="auto"/>
              </w:rPr>
              <w:t>Structure</w:t>
            </w:r>
          </w:p>
        </w:tc>
        <w:tc>
          <w:tcPr>
            <w:tcW w:w="1880" w:type="dxa"/>
            <w:vAlign w:val="bottom"/>
            <w:tcBorders>
              <w:bottom w:val="single" w:sz="8" w:color="582C83"/>
            </w:tcBorders>
            <w:gridSpan w:val="2"/>
          </w:tcPr>
          <w:p>
            <w:pPr>
              <w:ind w:left="80"/>
              <w:spacing w:after="0"/>
              <w:rPr>
                <w:sz w:val="20"/>
                <w:szCs w:val="20"/>
                <w:color w:val="auto"/>
              </w:rPr>
            </w:pPr>
            <w:r>
              <w:rPr>
                <w:rFonts w:ascii="Arial" w:cs="Arial" w:eastAsia="Arial" w:hAnsi="Arial"/>
                <w:sz w:val="14"/>
                <w:szCs w:val="14"/>
                <w:b w:val="1"/>
                <w:bCs w:val="1"/>
                <w:color w:val="auto"/>
              </w:rPr>
              <w:t>Purpose</w:t>
            </w:r>
          </w:p>
        </w:tc>
        <w:tc>
          <w:tcPr>
            <w:tcW w:w="1900" w:type="dxa"/>
            <w:vAlign w:val="bottom"/>
            <w:tcBorders>
              <w:bottom w:val="single" w:sz="8" w:color="582C83"/>
            </w:tcBorders>
            <w:gridSpan w:val="2"/>
          </w:tcPr>
          <w:p>
            <w:pPr>
              <w:ind w:left="40"/>
              <w:spacing w:after="0" w:line="174" w:lineRule="exact"/>
              <w:rPr>
                <w:sz w:val="20"/>
                <w:szCs w:val="20"/>
                <w:color w:val="auto"/>
              </w:rPr>
            </w:pPr>
            <w:r>
              <w:rPr>
                <w:rFonts w:ascii="Arial" w:cs="Arial" w:eastAsia="Arial" w:hAnsi="Arial"/>
                <w:sz w:val="14"/>
                <w:szCs w:val="14"/>
                <w:b w:val="1"/>
                <w:bCs w:val="1"/>
                <w:color w:val="auto"/>
              </w:rPr>
              <w:t>Measures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83"/>
        </w:trPr>
        <w:tc>
          <w:tcPr>
            <w:tcW w:w="78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PSUs</w:t>
            </w:r>
          </w:p>
        </w:tc>
        <w:tc>
          <w:tcPr>
            <w:tcW w:w="740" w:type="dxa"/>
            <w:vAlign w:val="bottom"/>
            <w:shd w:val="clear" w:color="auto" w:fill="E0DBEA"/>
          </w:tcPr>
          <w:p>
            <w:pPr>
              <w:jc w:val="center"/>
              <w:ind w:left="8"/>
              <w:spacing w:after="0"/>
              <w:rPr>
                <w:sz w:val="20"/>
                <w:szCs w:val="20"/>
                <w:color w:val="auto"/>
              </w:rPr>
            </w:pPr>
            <w:r>
              <w:rPr>
                <w:rFonts w:ascii="Arial" w:cs="Arial" w:eastAsia="Arial" w:hAnsi="Arial"/>
                <w:sz w:val="14"/>
                <w:szCs w:val="14"/>
                <w:b w:val="1"/>
                <w:bCs w:val="1"/>
                <w:color w:val="auto"/>
              </w:rPr>
              <w:t>75%</w:t>
            </w:r>
          </w:p>
        </w:tc>
        <w:tc>
          <w:tcPr>
            <w:tcW w:w="200" w:type="dxa"/>
            <w:vAlign w:val="bottom"/>
            <w:shd w:val="clear" w:color="auto" w:fill="E0DBEA"/>
          </w:tcPr>
          <w:p>
            <w:pPr>
              <w:ind w:left="100"/>
              <w:spacing w:after="0"/>
              <w:rPr>
                <w:sz w:val="20"/>
                <w:szCs w:val="20"/>
                <w:color w:val="auto"/>
              </w:rPr>
            </w:pPr>
            <w:r>
              <w:rPr>
                <w:rFonts w:ascii="Arial" w:cs="Arial" w:eastAsia="Arial" w:hAnsi="Arial"/>
                <w:sz w:val="17"/>
                <w:szCs w:val="17"/>
                <w:color w:val="582C83"/>
              </w:rPr>
              <w:t>•</w:t>
            </w: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Number of shares earned may range from 0% to</w:t>
            </w:r>
          </w:p>
        </w:tc>
        <w:tc>
          <w:tcPr>
            <w:tcW w:w="1880" w:type="dxa"/>
            <w:vAlign w:val="bottom"/>
            <w:gridSpan w:val="2"/>
            <w:shd w:val="clear" w:color="auto" w:fill="E0DBEA"/>
          </w:tcPr>
          <w:p>
            <w:pPr>
              <w:ind w:left="80"/>
              <w:spacing w:after="0"/>
              <w:rPr>
                <w:sz w:val="20"/>
                <w:szCs w:val="20"/>
                <w:color w:val="auto"/>
              </w:rPr>
            </w:pPr>
            <w:r>
              <w:rPr>
                <w:rFonts w:ascii="Arial" w:cs="Arial" w:eastAsia="Arial" w:hAnsi="Arial"/>
                <w:sz w:val="14"/>
                <w:szCs w:val="14"/>
                <w:color w:val="582C83"/>
              </w:rPr>
              <w:t xml:space="preserve">• </w:t>
            </w:r>
            <w:r>
              <w:rPr>
                <w:rFonts w:ascii="Arial" w:cs="Arial" w:eastAsia="Arial" w:hAnsi="Arial"/>
                <w:sz w:val="14"/>
                <w:szCs w:val="14"/>
                <w:color w:val="000000"/>
              </w:rPr>
              <w:t>Aligns long-term interests</w:t>
            </w:r>
          </w:p>
        </w:tc>
        <w:tc>
          <w:tcPr>
            <w:tcW w:w="140" w:type="dxa"/>
            <w:vAlign w:val="bottom"/>
            <w:shd w:val="clear" w:color="auto" w:fill="E0DBEA"/>
          </w:tcPr>
          <w:p>
            <w:pPr>
              <w:ind w:left="40"/>
              <w:spacing w:after="0"/>
              <w:rPr>
                <w:sz w:val="20"/>
                <w:szCs w:val="20"/>
                <w:color w:val="auto"/>
              </w:rPr>
            </w:pPr>
            <w:r>
              <w:rPr>
                <w:rFonts w:ascii="Arial" w:cs="Arial" w:eastAsia="Arial" w:hAnsi="Arial"/>
                <w:sz w:val="17"/>
                <w:szCs w:val="17"/>
                <w:color w:val="582C83"/>
              </w:rPr>
              <w:t>•</w:t>
            </w:r>
          </w:p>
        </w:tc>
        <w:tc>
          <w:tcPr>
            <w:tcW w:w="1760" w:type="dxa"/>
            <w:vAlign w:val="bottom"/>
            <w:shd w:val="clear" w:color="auto" w:fill="E0DBEA"/>
          </w:tcPr>
          <w:p>
            <w:pPr>
              <w:ind w:left="40"/>
              <w:spacing w:after="0"/>
              <w:rPr>
                <w:sz w:val="20"/>
                <w:szCs w:val="20"/>
                <w:color w:val="auto"/>
              </w:rPr>
            </w:pPr>
            <w:r>
              <w:rPr>
                <w:rFonts w:ascii="Arial" w:cs="Arial" w:eastAsia="Arial" w:hAnsi="Arial"/>
                <w:sz w:val="14"/>
                <w:szCs w:val="14"/>
                <w:color w:val="auto"/>
              </w:rPr>
              <w:t>Organic Net Revenue</w:t>
            </w:r>
          </w:p>
        </w:tc>
        <w:tc>
          <w:tcPr>
            <w:tcW w:w="0" w:type="dxa"/>
            <w:vAlign w:val="bottom"/>
          </w:tcPr>
          <w:p>
            <w:pPr>
              <w:spacing w:after="0"/>
              <w:rPr>
                <w:sz w:val="1"/>
                <w:szCs w:val="1"/>
                <w:color w:val="auto"/>
              </w:rPr>
            </w:pPr>
          </w:p>
        </w:tc>
      </w:tr>
      <w:tr>
        <w:trPr>
          <w:trHeight w:val="194"/>
        </w:trPr>
        <w:tc>
          <w:tcPr>
            <w:tcW w:w="780" w:type="dxa"/>
            <w:vAlign w:val="bottom"/>
            <w:shd w:val="clear" w:color="auto" w:fill="E0DBEA"/>
          </w:tcPr>
          <w:p>
            <w:pPr>
              <w:spacing w:after="0"/>
              <w:rPr>
                <w:sz w:val="16"/>
                <w:szCs w:val="16"/>
                <w:color w:val="auto"/>
              </w:rPr>
            </w:pPr>
          </w:p>
        </w:tc>
        <w:tc>
          <w:tcPr>
            <w:tcW w:w="740" w:type="dxa"/>
            <w:vAlign w:val="bottom"/>
            <w:shd w:val="clear" w:color="auto" w:fill="E0DBEA"/>
          </w:tcPr>
          <w:p>
            <w:pPr>
              <w:spacing w:after="0"/>
              <w:rPr>
                <w:sz w:val="16"/>
                <w:szCs w:val="16"/>
                <w:color w:val="auto"/>
              </w:rPr>
            </w:pPr>
          </w:p>
        </w:tc>
        <w:tc>
          <w:tcPr>
            <w:tcW w:w="200" w:type="dxa"/>
            <w:vAlign w:val="bottom"/>
            <w:shd w:val="clear" w:color="auto" w:fill="E0DBEA"/>
          </w:tcPr>
          <w:p>
            <w:pPr>
              <w:spacing w:after="0"/>
              <w:rPr>
                <w:sz w:val="16"/>
                <w:szCs w:val="16"/>
                <w:color w:val="auto"/>
              </w:rPr>
            </w:pP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200% of the target number of PSUs granted based on</w:t>
            </w:r>
          </w:p>
        </w:tc>
        <w:tc>
          <w:tcPr>
            <w:tcW w:w="1880" w:type="dxa"/>
            <w:vAlign w:val="bottom"/>
            <w:gridSpan w:val="2"/>
            <w:shd w:val="clear" w:color="auto" w:fill="E0DBEA"/>
          </w:tcPr>
          <w:p>
            <w:pPr>
              <w:ind w:left="80"/>
              <w:spacing w:after="0"/>
              <w:rPr>
                <w:sz w:val="20"/>
                <w:szCs w:val="20"/>
                <w:color w:val="auto"/>
              </w:rPr>
            </w:pPr>
            <w:r>
              <w:rPr>
                <w:rFonts w:ascii="Arial" w:cs="Arial" w:eastAsia="Arial" w:hAnsi="Arial"/>
                <w:sz w:val="14"/>
                <w:szCs w:val="14"/>
                <w:color w:val="582C83"/>
              </w:rPr>
              <w:t xml:space="preserve">• </w:t>
            </w:r>
            <w:r>
              <w:rPr>
                <w:rFonts w:ascii="Arial" w:cs="Arial" w:eastAsia="Arial" w:hAnsi="Arial"/>
                <w:sz w:val="14"/>
                <w:szCs w:val="14"/>
                <w:color w:val="000000"/>
              </w:rPr>
              <w:t>Pay for performance</w:t>
            </w:r>
          </w:p>
        </w:tc>
        <w:tc>
          <w:tcPr>
            <w:tcW w:w="140" w:type="dxa"/>
            <w:vAlign w:val="bottom"/>
            <w:shd w:val="clear" w:color="auto" w:fill="E0DBEA"/>
          </w:tcPr>
          <w:p>
            <w:pPr>
              <w:spacing w:after="0"/>
              <w:rPr>
                <w:sz w:val="16"/>
                <w:szCs w:val="16"/>
                <w:color w:val="auto"/>
              </w:rPr>
            </w:pPr>
          </w:p>
        </w:tc>
        <w:tc>
          <w:tcPr>
            <w:tcW w:w="1760" w:type="dxa"/>
            <w:vAlign w:val="bottom"/>
            <w:shd w:val="clear" w:color="auto" w:fill="E0DBEA"/>
          </w:tcPr>
          <w:p>
            <w:pPr>
              <w:ind w:left="40"/>
              <w:spacing w:after="0"/>
              <w:rPr>
                <w:sz w:val="20"/>
                <w:szCs w:val="20"/>
                <w:color w:val="auto"/>
              </w:rPr>
            </w:pPr>
            <w:r>
              <w:rPr>
                <w:rFonts w:ascii="Arial" w:cs="Arial" w:eastAsia="Arial" w:hAnsi="Arial"/>
                <w:sz w:val="14"/>
                <w:szCs w:val="14"/>
                <w:color w:val="auto"/>
              </w:rPr>
              <w:t>Growth (50%)</w:t>
            </w:r>
          </w:p>
        </w:tc>
        <w:tc>
          <w:tcPr>
            <w:tcW w:w="0" w:type="dxa"/>
            <w:vAlign w:val="bottom"/>
          </w:tcPr>
          <w:p>
            <w:pPr>
              <w:spacing w:after="0"/>
              <w:rPr>
                <w:sz w:val="1"/>
                <w:szCs w:val="1"/>
                <w:color w:val="auto"/>
              </w:rPr>
            </w:pPr>
          </w:p>
        </w:tc>
      </w:tr>
      <w:tr>
        <w:trPr>
          <w:trHeight w:val="255"/>
        </w:trPr>
        <w:tc>
          <w:tcPr>
            <w:tcW w:w="780" w:type="dxa"/>
            <w:vAlign w:val="bottom"/>
            <w:shd w:val="clear" w:color="auto" w:fill="E0DBEA"/>
          </w:tcPr>
          <w:p>
            <w:pPr>
              <w:spacing w:after="0"/>
              <w:rPr>
                <w:sz w:val="22"/>
                <w:szCs w:val="22"/>
                <w:color w:val="auto"/>
              </w:rPr>
            </w:pPr>
          </w:p>
        </w:tc>
        <w:tc>
          <w:tcPr>
            <w:tcW w:w="740" w:type="dxa"/>
            <w:vAlign w:val="bottom"/>
            <w:shd w:val="clear" w:color="auto" w:fill="E0DBEA"/>
          </w:tcPr>
          <w:p>
            <w:pPr>
              <w:spacing w:after="0"/>
              <w:rPr>
                <w:sz w:val="22"/>
                <w:szCs w:val="22"/>
                <w:color w:val="auto"/>
              </w:rPr>
            </w:pPr>
          </w:p>
        </w:tc>
        <w:tc>
          <w:tcPr>
            <w:tcW w:w="200" w:type="dxa"/>
            <w:vAlign w:val="bottom"/>
            <w:shd w:val="clear" w:color="auto" w:fill="E0DBEA"/>
          </w:tcPr>
          <w:p>
            <w:pPr>
              <w:spacing w:after="0"/>
              <w:rPr>
                <w:sz w:val="22"/>
                <w:szCs w:val="22"/>
                <w:color w:val="auto"/>
              </w:rPr>
            </w:pP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the final business performance rating for the 3-year</w:t>
            </w:r>
          </w:p>
        </w:tc>
        <w:tc>
          <w:tcPr>
            <w:tcW w:w="160" w:type="dxa"/>
            <w:vAlign w:val="bottom"/>
            <w:shd w:val="clear" w:color="auto" w:fill="E0DBEA"/>
          </w:tcPr>
          <w:p>
            <w:pPr>
              <w:ind w:left="80"/>
              <w:spacing w:after="0"/>
              <w:rPr>
                <w:sz w:val="20"/>
                <w:szCs w:val="20"/>
                <w:color w:val="auto"/>
              </w:rPr>
            </w:pPr>
            <w:r>
              <w:rPr>
                <w:rFonts w:ascii="Arial" w:cs="Arial" w:eastAsia="Arial" w:hAnsi="Arial"/>
                <w:sz w:val="14"/>
                <w:szCs w:val="14"/>
                <w:color w:val="582C83"/>
              </w:rPr>
              <w:t>•</w:t>
            </w:r>
          </w:p>
        </w:tc>
        <w:tc>
          <w:tcPr>
            <w:tcW w:w="1720" w:type="dxa"/>
            <w:vAlign w:val="bottom"/>
            <w:shd w:val="clear" w:color="auto" w:fill="E0DBEA"/>
          </w:tcPr>
          <w:p>
            <w:pPr>
              <w:ind w:left="40"/>
              <w:spacing w:after="0"/>
              <w:rPr>
                <w:sz w:val="20"/>
                <w:szCs w:val="20"/>
                <w:color w:val="auto"/>
              </w:rPr>
            </w:pPr>
            <w:r>
              <w:rPr>
                <w:rFonts w:ascii="Arial" w:cs="Arial" w:eastAsia="Arial" w:hAnsi="Arial"/>
                <w:sz w:val="14"/>
                <w:szCs w:val="14"/>
                <w:color w:val="auto"/>
              </w:rPr>
              <w:t>Retention</w:t>
            </w:r>
          </w:p>
        </w:tc>
        <w:tc>
          <w:tcPr>
            <w:tcW w:w="140" w:type="dxa"/>
            <w:vAlign w:val="bottom"/>
            <w:shd w:val="clear" w:color="auto" w:fill="E0DBEA"/>
          </w:tcPr>
          <w:p>
            <w:pPr>
              <w:ind w:left="40"/>
              <w:spacing w:after="0"/>
              <w:rPr>
                <w:sz w:val="20"/>
                <w:szCs w:val="20"/>
                <w:color w:val="auto"/>
              </w:rPr>
            </w:pPr>
            <w:r>
              <w:rPr>
                <w:rFonts w:ascii="Arial" w:cs="Arial" w:eastAsia="Arial" w:hAnsi="Arial"/>
                <w:sz w:val="17"/>
                <w:szCs w:val="17"/>
                <w:color w:val="582C83"/>
              </w:rPr>
              <w:t>•</w:t>
            </w:r>
          </w:p>
        </w:tc>
        <w:tc>
          <w:tcPr>
            <w:tcW w:w="1760" w:type="dxa"/>
            <w:vAlign w:val="bottom"/>
            <w:shd w:val="clear" w:color="auto" w:fill="E0DBEA"/>
          </w:tcPr>
          <w:p>
            <w:pPr>
              <w:ind w:left="40"/>
              <w:spacing w:after="0"/>
              <w:rPr>
                <w:sz w:val="20"/>
                <w:szCs w:val="20"/>
                <w:color w:val="auto"/>
              </w:rPr>
            </w:pPr>
            <w:r>
              <w:rPr>
                <w:rFonts w:ascii="Arial" w:cs="Arial" w:eastAsia="Arial" w:hAnsi="Arial"/>
                <w:sz w:val="14"/>
                <w:szCs w:val="14"/>
                <w:color w:val="auto"/>
              </w:rPr>
              <w:t>Adjusted EPS Growth</w:t>
            </w:r>
          </w:p>
        </w:tc>
        <w:tc>
          <w:tcPr>
            <w:tcW w:w="0" w:type="dxa"/>
            <w:vAlign w:val="bottom"/>
          </w:tcPr>
          <w:p>
            <w:pPr>
              <w:spacing w:after="0"/>
              <w:rPr>
                <w:sz w:val="1"/>
                <w:szCs w:val="1"/>
                <w:color w:val="auto"/>
              </w:rPr>
            </w:pPr>
          </w:p>
        </w:tc>
      </w:tr>
      <w:tr>
        <w:trPr>
          <w:trHeight w:val="231"/>
        </w:trPr>
        <w:tc>
          <w:tcPr>
            <w:tcW w:w="780" w:type="dxa"/>
            <w:vAlign w:val="bottom"/>
            <w:shd w:val="clear" w:color="auto" w:fill="E0DBEA"/>
          </w:tcPr>
          <w:p>
            <w:pPr>
              <w:spacing w:after="0"/>
              <w:rPr>
                <w:sz w:val="20"/>
                <w:szCs w:val="20"/>
                <w:color w:val="auto"/>
              </w:rPr>
            </w:pPr>
          </w:p>
        </w:tc>
        <w:tc>
          <w:tcPr>
            <w:tcW w:w="740" w:type="dxa"/>
            <w:vAlign w:val="bottom"/>
            <w:shd w:val="clear" w:color="auto" w:fill="E0DBEA"/>
          </w:tcPr>
          <w:p>
            <w:pPr>
              <w:spacing w:after="0"/>
              <w:rPr>
                <w:sz w:val="20"/>
                <w:szCs w:val="20"/>
                <w:color w:val="auto"/>
              </w:rPr>
            </w:pPr>
          </w:p>
        </w:tc>
        <w:tc>
          <w:tcPr>
            <w:tcW w:w="200" w:type="dxa"/>
            <w:vAlign w:val="bottom"/>
            <w:shd w:val="clear" w:color="auto" w:fill="E0DBEA"/>
          </w:tcPr>
          <w:p>
            <w:pPr>
              <w:spacing w:after="0"/>
              <w:rPr>
                <w:sz w:val="20"/>
                <w:szCs w:val="20"/>
                <w:color w:val="auto"/>
              </w:rPr>
            </w:pP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performance cycle</w:t>
            </w:r>
          </w:p>
        </w:tc>
        <w:tc>
          <w:tcPr>
            <w:tcW w:w="160" w:type="dxa"/>
            <w:vAlign w:val="bottom"/>
            <w:shd w:val="clear" w:color="auto" w:fill="E0DBEA"/>
          </w:tcPr>
          <w:p>
            <w:pPr>
              <w:ind w:left="80"/>
              <w:spacing w:after="0"/>
              <w:rPr>
                <w:sz w:val="20"/>
                <w:szCs w:val="20"/>
                <w:color w:val="auto"/>
              </w:rPr>
            </w:pPr>
            <w:r>
              <w:rPr>
                <w:rFonts w:ascii="Arial" w:cs="Arial" w:eastAsia="Arial" w:hAnsi="Arial"/>
                <w:sz w:val="14"/>
                <w:szCs w:val="14"/>
                <w:color w:val="582C83"/>
              </w:rPr>
              <w:t>•</w:t>
            </w:r>
          </w:p>
        </w:tc>
        <w:tc>
          <w:tcPr>
            <w:tcW w:w="1720" w:type="dxa"/>
            <w:vAlign w:val="bottom"/>
            <w:shd w:val="clear" w:color="auto" w:fill="E0DBEA"/>
          </w:tcPr>
          <w:p>
            <w:pPr>
              <w:ind w:left="40"/>
              <w:spacing w:after="0"/>
              <w:rPr>
                <w:sz w:val="20"/>
                <w:szCs w:val="20"/>
                <w:color w:val="auto"/>
              </w:rPr>
            </w:pPr>
            <w:r>
              <w:rPr>
                <w:rFonts w:ascii="Arial" w:cs="Arial" w:eastAsia="Arial" w:hAnsi="Arial"/>
                <w:sz w:val="14"/>
                <w:szCs w:val="14"/>
                <w:color w:val="auto"/>
              </w:rPr>
              <w:t>Stock ownership</w:t>
            </w:r>
          </w:p>
        </w:tc>
        <w:tc>
          <w:tcPr>
            <w:tcW w:w="140" w:type="dxa"/>
            <w:vAlign w:val="bottom"/>
            <w:shd w:val="clear" w:color="auto" w:fill="E0DBEA"/>
          </w:tcPr>
          <w:p>
            <w:pPr>
              <w:spacing w:after="0"/>
              <w:rPr>
                <w:sz w:val="20"/>
                <w:szCs w:val="20"/>
                <w:color w:val="auto"/>
              </w:rPr>
            </w:pPr>
          </w:p>
        </w:tc>
        <w:tc>
          <w:tcPr>
            <w:tcW w:w="1760" w:type="dxa"/>
            <w:vAlign w:val="bottom"/>
            <w:shd w:val="clear" w:color="auto" w:fill="E0DBEA"/>
          </w:tcPr>
          <w:p>
            <w:pPr>
              <w:ind w:left="4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55"/>
        </w:trPr>
        <w:tc>
          <w:tcPr>
            <w:tcW w:w="780" w:type="dxa"/>
            <w:vAlign w:val="bottom"/>
            <w:shd w:val="clear" w:color="auto" w:fill="E0DBEA"/>
          </w:tcPr>
          <w:p>
            <w:pPr>
              <w:spacing w:after="0"/>
              <w:rPr>
                <w:sz w:val="22"/>
                <w:szCs w:val="22"/>
                <w:color w:val="auto"/>
              </w:rPr>
            </w:pPr>
          </w:p>
        </w:tc>
        <w:tc>
          <w:tcPr>
            <w:tcW w:w="740" w:type="dxa"/>
            <w:vAlign w:val="bottom"/>
            <w:shd w:val="clear" w:color="auto" w:fill="E0DBEA"/>
          </w:tcPr>
          <w:p>
            <w:pPr>
              <w:spacing w:after="0"/>
              <w:rPr>
                <w:sz w:val="22"/>
                <w:szCs w:val="22"/>
                <w:color w:val="auto"/>
              </w:rPr>
            </w:pPr>
          </w:p>
        </w:tc>
        <w:tc>
          <w:tcPr>
            <w:tcW w:w="200" w:type="dxa"/>
            <w:vAlign w:val="bottom"/>
            <w:shd w:val="clear" w:color="auto" w:fill="E0DBEA"/>
          </w:tcPr>
          <w:p>
            <w:pPr>
              <w:ind w:left="100"/>
              <w:spacing w:after="0"/>
              <w:rPr>
                <w:sz w:val="20"/>
                <w:szCs w:val="20"/>
                <w:color w:val="auto"/>
              </w:rPr>
            </w:pPr>
            <w:r>
              <w:rPr>
                <w:rFonts w:ascii="Arial" w:cs="Arial" w:eastAsia="Arial" w:hAnsi="Arial"/>
                <w:sz w:val="17"/>
                <w:szCs w:val="17"/>
                <w:color w:val="582C83"/>
              </w:rPr>
              <w:t>•</w:t>
            </w: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Subject to the Relative TSR Modifier based on relative</w:t>
            </w:r>
          </w:p>
        </w:tc>
        <w:tc>
          <w:tcPr>
            <w:tcW w:w="160" w:type="dxa"/>
            <w:vAlign w:val="bottom"/>
            <w:shd w:val="clear" w:color="auto" w:fill="E0DBEA"/>
          </w:tcPr>
          <w:p>
            <w:pPr>
              <w:spacing w:after="0"/>
              <w:rPr>
                <w:sz w:val="22"/>
                <w:szCs w:val="22"/>
                <w:color w:val="auto"/>
              </w:rPr>
            </w:pPr>
          </w:p>
        </w:tc>
        <w:tc>
          <w:tcPr>
            <w:tcW w:w="1720" w:type="dxa"/>
            <w:vAlign w:val="bottom"/>
            <w:shd w:val="clear" w:color="auto" w:fill="E0DBEA"/>
          </w:tcPr>
          <w:p>
            <w:pPr>
              <w:spacing w:after="0"/>
              <w:rPr>
                <w:sz w:val="22"/>
                <w:szCs w:val="22"/>
                <w:color w:val="auto"/>
              </w:rPr>
            </w:pPr>
          </w:p>
        </w:tc>
        <w:tc>
          <w:tcPr>
            <w:tcW w:w="140" w:type="dxa"/>
            <w:vAlign w:val="bottom"/>
            <w:shd w:val="clear" w:color="auto" w:fill="E0DBEA"/>
          </w:tcPr>
          <w:p>
            <w:pPr>
              <w:ind w:left="40"/>
              <w:spacing w:after="0"/>
              <w:rPr>
                <w:sz w:val="20"/>
                <w:szCs w:val="20"/>
                <w:color w:val="auto"/>
              </w:rPr>
            </w:pPr>
            <w:r>
              <w:rPr>
                <w:rFonts w:ascii="Arial" w:cs="Arial" w:eastAsia="Arial" w:hAnsi="Arial"/>
                <w:sz w:val="17"/>
                <w:szCs w:val="17"/>
                <w:color w:val="582C83"/>
              </w:rPr>
              <w:t>•</w:t>
            </w:r>
          </w:p>
        </w:tc>
        <w:tc>
          <w:tcPr>
            <w:tcW w:w="1760" w:type="dxa"/>
            <w:vAlign w:val="bottom"/>
            <w:shd w:val="clear" w:color="auto" w:fill="E0DBEA"/>
          </w:tcPr>
          <w:p>
            <w:pPr>
              <w:ind w:left="40"/>
              <w:spacing w:after="0"/>
              <w:rPr>
                <w:sz w:val="20"/>
                <w:szCs w:val="20"/>
                <w:color w:val="auto"/>
              </w:rPr>
            </w:pPr>
            <w:r>
              <w:rPr>
                <w:rFonts w:ascii="Arial" w:cs="Arial" w:eastAsia="Arial" w:hAnsi="Arial"/>
                <w:sz w:val="14"/>
                <w:szCs w:val="14"/>
                <w:color w:val="auto"/>
              </w:rPr>
              <w:t>Annualized Relative TSR</w:t>
            </w:r>
          </w:p>
        </w:tc>
        <w:tc>
          <w:tcPr>
            <w:tcW w:w="0" w:type="dxa"/>
            <w:vAlign w:val="bottom"/>
          </w:tcPr>
          <w:p>
            <w:pPr>
              <w:spacing w:after="0"/>
              <w:rPr>
                <w:sz w:val="1"/>
                <w:szCs w:val="1"/>
                <w:color w:val="auto"/>
              </w:rPr>
            </w:pPr>
          </w:p>
        </w:tc>
      </w:tr>
      <w:tr>
        <w:trPr>
          <w:trHeight w:val="217"/>
        </w:trPr>
        <w:tc>
          <w:tcPr>
            <w:tcW w:w="780" w:type="dxa"/>
            <w:vAlign w:val="bottom"/>
            <w:shd w:val="clear" w:color="auto" w:fill="E0DBEA"/>
          </w:tcPr>
          <w:p>
            <w:pPr>
              <w:spacing w:after="0"/>
              <w:rPr>
                <w:sz w:val="18"/>
                <w:szCs w:val="18"/>
                <w:color w:val="auto"/>
              </w:rPr>
            </w:pPr>
          </w:p>
        </w:tc>
        <w:tc>
          <w:tcPr>
            <w:tcW w:w="740" w:type="dxa"/>
            <w:vAlign w:val="bottom"/>
            <w:shd w:val="clear" w:color="auto" w:fill="E0DBEA"/>
          </w:tcPr>
          <w:p>
            <w:pPr>
              <w:spacing w:after="0"/>
              <w:rPr>
                <w:sz w:val="18"/>
                <w:szCs w:val="18"/>
                <w:color w:val="auto"/>
              </w:rPr>
            </w:pPr>
          </w:p>
        </w:tc>
        <w:tc>
          <w:tcPr>
            <w:tcW w:w="200" w:type="dxa"/>
            <w:vAlign w:val="bottom"/>
            <w:shd w:val="clear" w:color="auto" w:fill="E0DBEA"/>
          </w:tcPr>
          <w:p>
            <w:pPr>
              <w:spacing w:after="0"/>
              <w:rPr>
                <w:sz w:val="18"/>
                <w:szCs w:val="18"/>
                <w:color w:val="auto"/>
              </w:rPr>
            </w:pP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TSR over the performance period</w:t>
            </w:r>
          </w:p>
        </w:tc>
        <w:tc>
          <w:tcPr>
            <w:tcW w:w="160" w:type="dxa"/>
            <w:vAlign w:val="bottom"/>
            <w:shd w:val="clear" w:color="auto" w:fill="E0DBEA"/>
          </w:tcPr>
          <w:p>
            <w:pPr>
              <w:spacing w:after="0"/>
              <w:rPr>
                <w:sz w:val="18"/>
                <w:szCs w:val="18"/>
                <w:color w:val="auto"/>
              </w:rPr>
            </w:pPr>
          </w:p>
        </w:tc>
        <w:tc>
          <w:tcPr>
            <w:tcW w:w="1720" w:type="dxa"/>
            <w:vAlign w:val="bottom"/>
            <w:shd w:val="clear" w:color="auto" w:fill="E0DBEA"/>
          </w:tcPr>
          <w:p>
            <w:pPr>
              <w:spacing w:after="0"/>
              <w:rPr>
                <w:sz w:val="18"/>
                <w:szCs w:val="18"/>
                <w:color w:val="auto"/>
              </w:rPr>
            </w:pPr>
          </w:p>
        </w:tc>
        <w:tc>
          <w:tcPr>
            <w:tcW w:w="140" w:type="dxa"/>
            <w:vAlign w:val="bottom"/>
            <w:shd w:val="clear" w:color="auto" w:fill="E0DBEA"/>
          </w:tcPr>
          <w:p>
            <w:pPr>
              <w:spacing w:after="0"/>
              <w:rPr>
                <w:sz w:val="18"/>
                <w:szCs w:val="18"/>
                <w:color w:val="auto"/>
              </w:rPr>
            </w:pPr>
          </w:p>
        </w:tc>
        <w:tc>
          <w:tcPr>
            <w:tcW w:w="1760" w:type="dxa"/>
            <w:vAlign w:val="bottom"/>
            <w:shd w:val="clear" w:color="auto" w:fill="E0DBEA"/>
          </w:tcPr>
          <w:p>
            <w:pPr>
              <w:ind w:left="40"/>
              <w:spacing w:after="0"/>
              <w:rPr>
                <w:sz w:val="20"/>
                <w:szCs w:val="20"/>
                <w:color w:val="auto"/>
              </w:rPr>
            </w:pPr>
            <w:r>
              <w:rPr>
                <w:rFonts w:ascii="Arial" w:cs="Arial" w:eastAsia="Arial" w:hAnsi="Arial"/>
                <w:sz w:val="14"/>
                <w:szCs w:val="14"/>
                <w:color w:val="auto"/>
              </w:rPr>
              <w:t>Modifier (+/-25pp)</w:t>
            </w:r>
          </w:p>
        </w:tc>
        <w:tc>
          <w:tcPr>
            <w:tcW w:w="0" w:type="dxa"/>
            <w:vAlign w:val="bottom"/>
          </w:tcPr>
          <w:p>
            <w:pPr>
              <w:spacing w:after="0"/>
              <w:rPr>
                <w:sz w:val="1"/>
                <w:szCs w:val="1"/>
                <w:color w:val="auto"/>
              </w:rPr>
            </w:pPr>
          </w:p>
        </w:tc>
      </w:tr>
      <w:tr>
        <w:trPr>
          <w:trHeight w:val="251"/>
        </w:trPr>
        <w:tc>
          <w:tcPr>
            <w:tcW w:w="780" w:type="dxa"/>
            <w:vAlign w:val="bottom"/>
            <w:shd w:val="clear" w:color="auto" w:fill="E0DBEA"/>
          </w:tcPr>
          <w:p>
            <w:pPr>
              <w:spacing w:after="0"/>
              <w:rPr>
                <w:sz w:val="21"/>
                <w:szCs w:val="21"/>
                <w:color w:val="auto"/>
              </w:rPr>
            </w:pPr>
          </w:p>
        </w:tc>
        <w:tc>
          <w:tcPr>
            <w:tcW w:w="740" w:type="dxa"/>
            <w:vAlign w:val="bottom"/>
            <w:shd w:val="clear" w:color="auto" w:fill="E0DBEA"/>
          </w:tcPr>
          <w:p>
            <w:pPr>
              <w:spacing w:after="0"/>
              <w:rPr>
                <w:sz w:val="21"/>
                <w:szCs w:val="21"/>
                <w:color w:val="auto"/>
              </w:rPr>
            </w:pPr>
          </w:p>
        </w:tc>
        <w:tc>
          <w:tcPr>
            <w:tcW w:w="200" w:type="dxa"/>
            <w:vAlign w:val="bottom"/>
            <w:shd w:val="clear" w:color="auto" w:fill="E0DBEA"/>
          </w:tcPr>
          <w:p>
            <w:pPr>
              <w:ind w:left="100"/>
              <w:spacing w:after="0"/>
              <w:rPr>
                <w:sz w:val="20"/>
                <w:szCs w:val="20"/>
                <w:color w:val="auto"/>
              </w:rPr>
            </w:pPr>
            <w:r>
              <w:rPr>
                <w:rFonts w:ascii="Arial" w:cs="Arial" w:eastAsia="Arial" w:hAnsi="Arial"/>
                <w:sz w:val="17"/>
                <w:szCs w:val="17"/>
                <w:color w:val="582C83"/>
              </w:rPr>
              <w:t>•</w:t>
            </w: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Payouts are capped at 200% of target (inclusive of the</w:t>
            </w:r>
          </w:p>
        </w:tc>
        <w:tc>
          <w:tcPr>
            <w:tcW w:w="160" w:type="dxa"/>
            <w:vAlign w:val="bottom"/>
            <w:shd w:val="clear" w:color="auto" w:fill="E0DBEA"/>
          </w:tcPr>
          <w:p>
            <w:pPr>
              <w:spacing w:after="0"/>
              <w:rPr>
                <w:sz w:val="21"/>
                <w:szCs w:val="21"/>
                <w:color w:val="auto"/>
              </w:rPr>
            </w:pPr>
          </w:p>
        </w:tc>
        <w:tc>
          <w:tcPr>
            <w:tcW w:w="1720" w:type="dxa"/>
            <w:vAlign w:val="bottom"/>
            <w:shd w:val="clear" w:color="auto" w:fill="E0DBEA"/>
          </w:tcPr>
          <w:p>
            <w:pPr>
              <w:spacing w:after="0"/>
              <w:rPr>
                <w:sz w:val="21"/>
                <w:szCs w:val="21"/>
                <w:color w:val="auto"/>
              </w:rPr>
            </w:pPr>
          </w:p>
        </w:tc>
        <w:tc>
          <w:tcPr>
            <w:tcW w:w="140" w:type="dxa"/>
            <w:vAlign w:val="bottom"/>
            <w:shd w:val="clear" w:color="auto" w:fill="E0DBEA"/>
          </w:tcPr>
          <w:p>
            <w:pPr>
              <w:spacing w:after="0"/>
              <w:rPr>
                <w:sz w:val="21"/>
                <w:szCs w:val="21"/>
                <w:color w:val="auto"/>
              </w:rPr>
            </w:pPr>
          </w:p>
        </w:tc>
        <w:tc>
          <w:tcPr>
            <w:tcW w:w="1760" w:type="dxa"/>
            <w:vAlign w:val="bottom"/>
            <w:shd w:val="clear" w:color="auto" w:fill="E0DBEA"/>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80" w:type="dxa"/>
            <w:vAlign w:val="bottom"/>
            <w:shd w:val="clear" w:color="auto" w:fill="E0DBEA"/>
          </w:tcPr>
          <w:p>
            <w:pPr>
              <w:spacing w:after="0"/>
              <w:rPr>
                <w:sz w:val="16"/>
                <w:szCs w:val="16"/>
                <w:color w:val="auto"/>
              </w:rPr>
            </w:pPr>
          </w:p>
        </w:tc>
        <w:tc>
          <w:tcPr>
            <w:tcW w:w="740" w:type="dxa"/>
            <w:vAlign w:val="bottom"/>
            <w:shd w:val="clear" w:color="auto" w:fill="E0DBEA"/>
          </w:tcPr>
          <w:p>
            <w:pPr>
              <w:spacing w:after="0"/>
              <w:rPr>
                <w:sz w:val="16"/>
                <w:szCs w:val="16"/>
                <w:color w:val="auto"/>
              </w:rPr>
            </w:pPr>
          </w:p>
        </w:tc>
        <w:tc>
          <w:tcPr>
            <w:tcW w:w="200" w:type="dxa"/>
            <w:vAlign w:val="bottom"/>
            <w:shd w:val="clear" w:color="auto" w:fill="E0DBEA"/>
          </w:tcPr>
          <w:p>
            <w:pPr>
              <w:spacing w:after="0"/>
              <w:rPr>
                <w:sz w:val="16"/>
                <w:szCs w:val="16"/>
                <w:color w:val="auto"/>
              </w:rPr>
            </w:pP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Relative TSR Modifier)</w:t>
            </w:r>
          </w:p>
        </w:tc>
        <w:tc>
          <w:tcPr>
            <w:tcW w:w="160" w:type="dxa"/>
            <w:vAlign w:val="bottom"/>
            <w:shd w:val="clear" w:color="auto" w:fill="E0DBEA"/>
          </w:tcPr>
          <w:p>
            <w:pPr>
              <w:spacing w:after="0"/>
              <w:rPr>
                <w:sz w:val="16"/>
                <w:szCs w:val="16"/>
                <w:color w:val="auto"/>
              </w:rPr>
            </w:pPr>
          </w:p>
        </w:tc>
        <w:tc>
          <w:tcPr>
            <w:tcW w:w="1720" w:type="dxa"/>
            <w:vAlign w:val="bottom"/>
            <w:shd w:val="clear" w:color="auto" w:fill="E0DBEA"/>
          </w:tcPr>
          <w:p>
            <w:pPr>
              <w:spacing w:after="0"/>
              <w:rPr>
                <w:sz w:val="16"/>
                <w:szCs w:val="16"/>
                <w:color w:val="auto"/>
              </w:rPr>
            </w:pPr>
          </w:p>
        </w:tc>
        <w:tc>
          <w:tcPr>
            <w:tcW w:w="140" w:type="dxa"/>
            <w:vAlign w:val="bottom"/>
            <w:shd w:val="clear" w:color="auto" w:fill="E0DBEA"/>
          </w:tcPr>
          <w:p>
            <w:pPr>
              <w:spacing w:after="0"/>
              <w:rPr>
                <w:sz w:val="16"/>
                <w:szCs w:val="16"/>
                <w:color w:val="auto"/>
              </w:rPr>
            </w:pPr>
          </w:p>
        </w:tc>
        <w:tc>
          <w:tcPr>
            <w:tcW w:w="1760" w:type="dxa"/>
            <w:vAlign w:val="bottom"/>
            <w:shd w:val="clear" w:color="auto" w:fill="E0DBEA"/>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780" w:type="dxa"/>
            <w:vAlign w:val="bottom"/>
            <w:tcBorders>
              <w:bottom w:val="single" w:sz="8" w:color="E0DBEA"/>
            </w:tcBorders>
            <w:shd w:val="clear" w:color="auto" w:fill="E0DBEA"/>
          </w:tcPr>
          <w:p>
            <w:pPr>
              <w:spacing w:after="0"/>
              <w:rPr>
                <w:sz w:val="24"/>
                <w:szCs w:val="24"/>
                <w:color w:val="auto"/>
              </w:rPr>
            </w:pPr>
          </w:p>
        </w:tc>
        <w:tc>
          <w:tcPr>
            <w:tcW w:w="740" w:type="dxa"/>
            <w:vAlign w:val="bottom"/>
            <w:tcBorders>
              <w:bottom w:val="single" w:sz="8" w:color="E0DBEA"/>
            </w:tcBorders>
            <w:shd w:val="clear" w:color="auto" w:fill="E0DBEA"/>
          </w:tcPr>
          <w:p>
            <w:pPr>
              <w:spacing w:after="0"/>
              <w:rPr>
                <w:sz w:val="24"/>
                <w:szCs w:val="24"/>
                <w:color w:val="auto"/>
              </w:rPr>
            </w:pPr>
          </w:p>
        </w:tc>
        <w:tc>
          <w:tcPr>
            <w:tcW w:w="200" w:type="dxa"/>
            <w:vAlign w:val="bottom"/>
            <w:tcBorders>
              <w:bottom w:val="single" w:sz="8" w:color="E0DBEA"/>
            </w:tcBorders>
            <w:shd w:val="clear" w:color="auto" w:fill="E0DBEA"/>
          </w:tcPr>
          <w:p>
            <w:pPr>
              <w:ind w:left="100"/>
              <w:spacing w:after="0"/>
              <w:rPr>
                <w:sz w:val="20"/>
                <w:szCs w:val="20"/>
                <w:color w:val="auto"/>
              </w:rPr>
            </w:pPr>
            <w:r>
              <w:rPr>
                <w:rFonts w:ascii="Arial" w:cs="Arial" w:eastAsia="Arial" w:hAnsi="Arial"/>
                <w:sz w:val="17"/>
                <w:szCs w:val="17"/>
                <w:color w:val="582C83"/>
              </w:rPr>
              <w:t>•</w:t>
            </w:r>
          </w:p>
        </w:tc>
        <w:tc>
          <w:tcPr>
            <w:tcW w:w="3540" w:type="dxa"/>
            <w:vAlign w:val="bottom"/>
            <w:tcBorders>
              <w:bottom w:val="single" w:sz="8" w:color="E0DBEA"/>
            </w:tcBorders>
            <w:shd w:val="clear" w:color="auto" w:fill="E0DBEA"/>
          </w:tcPr>
          <w:p>
            <w:pPr>
              <w:ind w:left="40"/>
              <w:spacing w:after="0"/>
              <w:rPr>
                <w:sz w:val="20"/>
                <w:szCs w:val="20"/>
                <w:color w:val="auto"/>
              </w:rPr>
            </w:pPr>
            <w:r>
              <w:rPr>
                <w:rFonts w:ascii="Arial" w:cs="Arial" w:eastAsia="Arial" w:hAnsi="Arial"/>
                <w:sz w:val="14"/>
                <w:szCs w:val="14"/>
                <w:color w:val="auto"/>
              </w:rPr>
              <w:t>3-year cliff vesting</w:t>
            </w:r>
          </w:p>
        </w:tc>
        <w:tc>
          <w:tcPr>
            <w:tcW w:w="160" w:type="dxa"/>
            <w:vAlign w:val="bottom"/>
            <w:tcBorders>
              <w:bottom w:val="single" w:sz="8" w:color="E0DBEA"/>
            </w:tcBorders>
            <w:shd w:val="clear" w:color="auto" w:fill="E0DBEA"/>
          </w:tcPr>
          <w:p>
            <w:pPr>
              <w:spacing w:after="0"/>
              <w:rPr>
                <w:sz w:val="24"/>
                <w:szCs w:val="24"/>
                <w:color w:val="auto"/>
              </w:rPr>
            </w:pPr>
          </w:p>
        </w:tc>
        <w:tc>
          <w:tcPr>
            <w:tcW w:w="1720" w:type="dxa"/>
            <w:vAlign w:val="bottom"/>
            <w:tcBorders>
              <w:bottom w:val="single" w:sz="8" w:color="E0DBEA"/>
            </w:tcBorders>
            <w:shd w:val="clear" w:color="auto" w:fill="E0DBEA"/>
          </w:tcPr>
          <w:p>
            <w:pPr>
              <w:spacing w:after="0"/>
              <w:rPr>
                <w:sz w:val="24"/>
                <w:szCs w:val="24"/>
                <w:color w:val="auto"/>
              </w:rPr>
            </w:pPr>
          </w:p>
        </w:tc>
        <w:tc>
          <w:tcPr>
            <w:tcW w:w="140" w:type="dxa"/>
            <w:vAlign w:val="bottom"/>
            <w:tcBorders>
              <w:bottom w:val="single" w:sz="8" w:color="E0DBEA"/>
            </w:tcBorders>
            <w:shd w:val="clear" w:color="auto" w:fill="E0DBEA"/>
          </w:tcPr>
          <w:p>
            <w:pPr>
              <w:spacing w:after="0"/>
              <w:rPr>
                <w:sz w:val="24"/>
                <w:szCs w:val="24"/>
                <w:color w:val="auto"/>
              </w:rPr>
            </w:pPr>
          </w:p>
        </w:tc>
        <w:tc>
          <w:tcPr>
            <w:tcW w:w="1760" w:type="dxa"/>
            <w:vAlign w:val="bottom"/>
            <w:tcBorders>
              <w:bottom w:val="single" w:sz="8" w:color="E0DBEA"/>
            </w:tcBorders>
            <w:shd w:val="clear" w:color="auto" w:fill="E0DBEA"/>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80" w:type="dxa"/>
            <w:vAlign w:val="bottom"/>
            <w:tcBorders>
              <w:top w:val="single" w:sz="8" w:color="582C83"/>
            </w:tcBorders>
          </w:tcPr>
          <w:p>
            <w:pPr>
              <w:ind w:left="60"/>
              <w:spacing w:after="0"/>
              <w:rPr>
                <w:sz w:val="20"/>
                <w:szCs w:val="20"/>
                <w:color w:val="auto"/>
              </w:rPr>
            </w:pPr>
            <w:r>
              <w:rPr>
                <w:rFonts w:ascii="Arial" w:cs="Arial" w:eastAsia="Arial" w:hAnsi="Arial"/>
                <w:sz w:val="14"/>
                <w:szCs w:val="14"/>
                <w:b w:val="1"/>
                <w:bCs w:val="1"/>
                <w:color w:val="auto"/>
              </w:rPr>
              <w:t>Stock</w:t>
            </w:r>
          </w:p>
        </w:tc>
        <w:tc>
          <w:tcPr>
            <w:tcW w:w="740" w:type="dxa"/>
            <w:vAlign w:val="bottom"/>
            <w:tcBorders>
              <w:top w:val="single" w:sz="8" w:color="582C83"/>
            </w:tcBorders>
          </w:tcPr>
          <w:p>
            <w:pPr>
              <w:jc w:val="center"/>
              <w:ind w:left="8"/>
              <w:spacing w:after="0"/>
              <w:rPr>
                <w:sz w:val="20"/>
                <w:szCs w:val="20"/>
                <w:color w:val="auto"/>
              </w:rPr>
            </w:pPr>
            <w:r>
              <w:rPr>
                <w:rFonts w:ascii="Arial" w:cs="Arial" w:eastAsia="Arial" w:hAnsi="Arial"/>
                <w:sz w:val="14"/>
                <w:szCs w:val="14"/>
                <w:b w:val="1"/>
                <w:bCs w:val="1"/>
                <w:color w:val="auto"/>
              </w:rPr>
              <w:t>25%</w:t>
            </w:r>
          </w:p>
        </w:tc>
        <w:tc>
          <w:tcPr>
            <w:tcW w:w="200" w:type="dxa"/>
            <w:vAlign w:val="bottom"/>
            <w:tcBorders>
              <w:top w:val="single" w:sz="8" w:color="582C83"/>
            </w:tcBorders>
          </w:tcPr>
          <w:p>
            <w:pPr>
              <w:ind w:left="100"/>
              <w:spacing w:after="0" w:line="187" w:lineRule="exact"/>
              <w:rPr>
                <w:sz w:val="20"/>
                <w:szCs w:val="20"/>
                <w:color w:val="auto"/>
              </w:rPr>
            </w:pPr>
            <w:r>
              <w:rPr>
                <w:rFonts w:ascii="Arial" w:cs="Arial" w:eastAsia="Arial" w:hAnsi="Arial"/>
                <w:sz w:val="17"/>
                <w:szCs w:val="17"/>
                <w:color w:val="582C83"/>
              </w:rPr>
              <w:t>•</w:t>
            </w:r>
          </w:p>
        </w:tc>
        <w:tc>
          <w:tcPr>
            <w:tcW w:w="3540" w:type="dxa"/>
            <w:vAlign w:val="bottom"/>
            <w:tcBorders>
              <w:top w:val="single" w:sz="8" w:color="582C83"/>
            </w:tcBorders>
          </w:tcPr>
          <w:p>
            <w:pPr>
              <w:ind w:left="40"/>
              <w:spacing w:after="0"/>
              <w:rPr>
                <w:sz w:val="20"/>
                <w:szCs w:val="20"/>
                <w:color w:val="auto"/>
              </w:rPr>
            </w:pPr>
            <w:r>
              <w:rPr>
                <w:rFonts w:ascii="Arial" w:cs="Arial" w:eastAsia="Arial" w:hAnsi="Arial"/>
                <w:sz w:val="14"/>
                <w:szCs w:val="14"/>
                <w:color w:val="auto"/>
              </w:rPr>
              <w:t>3-year ratable vesting</w:t>
            </w:r>
          </w:p>
        </w:tc>
        <w:tc>
          <w:tcPr>
            <w:tcW w:w="160" w:type="dxa"/>
            <w:vAlign w:val="bottom"/>
            <w:tcBorders>
              <w:top w:val="single" w:sz="8" w:color="582C83"/>
            </w:tcBorders>
          </w:tcPr>
          <w:p>
            <w:pPr>
              <w:ind w:left="80"/>
              <w:spacing w:after="0"/>
              <w:rPr>
                <w:sz w:val="20"/>
                <w:szCs w:val="20"/>
                <w:color w:val="auto"/>
              </w:rPr>
            </w:pPr>
            <w:r>
              <w:rPr>
                <w:rFonts w:ascii="Arial" w:cs="Arial" w:eastAsia="Arial" w:hAnsi="Arial"/>
                <w:sz w:val="14"/>
                <w:szCs w:val="14"/>
                <w:color w:val="582C83"/>
              </w:rPr>
              <w:t>•</w:t>
            </w:r>
          </w:p>
        </w:tc>
        <w:tc>
          <w:tcPr>
            <w:tcW w:w="1720" w:type="dxa"/>
            <w:vAlign w:val="bottom"/>
            <w:tcBorders>
              <w:top w:val="single" w:sz="8" w:color="582C83"/>
            </w:tcBorders>
          </w:tcPr>
          <w:p>
            <w:pPr>
              <w:ind w:left="40"/>
              <w:spacing w:after="0"/>
              <w:rPr>
                <w:sz w:val="20"/>
                <w:szCs w:val="20"/>
                <w:color w:val="auto"/>
              </w:rPr>
            </w:pPr>
            <w:r>
              <w:rPr>
                <w:rFonts w:ascii="Arial" w:cs="Arial" w:eastAsia="Arial" w:hAnsi="Arial"/>
                <w:sz w:val="14"/>
                <w:szCs w:val="14"/>
                <w:color w:val="auto"/>
              </w:rPr>
              <w:t>Aligns long-term interests</w:t>
            </w:r>
          </w:p>
        </w:tc>
        <w:tc>
          <w:tcPr>
            <w:tcW w:w="1900" w:type="dxa"/>
            <w:vAlign w:val="bottom"/>
            <w:tcBorders>
              <w:top w:val="single" w:sz="8" w:color="582C83"/>
            </w:tcBorders>
            <w:gridSpan w:val="2"/>
          </w:tcPr>
          <w:p>
            <w:pPr>
              <w:ind w:left="40"/>
              <w:spacing w:after="0"/>
              <w:rPr>
                <w:sz w:val="20"/>
                <w:szCs w:val="20"/>
                <w:color w:val="auto"/>
              </w:rPr>
            </w:pPr>
            <w:r>
              <w:rPr>
                <w:rFonts w:ascii="Arial" w:cs="Arial" w:eastAsia="Arial" w:hAnsi="Arial"/>
                <w:sz w:val="14"/>
                <w:szCs w:val="14"/>
                <w:color w:val="auto"/>
              </w:rPr>
              <w:t>Stock Price</w:t>
            </w:r>
          </w:p>
        </w:tc>
        <w:tc>
          <w:tcPr>
            <w:tcW w:w="0" w:type="dxa"/>
            <w:vAlign w:val="bottom"/>
          </w:tcPr>
          <w:p>
            <w:pPr>
              <w:spacing w:after="0"/>
              <w:rPr>
                <w:sz w:val="1"/>
                <w:szCs w:val="1"/>
                <w:color w:val="auto"/>
              </w:rPr>
            </w:pPr>
          </w:p>
        </w:tc>
      </w:tr>
      <w:tr>
        <w:trPr>
          <w:trHeight w:val="189"/>
        </w:trPr>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Options</w:t>
            </w:r>
          </w:p>
        </w:tc>
        <w:tc>
          <w:tcPr>
            <w:tcW w:w="740" w:type="dxa"/>
            <w:vAlign w:val="bottom"/>
          </w:tcPr>
          <w:p>
            <w:pPr>
              <w:spacing w:after="0"/>
              <w:rPr>
                <w:sz w:val="16"/>
                <w:szCs w:val="16"/>
                <w:color w:val="auto"/>
              </w:rPr>
            </w:pPr>
          </w:p>
        </w:tc>
        <w:tc>
          <w:tcPr>
            <w:tcW w:w="200" w:type="dxa"/>
            <w:vAlign w:val="bottom"/>
            <w:vMerge w:val="restart"/>
          </w:tcPr>
          <w:p>
            <w:pPr>
              <w:ind w:left="100"/>
              <w:spacing w:after="0"/>
              <w:rPr>
                <w:sz w:val="20"/>
                <w:szCs w:val="20"/>
                <w:color w:val="auto"/>
              </w:rPr>
            </w:pPr>
            <w:r>
              <w:rPr>
                <w:rFonts w:ascii="Arial" w:cs="Arial" w:eastAsia="Arial" w:hAnsi="Arial"/>
                <w:sz w:val="17"/>
                <w:szCs w:val="17"/>
                <w:color w:val="582C83"/>
              </w:rPr>
              <w:t>•</w:t>
            </w:r>
          </w:p>
        </w:tc>
        <w:tc>
          <w:tcPr>
            <w:tcW w:w="3540" w:type="dxa"/>
            <w:vAlign w:val="bottom"/>
            <w:vMerge w:val="restart"/>
          </w:tcPr>
          <w:p>
            <w:pPr>
              <w:ind w:left="40"/>
              <w:spacing w:after="0"/>
              <w:rPr>
                <w:sz w:val="20"/>
                <w:szCs w:val="20"/>
                <w:color w:val="auto"/>
              </w:rPr>
            </w:pPr>
            <w:r>
              <w:rPr>
                <w:rFonts w:ascii="Arial" w:cs="Arial" w:eastAsia="Arial" w:hAnsi="Arial"/>
                <w:sz w:val="14"/>
                <w:szCs w:val="14"/>
                <w:color w:val="auto"/>
              </w:rPr>
              <w:t>10-year term</w:t>
            </w:r>
          </w:p>
        </w:tc>
        <w:tc>
          <w:tcPr>
            <w:tcW w:w="160" w:type="dxa"/>
            <w:vAlign w:val="bottom"/>
          </w:tcPr>
          <w:p>
            <w:pPr>
              <w:spacing w:after="0"/>
              <w:rPr>
                <w:sz w:val="16"/>
                <w:szCs w:val="16"/>
                <w:color w:val="auto"/>
              </w:rPr>
            </w:pPr>
          </w:p>
        </w:tc>
        <w:tc>
          <w:tcPr>
            <w:tcW w:w="1720" w:type="dxa"/>
            <w:vAlign w:val="bottom"/>
          </w:tcPr>
          <w:p>
            <w:pPr>
              <w:ind w:left="40"/>
              <w:spacing w:after="0"/>
              <w:rPr>
                <w:sz w:val="20"/>
                <w:szCs w:val="20"/>
                <w:color w:val="auto"/>
              </w:rPr>
            </w:pPr>
            <w:r>
              <w:rPr>
                <w:rFonts w:ascii="Arial" w:cs="Arial" w:eastAsia="Arial" w:hAnsi="Arial"/>
                <w:sz w:val="14"/>
                <w:szCs w:val="14"/>
                <w:color w:val="auto"/>
              </w:rPr>
              <w:t>by linking value entirely</w:t>
            </w: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vMerge w:val="restart"/>
          </w:tcPr>
          <w:p>
            <w:pPr>
              <w:ind w:left="40"/>
              <w:spacing w:after="0"/>
              <w:rPr>
                <w:sz w:val="20"/>
                <w:szCs w:val="20"/>
                <w:color w:val="auto"/>
              </w:rPr>
            </w:pPr>
            <w:r>
              <w:rPr>
                <w:rFonts w:ascii="Arial" w:cs="Arial" w:eastAsia="Arial" w:hAnsi="Arial"/>
                <w:sz w:val="14"/>
                <w:szCs w:val="14"/>
                <w:color w:val="auto"/>
              </w:rPr>
              <w:t>to stock price</w:t>
            </w:r>
          </w:p>
        </w:tc>
        <w:tc>
          <w:tcPr>
            <w:tcW w:w="1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ind w:left="40"/>
              <w:spacing w:after="0"/>
              <w:rPr>
                <w:sz w:val="20"/>
                <w:szCs w:val="20"/>
                <w:color w:val="auto"/>
              </w:rPr>
            </w:pPr>
            <w:r>
              <w:rPr>
                <w:rFonts w:ascii="Arial" w:cs="Arial" w:eastAsia="Arial" w:hAnsi="Arial"/>
                <w:sz w:val="14"/>
                <w:szCs w:val="14"/>
                <w:color w:val="auto"/>
              </w:rPr>
              <w:t>appreciation</w:t>
            </w: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582C83"/>
              </w:rPr>
              <w:t>•</w:t>
            </w:r>
          </w:p>
        </w:tc>
        <w:tc>
          <w:tcPr>
            <w:tcW w:w="1720" w:type="dxa"/>
            <w:vAlign w:val="bottom"/>
          </w:tcPr>
          <w:p>
            <w:pPr>
              <w:ind w:left="40"/>
              <w:spacing w:after="0"/>
              <w:rPr>
                <w:sz w:val="20"/>
                <w:szCs w:val="20"/>
                <w:color w:val="auto"/>
              </w:rPr>
            </w:pPr>
            <w:r>
              <w:rPr>
                <w:rFonts w:ascii="Arial" w:cs="Arial" w:eastAsia="Arial" w:hAnsi="Arial"/>
                <w:sz w:val="14"/>
                <w:szCs w:val="14"/>
                <w:color w:val="auto"/>
              </w:rPr>
              <w:t>Retention</w:t>
            </w: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582C83"/>
              </w:rPr>
              <w:t>•</w:t>
            </w:r>
          </w:p>
        </w:tc>
        <w:tc>
          <w:tcPr>
            <w:tcW w:w="1720" w:type="dxa"/>
            <w:vAlign w:val="bottom"/>
          </w:tcPr>
          <w:p>
            <w:pPr>
              <w:ind w:left="40"/>
              <w:spacing w:after="0"/>
              <w:rPr>
                <w:sz w:val="20"/>
                <w:szCs w:val="20"/>
                <w:color w:val="auto"/>
              </w:rPr>
            </w:pPr>
            <w:r>
              <w:rPr>
                <w:rFonts w:ascii="Arial" w:cs="Arial" w:eastAsia="Arial" w:hAnsi="Arial"/>
                <w:sz w:val="14"/>
                <w:szCs w:val="14"/>
                <w:color w:val="auto"/>
              </w:rPr>
              <w:t>Stock ownership</w:t>
            </w: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See definitions of PSU performance measures in Annex A.</w:t>
      </w:r>
    </w:p>
    <w:p>
      <w:pPr>
        <w:spacing w:after="0" w:line="200" w:lineRule="exact"/>
        <w:rPr>
          <w:sz w:val="20"/>
          <w:szCs w:val="20"/>
          <w:color w:val="auto"/>
        </w:rPr>
      </w:pPr>
    </w:p>
    <w:p>
      <w:pPr>
        <w:spacing w:after="0" w:line="307"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39852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10375" cy="398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COMPENSATION DISCUSSION AND ANALYSIS (CD&amp;A)</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Compensation Program</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LTI Grants</w:t>
      </w:r>
    </w:p>
    <w:p>
      <w:pPr>
        <w:spacing w:after="0" w:line="114"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The table below shows the 2025 annual equity grants to our NEOs. In determining each grant, the PCC considered each executive’s level of responsibility, individual and company performance, external market positioning, and recommendations from the CEO, other than for his own grants.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20" w:type="dxa"/>
            <w:vAlign w:val="bottom"/>
          </w:tcPr>
          <w:p>
            <w:pPr>
              <w:spacing w:after="0"/>
              <w:rPr>
                <w:sz w:val="18"/>
                <w:szCs w:val="18"/>
                <w:color w:val="auto"/>
              </w:rPr>
            </w:pPr>
          </w:p>
        </w:tc>
        <w:tc>
          <w:tcPr>
            <w:tcW w:w="680" w:type="dxa"/>
            <w:vAlign w:val="bottom"/>
            <w:tcBorders>
              <w:bottom w:val="single" w:sz="8" w:color="582C83"/>
            </w:tcBorders>
          </w:tcPr>
          <w:p>
            <w:pPr>
              <w:spacing w:after="0"/>
              <w:rPr>
                <w:sz w:val="18"/>
                <w:szCs w:val="18"/>
                <w:color w:val="auto"/>
              </w:rPr>
            </w:pPr>
          </w:p>
        </w:tc>
        <w:tc>
          <w:tcPr>
            <w:tcW w:w="2240" w:type="dxa"/>
            <w:vAlign w:val="bottom"/>
            <w:tcBorders>
              <w:bottom w:val="single" w:sz="8" w:color="582C83"/>
            </w:tcBorders>
            <w:gridSpan w:val="3"/>
          </w:tcPr>
          <w:p>
            <w:pPr>
              <w:jc w:val="right"/>
              <w:ind w:right="148"/>
              <w:spacing w:after="0"/>
              <w:rPr>
                <w:sz w:val="20"/>
                <w:szCs w:val="20"/>
                <w:color w:val="auto"/>
              </w:rPr>
            </w:pPr>
            <w:r>
              <w:rPr>
                <w:rFonts w:ascii="Arial" w:cs="Arial" w:eastAsia="Arial" w:hAnsi="Arial"/>
                <w:sz w:val="14"/>
                <w:szCs w:val="14"/>
                <w:b w:val="1"/>
                <w:bCs w:val="1"/>
                <w:color w:val="auto"/>
              </w:rPr>
              <w:t>Annual Equity Grants</w:t>
            </w:r>
            <w:r>
              <w:rPr>
                <w:rFonts w:ascii="Arial" w:cs="Arial" w:eastAsia="Arial" w:hAnsi="Arial"/>
                <w:sz w:val="18"/>
                <w:szCs w:val="18"/>
                <w:b w:val="1"/>
                <w:bCs w:val="1"/>
                <w:color w:val="auto"/>
                <w:vertAlign w:val="superscript"/>
              </w:rPr>
              <w:t>(1)</w:t>
            </w:r>
          </w:p>
        </w:tc>
        <w:tc>
          <w:tcPr>
            <w:tcW w:w="900" w:type="dxa"/>
            <w:vAlign w:val="bottom"/>
            <w:tcBorders>
              <w:bottom w:val="single" w:sz="8" w:color="582C83"/>
            </w:tcBorders>
          </w:tcPr>
          <w:p>
            <w:pPr>
              <w:spacing w:after="0"/>
              <w:rPr>
                <w:sz w:val="18"/>
                <w:szCs w:val="18"/>
                <w:color w:val="auto"/>
              </w:rPr>
            </w:pPr>
          </w:p>
        </w:tc>
      </w:tr>
      <w:tr>
        <w:trPr>
          <w:trHeight w:val="209"/>
        </w:trPr>
        <w:tc>
          <w:tcPr>
            <w:tcW w:w="5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PSUs</w:t>
            </w:r>
          </w:p>
        </w:tc>
        <w:tc>
          <w:tcPr>
            <w:tcW w:w="1820" w:type="dxa"/>
            <w:vAlign w:val="bottom"/>
            <w:gridSpan w:val="2"/>
          </w:tcPr>
          <w:p>
            <w:pPr>
              <w:jc w:val="right"/>
              <w:ind w:right="353"/>
              <w:spacing w:after="0"/>
              <w:rPr>
                <w:sz w:val="20"/>
                <w:szCs w:val="20"/>
                <w:color w:val="auto"/>
              </w:rPr>
            </w:pPr>
            <w:r>
              <w:rPr>
                <w:rFonts w:ascii="Arial" w:cs="Arial" w:eastAsia="Arial" w:hAnsi="Arial"/>
                <w:sz w:val="14"/>
                <w:szCs w:val="14"/>
                <w:b w:val="1"/>
                <w:bCs w:val="1"/>
                <w:color w:val="auto"/>
              </w:rPr>
              <w:t>Stock Options</w:t>
            </w:r>
          </w:p>
        </w:tc>
      </w:tr>
      <w:tr>
        <w:trPr>
          <w:trHeight w:val="210"/>
        </w:trPr>
        <w:tc>
          <w:tcPr>
            <w:tcW w:w="522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Name</w:t>
            </w:r>
          </w:p>
        </w:tc>
        <w:tc>
          <w:tcPr>
            <w:tcW w:w="68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582C83"/>
              <w:bottom w:val="single" w:sz="8" w:color="582C83"/>
            </w:tcBorders>
          </w:tcPr>
          <w:p>
            <w:pPr>
              <w:jc w:val="right"/>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8"/>
                <w:szCs w:val="8"/>
                <w:b w:val="1"/>
                <w:bCs w:val="1"/>
                <w:color w:val="auto"/>
              </w:rPr>
              <w:t>(2)</w:t>
            </w:r>
          </w:p>
        </w:tc>
        <w:tc>
          <w:tcPr>
            <w:tcW w:w="220" w:type="dxa"/>
            <w:vAlign w:val="bottom"/>
            <w:tcBorders>
              <w:bottom w:val="single" w:sz="8" w:color="582C83"/>
            </w:tcBorders>
          </w:tcPr>
          <w:p>
            <w:pPr>
              <w:spacing w:after="0"/>
              <w:rPr>
                <w:sz w:val="18"/>
                <w:szCs w:val="18"/>
                <w:color w:val="auto"/>
              </w:rPr>
            </w:pPr>
          </w:p>
        </w:tc>
        <w:tc>
          <w:tcPr>
            <w:tcW w:w="920" w:type="dxa"/>
            <w:vAlign w:val="bottom"/>
            <w:tcBorders>
              <w:top w:val="single" w:sz="8" w:color="582C83"/>
              <w:bottom w:val="single" w:sz="8" w:color="582C83"/>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582C83"/>
              <w:bottom w:val="single" w:sz="8" w:color="582C83"/>
            </w:tcBorders>
          </w:tcPr>
          <w:p>
            <w:pPr>
              <w:jc w:val="right"/>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8"/>
                <w:szCs w:val="8"/>
                <w:b w:val="1"/>
                <w:bCs w:val="1"/>
                <w:color w:val="auto"/>
              </w:rPr>
              <w:t>(2)</w:t>
            </w:r>
          </w:p>
        </w:tc>
      </w:tr>
      <w:tr>
        <w:trPr>
          <w:trHeight w:val="216"/>
        </w:trPr>
        <w:tc>
          <w:tcPr>
            <w:tcW w:w="522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Mr. Van de Put</w:t>
            </w:r>
          </w:p>
        </w:tc>
        <w:tc>
          <w:tcPr>
            <w:tcW w:w="68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209,100</w:t>
            </w:r>
          </w:p>
        </w:tc>
        <w:tc>
          <w:tcPr>
            <w:tcW w:w="110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13,162,500</w:t>
            </w:r>
          </w:p>
        </w:tc>
        <w:tc>
          <w:tcPr>
            <w:tcW w:w="220" w:type="dxa"/>
            <w:vAlign w:val="bottom"/>
            <w:tcBorders>
              <w:bottom w:val="single" w:sz="8" w:color="582C83"/>
            </w:tcBorders>
            <w:shd w:val="clear" w:color="auto" w:fill="E0DBEA"/>
          </w:tcPr>
          <w:p>
            <w:pPr>
              <w:spacing w:after="0"/>
              <w:rPr>
                <w:sz w:val="18"/>
                <w:szCs w:val="18"/>
                <w:color w:val="auto"/>
              </w:rPr>
            </w:pPr>
          </w:p>
        </w:tc>
        <w:tc>
          <w:tcPr>
            <w:tcW w:w="920" w:type="dxa"/>
            <w:vAlign w:val="bottom"/>
            <w:tcBorders>
              <w:bottom w:val="single" w:sz="8" w:color="582C83"/>
            </w:tcBorders>
            <w:shd w:val="clear" w:color="auto" w:fill="E0DBEA"/>
          </w:tcPr>
          <w:p>
            <w:pPr>
              <w:jc w:val="right"/>
              <w:ind w:right="228"/>
              <w:spacing w:after="0"/>
              <w:rPr>
                <w:sz w:val="20"/>
                <w:szCs w:val="20"/>
                <w:color w:val="auto"/>
              </w:rPr>
            </w:pPr>
            <w:r>
              <w:rPr>
                <w:rFonts w:ascii="Arial" w:cs="Arial" w:eastAsia="Arial" w:hAnsi="Arial"/>
                <w:sz w:val="14"/>
                <w:szCs w:val="14"/>
                <w:color w:val="auto"/>
              </w:rPr>
              <w:t>348,500</w:t>
            </w:r>
          </w:p>
        </w:tc>
        <w:tc>
          <w:tcPr>
            <w:tcW w:w="90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4,387,500</w:t>
            </w:r>
          </w:p>
        </w:tc>
      </w:tr>
      <w:tr>
        <w:trPr>
          <w:trHeight w:val="209"/>
        </w:trPr>
        <w:tc>
          <w:tcPr>
            <w:tcW w:w="522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Mr. Zaramella</w:t>
            </w: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74,350</w:t>
            </w:r>
          </w:p>
        </w:tc>
        <w:tc>
          <w:tcPr>
            <w:tcW w:w="110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4,680,000</w:t>
            </w:r>
          </w:p>
        </w:tc>
        <w:tc>
          <w:tcPr>
            <w:tcW w:w="220" w:type="dxa"/>
            <w:vAlign w:val="bottom"/>
            <w:tcBorders>
              <w:bottom w:val="single" w:sz="8" w:color="582C83"/>
            </w:tcBorders>
          </w:tcPr>
          <w:p>
            <w:pPr>
              <w:spacing w:after="0"/>
              <w:rPr>
                <w:sz w:val="18"/>
                <w:szCs w:val="18"/>
                <w:color w:val="auto"/>
              </w:rPr>
            </w:pPr>
          </w:p>
        </w:tc>
        <w:tc>
          <w:tcPr>
            <w:tcW w:w="920" w:type="dxa"/>
            <w:vAlign w:val="bottom"/>
            <w:tcBorders>
              <w:bottom w:val="single" w:sz="8" w:color="582C83"/>
            </w:tcBorders>
          </w:tcPr>
          <w:p>
            <w:pPr>
              <w:jc w:val="right"/>
              <w:ind w:right="228"/>
              <w:spacing w:after="0"/>
              <w:rPr>
                <w:sz w:val="20"/>
                <w:szCs w:val="20"/>
                <w:color w:val="auto"/>
              </w:rPr>
            </w:pPr>
            <w:r>
              <w:rPr>
                <w:rFonts w:ascii="Arial" w:cs="Arial" w:eastAsia="Arial" w:hAnsi="Arial"/>
                <w:sz w:val="14"/>
                <w:szCs w:val="14"/>
                <w:color w:val="auto"/>
              </w:rPr>
              <w:t>123,910</w:t>
            </w:r>
          </w:p>
        </w:tc>
        <w:tc>
          <w:tcPr>
            <w:tcW w:w="90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1,560,000</w:t>
            </w:r>
          </w:p>
        </w:tc>
      </w:tr>
      <w:tr>
        <w:trPr>
          <w:trHeight w:val="209"/>
        </w:trPr>
        <w:tc>
          <w:tcPr>
            <w:tcW w:w="522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Mr. Kuhn</w:t>
            </w:r>
          </w:p>
        </w:tc>
        <w:tc>
          <w:tcPr>
            <w:tcW w:w="68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54,210</w:t>
            </w:r>
          </w:p>
        </w:tc>
        <w:tc>
          <w:tcPr>
            <w:tcW w:w="110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3,412,500</w:t>
            </w:r>
          </w:p>
        </w:tc>
        <w:tc>
          <w:tcPr>
            <w:tcW w:w="220" w:type="dxa"/>
            <w:vAlign w:val="bottom"/>
            <w:tcBorders>
              <w:bottom w:val="single" w:sz="8" w:color="582C83"/>
            </w:tcBorders>
            <w:shd w:val="clear" w:color="auto" w:fill="E0DBEA"/>
          </w:tcPr>
          <w:p>
            <w:pPr>
              <w:spacing w:after="0"/>
              <w:rPr>
                <w:sz w:val="18"/>
                <w:szCs w:val="18"/>
                <w:color w:val="auto"/>
              </w:rPr>
            </w:pPr>
          </w:p>
        </w:tc>
        <w:tc>
          <w:tcPr>
            <w:tcW w:w="920" w:type="dxa"/>
            <w:vAlign w:val="bottom"/>
            <w:tcBorders>
              <w:bottom w:val="single" w:sz="8" w:color="582C83"/>
            </w:tcBorders>
            <w:shd w:val="clear" w:color="auto" w:fill="E0DBEA"/>
          </w:tcPr>
          <w:p>
            <w:pPr>
              <w:jc w:val="right"/>
              <w:ind w:right="228"/>
              <w:spacing w:after="0"/>
              <w:rPr>
                <w:sz w:val="20"/>
                <w:szCs w:val="20"/>
                <w:color w:val="auto"/>
              </w:rPr>
            </w:pPr>
            <w:r>
              <w:rPr>
                <w:rFonts w:ascii="Arial" w:cs="Arial" w:eastAsia="Arial" w:hAnsi="Arial"/>
                <w:sz w:val="14"/>
                <w:szCs w:val="14"/>
                <w:color w:val="auto"/>
              </w:rPr>
              <w:t>90,350</w:t>
            </w:r>
          </w:p>
        </w:tc>
        <w:tc>
          <w:tcPr>
            <w:tcW w:w="90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1,137,500</w:t>
            </w:r>
          </w:p>
        </w:tc>
      </w:tr>
      <w:tr>
        <w:trPr>
          <w:trHeight w:val="209"/>
        </w:trPr>
        <w:tc>
          <w:tcPr>
            <w:tcW w:w="522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Mr. Valle</w:t>
            </w:r>
            <w:r>
              <w:rPr>
                <w:rFonts w:ascii="Arial" w:cs="Arial" w:eastAsia="Arial" w:hAnsi="Arial"/>
                <w:sz w:val="18"/>
                <w:szCs w:val="18"/>
                <w:b w:val="1"/>
                <w:bCs w:val="1"/>
                <w:color w:val="auto"/>
                <w:vertAlign w:val="superscript"/>
              </w:rPr>
              <w:t>(3)</w:t>
            </w: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49,210</w:t>
            </w:r>
          </w:p>
        </w:tc>
        <w:tc>
          <w:tcPr>
            <w:tcW w:w="110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3,097,500</w:t>
            </w:r>
          </w:p>
        </w:tc>
        <w:tc>
          <w:tcPr>
            <w:tcW w:w="220" w:type="dxa"/>
            <w:vAlign w:val="bottom"/>
            <w:tcBorders>
              <w:bottom w:val="single" w:sz="8" w:color="582C83"/>
            </w:tcBorders>
          </w:tcPr>
          <w:p>
            <w:pPr>
              <w:spacing w:after="0"/>
              <w:rPr>
                <w:sz w:val="18"/>
                <w:szCs w:val="18"/>
                <w:color w:val="auto"/>
              </w:rPr>
            </w:pPr>
          </w:p>
        </w:tc>
        <w:tc>
          <w:tcPr>
            <w:tcW w:w="920" w:type="dxa"/>
            <w:vAlign w:val="bottom"/>
            <w:tcBorders>
              <w:bottom w:val="single" w:sz="8" w:color="582C83"/>
            </w:tcBorders>
          </w:tcPr>
          <w:p>
            <w:pPr>
              <w:jc w:val="right"/>
              <w:ind w:right="228"/>
              <w:spacing w:after="0"/>
              <w:rPr>
                <w:sz w:val="20"/>
                <w:szCs w:val="20"/>
                <w:color w:val="auto"/>
              </w:rPr>
            </w:pPr>
            <w:r>
              <w:rPr>
                <w:rFonts w:ascii="Arial" w:cs="Arial" w:eastAsia="Arial" w:hAnsi="Arial"/>
                <w:sz w:val="14"/>
                <w:szCs w:val="14"/>
                <w:color w:val="auto"/>
              </w:rPr>
              <w:t>82,010</w:t>
            </w:r>
          </w:p>
        </w:tc>
        <w:tc>
          <w:tcPr>
            <w:tcW w:w="90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1,032,500</w:t>
            </w:r>
          </w:p>
        </w:tc>
      </w:tr>
      <w:tr>
        <w:trPr>
          <w:trHeight w:val="210"/>
        </w:trPr>
        <w:tc>
          <w:tcPr>
            <w:tcW w:w="522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Mr. Renaud</w:t>
            </w:r>
          </w:p>
        </w:tc>
        <w:tc>
          <w:tcPr>
            <w:tcW w:w="68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32,770</w:t>
            </w:r>
          </w:p>
        </w:tc>
        <w:tc>
          <w:tcPr>
            <w:tcW w:w="110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2,062,500</w:t>
            </w:r>
          </w:p>
        </w:tc>
        <w:tc>
          <w:tcPr>
            <w:tcW w:w="220" w:type="dxa"/>
            <w:vAlign w:val="bottom"/>
            <w:tcBorders>
              <w:bottom w:val="single" w:sz="8" w:color="582C83"/>
            </w:tcBorders>
            <w:shd w:val="clear" w:color="auto" w:fill="E0DBEA"/>
          </w:tcPr>
          <w:p>
            <w:pPr>
              <w:spacing w:after="0"/>
              <w:rPr>
                <w:sz w:val="18"/>
                <w:szCs w:val="18"/>
                <w:color w:val="auto"/>
              </w:rPr>
            </w:pPr>
          </w:p>
        </w:tc>
        <w:tc>
          <w:tcPr>
            <w:tcW w:w="920" w:type="dxa"/>
            <w:vAlign w:val="bottom"/>
            <w:tcBorders>
              <w:bottom w:val="single" w:sz="8" w:color="582C83"/>
            </w:tcBorders>
            <w:shd w:val="clear" w:color="auto" w:fill="E0DBEA"/>
          </w:tcPr>
          <w:p>
            <w:pPr>
              <w:jc w:val="right"/>
              <w:ind w:right="228"/>
              <w:spacing w:after="0"/>
              <w:rPr>
                <w:sz w:val="20"/>
                <w:szCs w:val="20"/>
                <w:color w:val="auto"/>
              </w:rPr>
            </w:pPr>
            <w:r>
              <w:rPr>
                <w:rFonts w:ascii="Arial" w:cs="Arial" w:eastAsia="Arial" w:hAnsi="Arial"/>
                <w:sz w:val="14"/>
                <w:szCs w:val="14"/>
                <w:color w:val="auto"/>
              </w:rPr>
              <w:t>54,610</w:t>
            </w:r>
          </w:p>
        </w:tc>
        <w:tc>
          <w:tcPr>
            <w:tcW w:w="90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687,500</w:t>
            </w:r>
          </w:p>
        </w:tc>
      </w:tr>
    </w:tbl>
    <w:p>
      <w:pPr>
        <w:spacing w:after="0" w:line="50" w:lineRule="exact"/>
        <w:rPr>
          <w:sz w:val="20"/>
          <w:szCs w:val="20"/>
          <w:color w:val="auto"/>
        </w:rPr>
      </w:pPr>
    </w:p>
    <w:p>
      <w:pPr>
        <w:ind w:left="260" w:right="60" w:hanging="253"/>
        <w:spacing w:after="0" w:line="284" w:lineRule="auto"/>
        <w:tabs>
          <w:tab w:leader="none" w:pos="26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grant date for the annual equity grants was March 17, 2025. Grants of PSUs are reflected at target since actual shares earned, if any, will be determined after the three-year performance cycle ending on December 31, 2027. The exercise price for all stock option grants equals $65.09, the closing price of our Common Stock on the grant date. See the Equity Grant Timing section below for additional information regarding our equity grant practices.</w:t>
      </w:r>
    </w:p>
    <w:p>
      <w:pPr>
        <w:jc w:val="both"/>
        <w:ind w:left="260" w:right="40" w:hanging="253"/>
        <w:spacing w:after="0" w:line="267" w:lineRule="auto"/>
        <w:tabs>
          <w:tab w:leader="none" w:pos="26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dollar values above represent the nominal amounts approved by the PCC which were used to determine the number of PSUs and stock options granted. For the grant date fair values determined under relevant accounting principles, see the Summary Compensation Table (“SCT”) and the Grants of Plan-Based Awards (“GPBA”) table beginning on page 85.</w:t>
      </w:r>
    </w:p>
    <w:p>
      <w:pPr>
        <w:ind w:left="260" w:right="40" w:hanging="253"/>
        <w:spacing w:after="0" w:line="302" w:lineRule="auto"/>
        <w:tabs>
          <w:tab w:leader="none" w:pos="260" w:val="left"/>
        </w:tabs>
        <w:numPr>
          <w:ilvl w:val="0"/>
          <w:numId w:val="81"/>
        </w:numPr>
        <w:rPr>
          <w:rFonts w:ascii="Arial" w:cs="Arial" w:eastAsia="Arial" w:hAnsi="Arial"/>
          <w:sz w:val="12"/>
          <w:szCs w:val="12"/>
          <w:color w:val="auto"/>
        </w:rPr>
      </w:pPr>
      <w:r>
        <w:rPr>
          <w:rFonts w:ascii="Arial" w:cs="Arial" w:eastAsia="Arial" w:hAnsi="Arial"/>
          <w:sz w:val="12"/>
          <w:szCs w:val="12"/>
          <w:color w:val="auto"/>
        </w:rPr>
        <w:t>In determining Mr. Valle’s total target compensation, the PCC considered the factors described above, as well as a significant year-over-year increase in compensation levels for his peers in our Compensation Survey Peer Group and the need to maintain competitive positioning. The PCC delivered the majority of the increase to his total target compensation in the form of LTI because it is the pay element most aligned with stockholder value over the long term.</w:t>
      </w:r>
    </w:p>
    <w:p>
      <w:pPr>
        <w:sectPr>
          <w:pgSz w:w="11900" w:h="16871" w:orient="portrait"/>
          <w:cols w:equalWidth="0" w:num="1">
            <w:col w:w="9040"/>
          </w:cols>
          <w:pgMar w:left="1420" w:top="256" w:right="1439" w:bottom="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8710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10375" cy="4871085"/>
                    </a:xfrm>
                    <a:prstGeom prst="rect">
                      <a:avLst/>
                    </a:prstGeom>
                    <a:noFill/>
                  </pic:spPr>
                </pic:pic>
              </a:graphicData>
            </a:graphic>
          </wp:anchor>
        </w:drawing>
        <w:t>Performance Share Units (75% of LTI)</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582C83"/>
        </w:rPr>
        <w:t>Overview</w:t>
      </w:r>
    </w:p>
    <w:p>
      <w:pPr>
        <w:spacing w:after="0" w:line="105" w:lineRule="exact"/>
        <w:rPr>
          <w:sz w:val="20"/>
          <w:szCs w:val="20"/>
          <w:color w:val="auto"/>
        </w:rPr>
      </w:pPr>
    </w:p>
    <w:p>
      <w:pPr>
        <w:ind w:right="300"/>
        <w:spacing w:after="0" w:line="301" w:lineRule="auto"/>
        <w:rPr>
          <w:sz w:val="20"/>
          <w:szCs w:val="20"/>
          <w:color w:val="auto"/>
        </w:rPr>
      </w:pPr>
      <w:r>
        <w:rPr>
          <w:rFonts w:ascii="Arial" w:cs="Arial" w:eastAsia="Arial" w:hAnsi="Arial"/>
          <w:sz w:val="17"/>
          <w:szCs w:val="17"/>
          <w:color w:val="auto"/>
        </w:rPr>
        <w:t>The PCC grants PSUs to motivate executives to achieve or exceed our long-term financial goals and deliver top-tier shareholder returns. Each NEO’s target number of PSUs is based on 75% of the total annual equity grant value.</w:t>
      </w:r>
    </w:p>
    <w:p>
      <w:pPr>
        <w:spacing w:after="0" w:line="63"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The PCC approves performance targets for a three-year performance cycle when it grants PSUs. At the end of the three-year performance cycle, the grants will only vest if the PCC certifies that company results meet or exceed the predetermined performance thresholds. Vested PSUs are settled in shares of our Common Stock in the first quarter following the end of the performance cycle. Dividend equivalents accrue during the performance period and are paid in cash after the shares are issued based on the actual number of shares earned.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582C83"/>
        </w:rPr>
        <w:t>2025-2027 Metrics and Weighting</w:t>
      </w:r>
    </w:p>
    <w:p>
      <w:pPr>
        <w:spacing w:after="0" w:line="118"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For the 2025-2027 PSUs, we retained the same three performance metrics as prior years. However, as discussed earlier, we shifted relative TSR from a 50% weighting to a modifier, which may increase or decrease the number of PSUs earned by up to 25pp. This change aligns with the prevalent market practice and emphasizes the two equally weighted financial metrics (Organic Net Revenue Growth and Adjusted EPS Growth), which are vital in accomplishing our long-term strategy, while continuing to include relative TSR. Relative TSR remains an important metric for measuring relative outperformance and incentivizing shareholder value creation. The Relative TSR Modifier will not have a positive impact on the number of earned PSUs unless our relative TSR meets or exceeds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Further, the Relative TSR Modifier cannot result in a PSU payout greater than 200% of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74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55626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10375" cy="5562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60"/>
        <w:spacing w:after="0"/>
        <w:rPr>
          <w:sz w:val="20"/>
          <w:szCs w:val="20"/>
          <w:color w:val="auto"/>
        </w:rPr>
      </w:pPr>
      <w:r>
        <w:rPr>
          <w:rFonts w:ascii="Arial" w:cs="Arial" w:eastAsia="Arial" w:hAnsi="Arial"/>
          <w:sz w:val="22"/>
          <w:szCs w:val="22"/>
          <w:b w:val="1"/>
          <w:bCs w:val="1"/>
          <w:color w:val="auto"/>
        </w:rPr>
        <w:t>COMPENSATION DISCUSSION AND ANALYSIS (CD&amp;A)</w:t>
      </w:r>
    </w:p>
    <w:p>
      <w:pPr>
        <w:spacing w:after="0" w:line="3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Program</w:t>
      </w:r>
    </w:p>
    <w:p>
      <w:pPr>
        <w:spacing w:after="0" w:line="200" w:lineRule="exact"/>
        <w:rPr>
          <w:sz w:val="20"/>
          <w:szCs w:val="20"/>
          <w:color w:val="auto"/>
        </w:rPr>
      </w:pPr>
    </w:p>
    <w:p>
      <w:pPr>
        <w:spacing w:after="0" w:line="274"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The table below describes the performance measures for the 2025-2027 PSUs and outlines how they align with our strategy. In selecting the metrics, the PCC seeks to incentivize behavior consistent with achieving our long-term objectives and to align the interests of our executives with the interests of our shareholders.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2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Metrics</w:t>
            </w:r>
            <w:r>
              <w:rPr>
                <w:rFonts w:ascii="Arial" w:cs="Arial" w:eastAsia="Arial" w:hAnsi="Arial"/>
                <w:sz w:val="18"/>
                <w:szCs w:val="18"/>
                <w:b w:val="1"/>
                <w:bCs w:val="1"/>
                <w:color w:val="auto"/>
                <w:vertAlign w:val="superscript"/>
              </w:rPr>
              <w:t>(1)</w:t>
            </w:r>
          </w:p>
        </w:tc>
        <w:tc>
          <w:tcPr>
            <w:tcW w:w="1280" w:type="dxa"/>
            <w:vAlign w:val="bottom"/>
            <w:tcBorders>
              <w:bottom w:val="single" w:sz="8" w:color="582C83"/>
            </w:tcBorders>
          </w:tcPr>
          <w:p>
            <w:pPr>
              <w:ind w:left="40"/>
              <w:spacing w:after="0"/>
              <w:rPr>
                <w:sz w:val="20"/>
                <w:szCs w:val="20"/>
                <w:color w:val="auto"/>
              </w:rPr>
            </w:pPr>
            <w:r>
              <w:rPr>
                <w:rFonts w:ascii="Arial" w:cs="Arial" w:eastAsia="Arial" w:hAnsi="Arial"/>
                <w:sz w:val="14"/>
                <w:szCs w:val="14"/>
                <w:b w:val="1"/>
                <w:bCs w:val="1"/>
                <w:color w:val="auto"/>
              </w:rPr>
              <w:t>Impact</w:t>
            </w:r>
          </w:p>
        </w:tc>
        <w:tc>
          <w:tcPr>
            <w:tcW w:w="5640" w:type="dxa"/>
            <w:vAlign w:val="bottom"/>
            <w:tcBorders>
              <w:bottom w:val="single" w:sz="8" w:color="582C83"/>
            </w:tcBorders>
          </w:tcPr>
          <w:p>
            <w:pPr>
              <w:ind w:left="180"/>
              <w:spacing w:after="0"/>
              <w:rPr>
                <w:sz w:val="20"/>
                <w:szCs w:val="20"/>
                <w:color w:val="auto"/>
              </w:rPr>
            </w:pPr>
            <w:r>
              <w:rPr>
                <w:rFonts w:ascii="Arial" w:cs="Arial" w:eastAsia="Arial" w:hAnsi="Arial"/>
                <w:sz w:val="14"/>
                <w:szCs w:val="14"/>
                <w:b w:val="1"/>
                <w:bCs w:val="1"/>
                <w:color w:val="auto"/>
              </w:rPr>
              <w:t>Alignment with Strategy</w:t>
            </w:r>
          </w:p>
        </w:tc>
      </w:tr>
      <w:tr>
        <w:trPr>
          <w:trHeight w:val="193"/>
        </w:trPr>
        <w:tc>
          <w:tcPr>
            <w:tcW w:w="2120" w:type="dxa"/>
            <w:vAlign w:val="bottom"/>
            <w:shd w:val="clear" w:color="auto" w:fill="E0DBEA"/>
          </w:tcPr>
          <w:p>
            <w:pPr>
              <w:ind w:left="60"/>
              <w:spacing w:after="0" w:line="194" w:lineRule="exact"/>
              <w:rPr>
                <w:sz w:val="20"/>
                <w:szCs w:val="20"/>
                <w:color w:val="auto"/>
              </w:rPr>
            </w:pPr>
            <w:r>
              <w:rPr>
                <w:rFonts w:ascii="Arial" w:cs="Arial" w:eastAsia="Arial" w:hAnsi="Arial"/>
                <w:sz w:val="14"/>
                <w:szCs w:val="14"/>
                <w:color w:val="auto"/>
              </w:rPr>
              <w:t>Organic Net Revenue Growth</w:t>
            </w:r>
            <w:r>
              <w:rPr>
                <w:rFonts w:ascii="Arial" w:cs="Arial" w:eastAsia="Arial" w:hAnsi="Arial"/>
                <w:sz w:val="18"/>
                <w:szCs w:val="18"/>
                <w:color w:val="auto"/>
                <w:vertAlign w:val="superscript"/>
              </w:rPr>
              <w:t>(2)</w:t>
            </w:r>
          </w:p>
        </w:tc>
        <w:tc>
          <w:tcPr>
            <w:tcW w:w="1280" w:type="dxa"/>
            <w:vAlign w:val="bottom"/>
            <w:shd w:val="clear" w:color="auto" w:fill="E0DBEA"/>
          </w:tcPr>
          <w:p>
            <w:pPr>
              <w:ind w:left="40"/>
              <w:spacing w:after="0"/>
              <w:rPr>
                <w:sz w:val="20"/>
                <w:szCs w:val="20"/>
                <w:color w:val="auto"/>
              </w:rPr>
            </w:pPr>
            <w:r>
              <w:rPr>
                <w:rFonts w:ascii="Arial" w:cs="Arial" w:eastAsia="Arial" w:hAnsi="Arial"/>
                <w:sz w:val="14"/>
                <w:szCs w:val="14"/>
                <w:color w:val="auto"/>
              </w:rPr>
              <w:t>50% Weighting</w:t>
            </w:r>
          </w:p>
        </w:tc>
        <w:tc>
          <w:tcPr>
            <w:tcW w:w="5640" w:type="dxa"/>
            <w:vAlign w:val="bottom"/>
            <w:shd w:val="clear" w:color="auto" w:fill="E0DBEA"/>
          </w:tcPr>
          <w:p>
            <w:pPr>
              <w:ind w:left="180"/>
              <w:spacing w:after="0"/>
              <w:rPr>
                <w:sz w:val="20"/>
                <w:szCs w:val="20"/>
                <w:color w:val="auto"/>
              </w:rPr>
            </w:pPr>
            <w:r>
              <w:rPr>
                <w:rFonts w:ascii="Arial" w:cs="Arial" w:eastAsia="Arial" w:hAnsi="Arial"/>
                <w:sz w:val="14"/>
                <w:szCs w:val="14"/>
                <w:color w:val="auto"/>
              </w:rPr>
              <w:t>Incentivize growth over the long term; also a key objective of our growth-oriented</w:t>
            </w:r>
          </w:p>
        </w:tc>
      </w:tr>
      <w:tr>
        <w:trPr>
          <w:trHeight w:val="185"/>
        </w:trPr>
        <w:tc>
          <w:tcPr>
            <w:tcW w:w="2120" w:type="dxa"/>
            <w:vAlign w:val="bottom"/>
            <w:tcBorders>
              <w:bottom w:val="single" w:sz="8" w:color="582C83"/>
            </w:tcBorders>
            <w:shd w:val="clear" w:color="auto" w:fill="E0DBEA"/>
          </w:tcPr>
          <w:p>
            <w:pPr>
              <w:spacing w:after="0"/>
              <w:rPr>
                <w:sz w:val="16"/>
                <w:szCs w:val="16"/>
                <w:color w:val="auto"/>
              </w:rPr>
            </w:pPr>
          </w:p>
        </w:tc>
        <w:tc>
          <w:tcPr>
            <w:tcW w:w="1280" w:type="dxa"/>
            <w:vAlign w:val="bottom"/>
            <w:tcBorders>
              <w:bottom w:val="single" w:sz="8" w:color="582C83"/>
            </w:tcBorders>
            <w:shd w:val="clear" w:color="auto" w:fill="E0DBEA"/>
          </w:tcPr>
          <w:p>
            <w:pPr>
              <w:spacing w:after="0"/>
              <w:rPr>
                <w:sz w:val="16"/>
                <w:szCs w:val="16"/>
                <w:color w:val="auto"/>
              </w:rPr>
            </w:pPr>
          </w:p>
        </w:tc>
        <w:tc>
          <w:tcPr>
            <w:tcW w:w="5640" w:type="dxa"/>
            <w:vAlign w:val="bottom"/>
            <w:tcBorders>
              <w:bottom w:val="single" w:sz="8" w:color="582C83"/>
            </w:tcBorders>
            <w:shd w:val="clear" w:color="auto" w:fill="E0DBEA"/>
          </w:tcPr>
          <w:p>
            <w:pPr>
              <w:ind w:left="180"/>
              <w:spacing w:after="0"/>
              <w:rPr>
                <w:sz w:val="20"/>
                <w:szCs w:val="20"/>
                <w:color w:val="auto"/>
              </w:rPr>
            </w:pPr>
            <w:r>
              <w:rPr>
                <w:rFonts w:ascii="Arial" w:cs="Arial" w:eastAsia="Arial" w:hAnsi="Arial"/>
                <w:sz w:val="14"/>
                <w:szCs w:val="14"/>
                <w:color w:val="auto"/>
              </w:rPr>
              <w:t>strategy</w:t>
            </w:r>
          </w:p>
        </w:tc>
      </w:tr>
      <w:tr>
        <w:trPr>
          <w:trHeight w:val="187"/>
        </w:trPr>
        <w:tc>
          <w:tcPr>
            <w:tcW w:w="2120" w:type="dxa"/>
            <w:vAlign w:val="bottom"/>
          </w:tcPr>
          <w:p>
            <w:pPr>
              <w:ind w:left="60"/>
              <w:spacing w:after="0"/>
              <w:rPr>
                <w:sz w:val="20"/>
                <w:szCs w:val="20"/>
                <w:color w:val="auto"/>
              </w:rPr>
            </w:pPr>
            <w:r>
              <w:rPr>
                <w:rFonts w:ascii="Arial" w:cs="Arial" w:eastAsia="Arial" w:hAnsi="Arial"/>
                <w:sz w:val="14"/>
                <w:szCs w:val="14"/>
                <w:color w:val="auto"/>
              </w:rPr>
              <w:t>Adjusted EPS Growth</w:t>
            </w:r>
          </w:p>
        </w:tc>
        <w:tc>
          <w:tcPr>
            <w:tcW w:w="1280" w:type="dxa"/>
            <w:vAlign w:val="bottom"/>
          </w:tcPr>
          <w:p>
            <w:pPr>
              <w:ind w:left="40"/>
              <w:spacing w:after="0"/>
              <w:rPr>
                <w:sz w:val="20"/>
                <w:szCs w:val="20"/>
                <w:color w:val="auto"/>
              </w:rPr>
            </w:pPr>
            <w:r>
              <w:rPr>
                <w:rFonts w:ascii="Arial" w:cs="Arial" w:eastAsia="Arial" w:hAnsi="Arial"/>
                <w:sz w:val="14"/>
                <w:szCs w:val="14"/>
                <w:color w:val="auto"/>
              </w:rPr>
              <w:t>50% Weighting</w:t>
            </w:r>
          </w:p>
        </w:tc>
        <w:tc>
          <w:tcPr>
            <w:tcW w:w="5640" w:type="dxa"/>
            <w:vAlign w:val="bottom"/>
          </w:tcPr>
          <w:p>
            <w:pPr>
              <w:ind w:left="180"/>
              <w:spacing w:after="0"/>
              <w:rPr>
                <w:sz w:val="20"/>
                <w:szCs w:val="20"/>
                <w:color w:val="auto"/>
              </w:rPr>
            </w:pPr>
            <w:r>
              <w:rPr>
                <w:rFonts w:ascii="Arial" w:cs="Arial" w:eastAsia="Arial" w:hAnsi="Arial"/>
                <w:sz w:val="14"/>
                <w:szCs w:val="14"/>
                <w:color w:val="auto"/>
              </w:rPr>
              <w:t>Overall measure of performance and primary driver of shareholder value creation</w:t>
            </w:r>
          </w:p>
        </w:tc>
      </w:tr>
      <w:tr>
        <w:trPr>
          <w:trHeight w:val="185"/>
        </w:trPr>
        <w:tc>
          <w:tcPr>
            <w:tcW w:w="2120" w:type="dxa"/>
            <w:vAlign w:val="bottom"/>
            <w:tcBorders>
              <w:bottom w:val="single" w:sz="8" w:color="582C83"/>
            </w:tcBorders>
          </w:tcPr>
          <w:p>
            <w:pPr>
              <w:spacing w:after="0"/>
              <w:rPr>
                <w:sz w:val="16"/>
                <w:szCs w:val="16"/>
                <w:color w:val="auto"/>
              </w:rPr>
            </w:pPr>
          </w:p>
        </w:tc>
        <w:tc>
          <w:tcPr>
            <w:tcW w:w="1280" w:type="dxa"/>
            <w:vAlign w:val="bottom"/>
            <w:tcBorders>
              <w:bottom w:val="single" w:sz="8" w:color="582C83"/>
            </w:tcBorders>
          </w:tcPr>
          <w:p>
            <w:pPr>
              <w:spacing w:after="0"/>
              <w:rPr>
                <w:sz w:val="16"/>
                <w:szCs w:val="16"/>
                <w:color w:val="auto"/>
              </w:rPr>
            </w:pPr>
          </w:p>
        </w:tc>
        <w:tc>
          <w:tcPr>
            <w:tcW w:w="5640" w:type="dxa"/>
            <w:vAlign w:val="bottom"/>
            <w:tcBorders>
              <w:bottom w:val="single" w:sz="8" w:color="582C83"/>
            </w:tcBorders>
          </w:tcPr>
          <w:p>
            <w:pPr>
              <w:ind w:left="180"/>
              <w:spacing w:after="0"/>
              <w:rPr>
                <w:sz w:val="20"/>
                <w:szCs w:val="20"/>
                <w:color w:val="auto"/>
              </w:rPr>
            </w:pPr>
            <w:r>
              <w:rPr>
                <w:rFonts w:ascii="Arial" w:cs="Arial" w:eastAsia="Arial" w:hAnsi="Arial"/>
                <w:sz w:val="14"/>
                <w:szCs w:val="14"/>
                <w:color w:val="auto"/>
              </w:rPr>
              <w:t>and return on capital</w:t>
            </w:r>
          </w:p>
        </w:tc>
      </w:tr>
      <w:tr>
        <w:trPr>
          <w:trHeight w:val="171"/>
        </w:trPr>
        <w:tc>
          <w:tcPr>
            <w:tcW w:w="2120" w:type="dxa"/>
            <w:vAlign w:val="bottom"/>
            <w:shd w:val="clear" w:color="auto" w:fill="E0DBEA"/>
          </w:tcPr>
          <w:p>
            <w:pPr>
              <w:ind w:left="60"/>
              <w:spacing w:after="0"/>
              <w:rPr>
                <w:sz w:val="20"/>
                <w:szCs w:val="20"/>
                <w:color w:val="auto"/>
              </w:rPr>
            </w:pPr>
            <w:r>
              <w:rPr>
                <w:rFonts w:ascii="Arial" w:cs="Arial" w:eastAsia="Arial" w:hAnsi="Arial"/>
                <w:sz w:val="14"/>
                <w:szCs w:val="14"/>
                <w:color w:val="auto"/>
              </w:rPr>
              <w:t>Annualized Relative TSR</w:t>
            </w:r>
          </w:p>
        </w:tc>
        <w:tc>
          <w:tcPr>
            <w:tcW w:w="1280" w:type="dxa"/>
            <w:vAlign w:val="bottom"/>
            <w:shd w:val="clear" w:color="auto" w:fill="E0DBEA"/>
          </w:tcPr>
          <w:p>
            <w:pPr>
              <w:ind w:left="40"/>
              <w:spacing w:after="0"/>
              <w:rPr>
                <w:sz w:val="20"/>
                <w:szCs w:val="20"/>
                <w:color w:val="auto"/>
              </w:rPr>
            </w:pPr>
            <w:r>
              <w:rPr>
                <w:rFonts w:ascii="Arial" w:cs="Arial" w:eastAsia="Arial" w:hAnsi="Arial"/>
                <w:sz w:val="14"/>
                <w:szCs w:val="14"/>
                <w:color w:val="auto"/>
              </w:rPr>
              <w:t>+/-25pp Modifier</w:t>
            </w:r>
          </w:p>
        </w:tc>
        <w:tc>
          <w:tcPr>
            <w:tcW w:w="5640" w:type="dxa"/>
            <w:vAlign w:val="bottom"/>
            <w:shd w:val="clear" w:color="auto" w:fill="E0DBEA"/>
          </w:tcPr>
          <w:p>
            <w:pPr>
              <w:ind w:left="180"/>
              <w:spacing w:after="0"/>
              <w:rPr>
                <w:sz w:val="20"/>
                <w:szCs w:val="20"/>
                <w:color w:val="auto"/>
              </w:rPr>
            </w:pPr>
            <w:r>
              <w:rPr>
                <w:rFonts w:ascii="Arial" w:cs="Arial" w:eastAsia="Arial" w:hAnsi="Arial"/>
                <w:sz w:val="14"/>
                <w:szCs w:val="14"/>
                <w:color w:val="auto"/>
              </w:rPr>
              <w:t>Link awards to shareholder value creation and performance versus peers; relative</w:t>
            </w:r>
          </w:p>
        </w:tc>
      </w:tr>
      <w:tr>
        <w:trPr>
          <w:trHeight w:val="201"/>
        </w:trPr>
        <w:tc>
          <w:tcPr>
            <w:tcW w:w="2120" w:type="dxa"/>
            <w:vAlign w:val="bottom"/>
            <w:tcBorders>
              <w:bottom w:val="single" w:sz="8" w:color="582C83"/>
            </w:tcBorders>
            <w:shd w:val="clear" w:color="auto" w:fill="E0DBEA"/>
          </w:tcPr>
          <w:p>
            <w:pPr>
              <w:spacing w:after="0"/>
              <w:rPr>
                <w:sz w:val="17"/>
                <w:szCs w:val="17"/>
                <w:color w:val="auto"/>
              </w:rPr>
            </w:pPr>
          </w:p>
        </w:tc>
        <w:tc>
          <w:tcPr>
            <w:tcW w:w="1280" w:type="dxa"/>
            <w:vAlign w:val="bottom"/>
            <w:tcBorders>
              <w:bottom w:val="single" w:sz="8" w:color="582C83"/>
            </w:tcBorders>
            <w:shd w:val="clear" w:color="auto" w:fill="E0DBEA"/>
          </w:tcPr>
          <w:p>
            <w:pPr>
              <w:spacing w:after="0"/>
              <w:rPr>
                <w:sz w:val="17"/>
                <w:szCs w:val="17"/>
                <w:color w:val="auto"/>
              </w:rPr>
            </w:pPr>
          </w:p>
        </w:tc>
        <w:tc>
          <w:tcPr>
            <w:tcW w:w="5640" w:type="dxa"/>
            <w:vAlign w:val="bottom"/>
            <w:tcBorders>
              <w:bottom w:val="single" w:sz="8" w:color="582C83"/>
            </w:tcBorders>
            <w:shd w:val="clear" w:color="auto" w:fill="E0DBEA"/>
          </w:tcPr>
          <w:p>
            <w:pPr>
              <w:ind w:left="180"/>
              <w:spacing w:after="0" w:line="201" w:lineRule="exact"/>
              <w:rPr>
                <w:sz w:val="20"/>
                <w:szCs w:val="20"/>
                <w:color w:val="auto"/>
              </w:rPr>
            </w:pPr>
            <w:r>
              <w:rPr>
                <w:rFonts w:ascii="Arial" w:cs="Arial" w:eastAsia="Arial" w:hAnsi="Arial"/>
                <w:sz w:val="14"/>
                <w:szCs w:val="14"/>
                <w:color w:val="auto"/>
              </w:rPr>
              <w:t>TSR at or above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is required to have a positive impact on payouts</w:t>
            </w:r>
          </w:p>
        </w:tc>
      </w:tr>
    </w:tbl>
    <w:p>
      <w:pPr>
        <w:spacing w:after="0" w:line="50" w:lineRule="exact"/>
        <w:rPr>
          <w:sz w:val="20"/>
          <w:szCs w:val="20"/>
          <w:color w:val="auto"/>
        </w:rPr>
      </w:pPr>
    </w:p>
    <w:p>
      <w:pPr>
        <w:ind w:left="260" w:hanging="253"/>
        <w:spacing w:after="0"/>
        <w:tabs>
          <w:tab w:leader="none" w:pos="260" w:val="left"/>
        </w:tabs>
        <w:numPr>
          <w:ilvl w:val="0"/>
          <w:numId w:val="82"/>
        </w:numPr>
        <w:rPr>
          <w:rFonts w:ascii="Arial" w:cs="Arial" w:eastAsia="Arial" w:hAnsi="Arial"/>
          <w:sz w:val="13"/>
          <w:szCs w:val="13"/>
          <w:color w:val="auto"/>
        </w:rPr>
      </w:pPr>
      <w:r>
        <w:rPr>
          <w:rFonts w:ascii="Arial" w:cs="Arial" w:eastAsia="Arial" w:hAnsi="Arial"/>
          <w:sz w:val="13"/>
          <w:szCs w:val="13"/>
          <w:color w:val="auto"/>
        </w:rPr>
        <w:t>See definitions in Annex A.</w:t>
      </w:r>
    </w:p>
    <w:p>
      <w:pPr>
        <w:spacing w:after="0" w:line="16" w:lineRule="exact"/>
        <w:rPr>
          <w:rFonts w:ascii="Arial" w:cs="Arial" w:eastAsia="Arial" w:hAnsi="Arial"/>
          <w:sz w:val="13"/>
          <w:szCs w:val="13"/>
          <w:color w:val="auto"/>
        </w:rPr>
      </w:pPr>
    </w:p>
    <w:p>
      <w:pPr>
        <w:ind w:left="260" w:right="220" w:hanging="253"/>
        <w:spacing w:after="0" w:line="273" w:lineRule="auto"/>
        <w:tabs>
          <w:tab w:leader="none" w:pos="260" w:val="left"/>
        </w:tabs>
        <w:numPr>
          <w:ilvl w:val="0"/>
          <w:numId w:val="82"/>
        </w:numPr>
        <w:rPr>
          <w:rFonts w:ascii="Arial" w:cs="Arial" w:eastAsia="Arial" w:hAnsi="Arial"/>
          <w:sz w:val="13"/>
          <w:szCs w:val="13"/>
          <w:color w:val="auto"/>
        </w:rPr>
      </w:pPr>
      <w:r>
        <w:rPr>
          <w:rFonts w:ascii="Arial" w:cs="Arial" w:eastAsia="Arial" w:hAnsi="Arial"/>
          <w:sz w:val="13"/>
          <w:szCs w:val="13"/>
          <w:color w:val="auto"/>
        </w:rPr>
        <w:t>Organic Net Revenue Growth is a metric for cash awards under our AIP and for share grants related to our PSUs. This metric is a fundamental driver of shareholder value, and we believe our executives should focus on it over both the short and long term. A one-year target (under the AIP) and a three-year target (for the PSUs) for Organic Net Revenue Growth create different, yet complementary, incentives for our employees. Organic Net Revenue Growth is also a key driver impacting our operational and financial performance and advancing our strategic plan.</w:t>
      </w:r>
    </w:p>
    <w:p>
      <w:pPr>
        <w:spacing w:after="0" w:line="81"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At the end of the PSU performance cycle, the number of shares actually earned may range from 0% to 200% of the target number of PSUs granted. The number of shares that may be earned against each weighted measure, as a percentage of target, at threshold, target and maximum performance levels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6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Metric Achievement:</w:t>
            </w:r>
          </w:p>
        </w:tc>
        <w:tc>
          <w:tcPr>
            <w:tcW w:w="1740" w:type="dxa"/>
            <w:vAlign w:val="bottom"/>
            <w:tcBorders>
              <w:bottom w:val="single" w:sz="8" w:color="582C83"/>
            </w:tcBorders>
          </w:tcPr>
          <w:p>
            <w:pPr>
              <w:jc w:val="center"/>
              <w:ind w:left="28"/>
              <w:spacing w:after="0"/>
              <w:rPr>
                <w:sz w:val="20"/>
                <w:szCs w:val="20"/>
                <w:color w:val="auto"/>
              </w:rPr>
            </w:pPr>
            <w:r>
              <w:rPr>
                <w:rFonts w:ascii="Arial" w:cs="Arial" w:eastAsia="Arial" w:hAnsi="Arial"/>
                <w:sz w:val="14"/>
                <w:szCs w:val="14"/>
                <w:b w:val="1"/>
                <w:bCs w:val="1"/>
                <w:color w:val="auto"/>
              </w:rPr>
              <w:t>Below Threshold</w:t>
            </w:r>
          </w:p>
        </w:tc>
        <w:tc>
          <w:tcPr>
            <w:tcW w:w="1360" w:type="dxa"/>
            <w:vAlign w:val="bottom"/>
            <w:tcBorders>
              <w:bottom w:val="single" w:sz="8" w:color="582C83"/>
            </w:tcBorders>
          </w:tcPr>
          <w:p>
            <w:pPr>
              <w:jc w:val="center"/>
              <w:ind w:right="108"/>
              <w:spacing w:after="0"/>
              <w:rPr>
                <w:sz w:val="20"/>
                <w:szCs w:val="20"/>
                <w:color w:val="auto"/>
              </w:rPr>
            </w:pPr>
            <w:r>
              <w:rPr>
                <w:rFonts w:ascii="Arial" w:cs="Arial" w:eastAsia="Arial" w:hAnsi="Arial"/>
                <w:sz w:val="14"/>
                <w:szCs w:val="14"/>
                <w:b w:val="1"/>
                <w:bCs w:val="1"/>
                <w:color w:val="auto"/>
              </w:rPr>
              <w:t>Threshold</w:t>
            </w:r>
          </w:p>
        </w:tc>
        <w:tc>
          <w:tcPr>
            <w:tcW w:w="1380" w:type="dxa"/>
            <w:vAlign w:val="bottom"/>
            <w:tcBorders>
              <w:bottom w:val="single" w:sz="8" w:color="582C83"/>
            </w:tcBorders>
          </w:tcPr>
          <w:p>
            <w:pPr>
              <w:jc w:val="center"/>
              <w:ind w:right="8"/>
              <w:spacing w:after="0"/>
              <w:rPr>
                <w:sz w:val="20"/>
                <w:szCs w:val="20"/>
                <w:color w:val="auto"/>
              </w:rPr>
            </w:pPr>
            <w:r>
              <w:rPr>
                <w:rFonts w:ascii="Arial" w:cs="Arial" w:eastAsia="Arial" w:hAnsi="Arial"/>
                <w:sz w:val="14"/>
                <w:szCs w:val="14"/>
                <w:b w:val="1"/>
                <w:bCs w:val="1"/>
                <w:color w:val="auto"/>
                <w:w w:val="98"/>
              </w:rPr>
              <w:t>Target</w:t>
            </w:r>
          </w:p>
        </w:tc>
        <w:tc>
          <w:tcPr>
            <w:tcW w:w="1400" w:type="dxa"/>
            <w:vAlign w:val="bottom"/>
            <w:tcBorders>
              <w:bottom w:val="single" w:sz="8" w:color="582C83"/>
            </w:tcBorders>
          </w:tcPr>
          <w:p>
            <w:pPr>
              <w:jc w:val="center"/>
              <w:spacing w:after="0"/>
              <w:rPr>
                <w:sz w:val="20"/>
                <w:szCs w:val="20"/>
                <w:color w:val="auto"/>
              </w:rPr>
            </w:pPr>
            <w:r>
              <w:rPr>
                <w:rFonts w:ascii="Arial" w:cs="Arial" w:eastAsia="Arial" w:hAnsi="Arial"/>
                <w:sz w:val="14"/>
                <w:szCs w:val="14"/>
                <w:b w:val="1"/>
                <w:bCs w:val="1"/>
                <w:color w:val="auto"/>
              </w:rPr>
              <w:t>Max</w:t>
            </w:r>
          </w:p>
        </w:tc>
      </w:tr>
      <w:tr>
        <w:trPr>
          <w:trHeight w:val="212"/>
        </w:trPr>
        <w:tc>
          <w:tcPr>
            <w:tcW w:w="316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color w:val="auto"/>
              </w:rPr>
              <w:t>Shares Earned (as a percentage of target):</w:t>
            </w:r>
          </w:p>
        </w:tc>
        <w:tc>
          <w:tcPr>
            <w:tcW w:w="1740" w:type="dxa"/>
            <w:vAlign w:val="bottom"/>
            <w:tcBorders>
              <w:bottom w:val="single" w:sz="8" w:color="582C83"/>
            </w:tcBorders>
            <w:shd w:val="clear" w:color="auto" w:fill="E0DBEA"/>
          </w:tcPr>
          <w:p>
            <w:pPr>
              <w:jc w:val="right"/>
              <w:ind w:right="648"/>
              <w:spacing w:after="0"/>
              <w:rPr>
                <w:sz w:val="20"/>
                <w:szCs w:val="20"/>
                <w:color w:val="auto"/>
              </w:rPr>
            </w:pPr>
            <w:r>
              <w:rPr>
                <w:rFonts w:ascii="Arial" w:cs="Arial" w:eastAsia="Arial" w:hAnsi="Arial"/>
                <w:sz w:val="14"/>
                <w:szCs w:val="14"/>
                <w:color w:val="auto"/>
              </w:rPr>
              <w:t>0%</w:t>
            </w:r>
          </w:p>
        </w:tc>
        <w:tc>
          <w:tcPr>
            <w:tcW w:w="1360" w:type="dxa"/>
            <w:vAlign w:val="bottom"/>
            <w:tcBorders>
              <w:bottom w:val="single" w:sz="8" w:color="582C83"/>
            </w:tcBorders>
            <w:shd w:val="clear" w:color="auto" w:fill="E0DBEA"/>
          </w:tcPr>
          <w:p>
            <w:pPr>
              <w:jc w:val="right"/>
              <w:ind w:right="528"/>
              <w:spacing w:after="0"/>
              <w:rPr>
                <w:sz w:val="20"/>
                <w:szCs w:val="20"/>
                <w:color w:val="auto"/>
              </w:rPr>
            </w:pPr>
            <w:r>
              <w:rPr>
                <w:rFonts w:ascii="Arial" w:cs="Arial" w:eastAsia="Arial" w:hAnsi="Arial"/>
                <w:sz w:val="14"/>
                <w:szCs w:val="14"/>
                <w:color w:val="auto"/>
              </w:rPr>
              <w:t>50%</w:t>
            </w:r>
          </w:p>
        </w:tc>
        <w:tc>
          <w:tcPr>
            <w:tcW w:w="1380" w:type="dxa"/>
            <w:vAlign w:val="bottom"/>
            <w:tcBorders>
              <w:bottom w:val="single" w:sz="8" w:color="582C83"/>
            </w:tcBorders>
            <w:shd w:val="clear" w:color="auto" w:fill="E0DBEA"/>
          </w:tcPr>
          <w:p>
            <w:pPr>
              <w:jc w:val="right"/>
              <w:ind w:right="448"/>
              <w:spacing w:after="0"/>
              <w:rPr>
                <w:sz w:val="20"/>
                <w:szCs w:val="20"/>
                <w:color w:val="auto"/>
              </w:rPr>
            </w:pPr>
            <w:r>
              <w:rPr>
                <w:rFonts w:ascii="Arial" w:cs="Arial" w:eastAsia="Arial" w:hAnsi="Arial"/>
                <w:sz w:val="14"/>
                <w:szCs w:val="14"/>
                <w:color w:val="auto"/>
              </w:rPr>
              <w:t>100%</w:t>
            </w:r>
          </w:p>
        </w:tc>
        <w:tc>
          <w:tcPr>
            <w:tcW w:w="1400" w:type="dxa"/>
            <w:vAlign w:val="bottom"/>
            <w:tcBorders>
              <w:bottom w:val="single" w:sz="8" w:color="582C83"/>
            </w:tcBorders>
            <w:shd w:val="clear" w:color="auto" w:fill="E0DBEA"/>
          </w:tcPr>
          <w:p>
            <w:pPr>
              <w:jc w:val="right"/>
              <w:ind w:right="428"/>
              <w:spacing w:after="0"/>
              <w:rPr>
                <w:sz w:val="20"/>
                <w:szCs w:val="20"/>
                <w:color w:val="auto"/>
              </w:rPr>
            </w:pPr>
            <w:r>
              <w:rPr>
                <w:rFonts w:ascii="Arial" w:cs="Arial" w:eastAsia="Arial" w:hAnsi="Arial"/>
                <w:sz w:val="14"/>
                <w:szCs w:val="14"/>
                <w:color w:val="auto"/>
              </w:rPr>
              <w:t>200%</w:t>
            </w:r>
          </w:p>
        </w:tc>
      </w:tr>
    </w:tbl>
    <w:p>
      <w:pPr>
        <w:spacing w:after="0" w:line="261"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The number of shares earned based on the weighted metrics will increase or decrease by up to 25pp based on our annualized TSR relative to our Performance Peer Group,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6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Company’s Annualized TSR Relative to Performance Peer Group</w:t>
            </w:r>
          </w:p>
        </w:tc>
        <w:tc>
          <w:tcPr>
            <w:tcW w:w="288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Award Modifier</w:t>
            </w:r>
            <w:r>
              <w:rPr>
                <w:rFonts w:ascii="Arial" w:cs="Arial" w:eastAsia="Arial" w:hAnsi="Arial"/>
                <w:sz w:val="18"/>
                <w:szCs w:val="18"/>
                <w:b w:val="1"/>
                <w:bCs w:val="1"/>
                <w:color w:val="auto"/>
                <w:vertAlign w:val="superscript"/>
              </w:rPr>
              <w:t>(1)</w:t>
            </w:r>
          </w:p>
        </w:tc>
      </w:tr>
      <w:tr>
        <w:trPr>
          <w:trHeight w:val="216"/>
        </w:trPr>
        <w:tc>
          <w:tcPr>
            <w:tcW w:w="616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color w:val="auto"/>
              </w:rPr>
              <w:t>≥75</w:t>
            </w:r>
            <w:r>
              <w:rPr>
                <w:rFonts w:ascii="Arial" w:cs="Arial" w:eastAsia="Arial" w:hAnsi="Arial"/>
                <w:sz w:val="18"/>
                <w:szCs w:val="18"/>
                <w:color w:val="auto"/>
                <w:vertAlign w:val="superscript"/>
              </w:rPr>
              <w:t>th</w:t>
            </w:r>
          </w:p>
        </w:tc>
        <w:tc>
          <w:tcPr>
            <w:tcW w:w="288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25pp</w:t>
            </w:r>
          </w:p>
        </w:tc>
      </w:tr>
      <w:tr>
        <w:trPr>
          <w:trHeight w:val="209"/>
        </w:trPr>
        <w:tc>
          <w:tcPr>
            <w:tcW w:w="6160" w:type="dxa"/>
            <w:vAlign w:val="bottom"/>
            <w:tcBorders>
              <w:bottom w:val="single" w:sz="8" w:color="582C83"/>
            </w:tcBorders>
          </w:tcPr>
          <w:p>
            <w:pPr>
              <w:ind w:left="60"/>
              <w:spacing w:after="0"/>
              <w:rPr>
                <w:sz w:val="20"/>
                <w:szCs w:val="20"/>
                <w:color w:val="auto"/>
              </w:rPr>
            </w:pPr>
            <w:r>
              <w:rPr>
                <w:rFonts w:ascii="Arial" w:cs="Arial" w:eastAsia="Arial" w:hAnsi="Arial"/>
                <w:sz w:val="14"/>
                <w:szCs w:val="14"/>
                <w:color w:val="auto"/>
              </w:rPr>
              <w:t>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 &lt;75</w:t>
            </w:r>
            <w:r>
              <w:rPr>
                <w:rFonts w:ascii="Arial" w:cs="Arial" w:eastAsia="Arial" w:hAnsi="Arial"/>
                <w:sz w:val="18"/>
                <w:szCs w:val="18"/>
                <w:color w:val="auto"/>
                <w:vertAlign w:val="superscript"/>
              </w:rPr>
              <w:t>th</w:t>
            </w:r>
          </w:p>
        </w:tc>
        <w:tc>
          <w:tcPr>
            <w:tcW w:w="288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12.5pp</w:t>
            </w:r>
          </w:p>
        </w:tc>
      </w:tr>
      <w:tr>
        <w:trPr>
          <w:trHeight w:val="209"/>
        </w:trPr>
        <w:tc>
          <w:tcPr>
            <w:tcW w:w="616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color w:val="auto"/>
              </w:rPr>
              <w:t>40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 &lt;60</w:t>
            </w:r>
            <w:r>
              <w:rPr>
                <w:rFonts w:ascii="Arial" w:cs="Arial" w:eastAsia="Arial" w:hAnsi="Arial"/>
                <w:sz w:val="18"/>
                <w:szCs w:val="18"/>
                <w:color w:val="auto"/>
                <w:vertAlign w:val="superscript"/>
              </w:rPr>
              <w:t>th</w:t>
            </w:r>
          </w:p>
        </w:tc>
        <w:tc>
          <w:tcPr>
            <w:tcW w:w="288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No Adjustment</w:t>
            </w:r>
          </w:p>
        </w:tc>
      </w:tr>
      <w:tr>
        <w:trPr>
          <w:trHeight w:val="209"/>
        </w:trPr>
        <w:tc>
          <w:tcPr>
            <w:tcW w:w="6160" w:type="dxa"/>
            <w:vAlign w:val="bottom"/>
            <w:tcBorders>
              <w:bottom w:val="single" w:sz="8" w:color="582C83"/>
            </w:tcBorders>
          </w:tcPr>
          <w:p>
            <w:pPr>
              <w:ind w:left="60"/>
              <w:spacing w:after="0"/>
              <w:rPr>
                <w:sz w:val="20"/>
                <w:szCs w:val="20"/>
                <w:color w:val="auto"/>
              </w:rPr>
            </w:pPr>
            <w:r>
              <w:rPr>
                <w:rFonts w:ascii="Arial" w:cs="Arial" w:eastAsia="Arial" w:hAnsi="Arial"/>
                <w:sz w:val="14"/>
                <w:szCs w:val="14"/>
                <w:color w:val="auto"/>
              </w:rPr>
              <w:t>25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 &lt;40</w:t>
            </w:r>
            <w:r>
              <w:rPr>
                <w:rFonts w:ascii="Arial" w:cs="Arial" w:eastAsia="Arial" w:hAnsi="Arial"/>
                <w:sz w:val="18"/>
                <w:szCs w:val="18"/>
                <w:color w:val="auto"/>
                <w:vertAlign w:val="superscript"/>
              </w:rPr>
              <w:t>th</w:t>
            </w:r>
          </w:p>
        </w:tc>
        <w:tc>
          <w:tcPr>
            <w:tcW w:w="288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(12.5)pp</w:t>
            </w:r>
          </w:p>
        </w:tc>
      </w:tr>
      <w:tr>
        <w:trPr>
          <w:trHeight w:val="209"/>
        </w:trPr>
        <w:tc>
          <w:tcPr>
            <w:tcW w:w="616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color w:val="auto"/>
              </w:rPr>
              <w:t>&lt;25</w:t>
            </w:r>
            <w:r>
              <w:rPr>
                <w:rFonts w:ascii="Arial" w:cs="Arial" w:eastAsia="Arial" w:hAnsi="Arial"/>
                <w:sz w:val="18"/>
                <w:szCs w:val="18"/>
                <w:color w:val="auto"/>
                <w:vertAlign w:val="superscript"/>
              </w:rPr>
              <w:t>th</w:t>
            </w:r>
          </w:p>
        </w:tc>
        <w:tc>
          <w:tcPr>
            <w:tcW w:w="288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(25)pp</w:t>
            </w:r>
          </w:p>
        </w:tc>
      </w:tr>
    </w:tbl>
    <w:p>
      <w:pPr>
        <w:sectPr>
          <w:pgSz w:w="11900" w:h="16838" w:orient="portrait"/>
          <w:cols w:equalWidth="0" w:num="1">
            <w:col w:w="9040"/>
          </w:cols>
          <w:pgMar w:left="1420" w:top="242" w:right="1439" w:bottom="0" w:gutter="0" w:footer="0" w:header="0"/>
        </w:sectPr>
      </w:pPr>
    </w:p>
    <w:bookmarkStart w:id="66" w:name="page67"/>
    <w:bookmarkEnd w:id="66"/>
    <w:p>
      <w:pPr>
        <w:spacing w:after="0" w:line="2"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The Relative TSR Modifier cannot result in a PSU payout greater than 200%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-73660</wp:posOffset>
            </wp:positionV>
            <wp:extent cx="6810375" cy="32937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10375" cy="329374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582C83"/>
        </w:rPr>
        <w:t>2025-2027 Targets and Target-Setting Process</w:t>
      </w:r>
    </w:p>
    <w:p>
      <w:pPr>
        <w:spacing w:after="0" w:line="105" w:lineRule="exact"/>
        <w:rPr>
          <w:sz w:val="20"/>
          <w:szCs w:val="20"/>
          <w:color w:val="auto"/>
        </w:rPr>
      </w:pPr>
    </w:p>
    <w:p>
      <w:pPr>
        <w:ind w:right="260"/>
        <w:spacing w:after="0" w:line="288" w:lineRule="auto"/>
        <w:rPr>
          <w:sz w:val="20"/>
          <w:szCs w:val="20"/>
          <w:color w:val="auto"/>
        </w:rPr>
      </w:pPr>
      <w:r>
        <w:rPr>
          <w:rFonts w:ascii="Arial" w:cs="Arial" w:eastAsia="Arial" w:hAnsi="Arial"/>
          <w:sz w:val="17"/>
          <w:szCs w:val="17"/>
          <w:color w:val="auto"/>
        </w:rPr>
        <w:t>The PCC set our financial performance targets for Organic Net Revenue Growth and Adjusted EPS Growth after a robust planning process based on projected annual average growth rates, external guidance, our long-term strategic plan, macroeconomic conditions, cocoa and other commodity input costs, and the competitive environment over a three-year period.</w:t>
      </w:r>
    </w:p>
    <w:p>
      <w:pPr>
        <w:spacing w:after="0" w:line="6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While we saw strong organic net revenue growth over the prior three years, we anticipated that the following factors would create headwinds for the 2025-2027 period: the challenging macroeconomic environment; continued inflation in prices of cocoa, our largest commodity impacting the cost of goods sold, which reached 50-year highs; the importance of maintaining chocolate category health when setting prices in key geographies; ongoing consumer price sensitivity in the U.S.; and volume softness in certain markets and brands. The PCC took these external factors into consideration when setting targets for the 2025-2027 PSU grant.</w:t>
      </w:r>
    </w:p>
    <w:p>
      <w:pPr>
        <w:spacing w:after="0" w:line="76"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Although we do not prospectively disclose specific financial performance targets, we do disclose them retrospectively, along with results, at the end of each performance cycle (see “2023-2025 Performance Cycle Results and Shares Earned” on page 76). Revealing specific targets prospectively would provide competitors and other third parties with insights into our confidential planning process and strategies and potentially harm us competitively. We design our financial performance targets to be challenging and there is no guarantee that any shares will be earned.</w:t>
      </w:r>
    </w:p>
    <w:p>
      <w:pPr>
        <w:spacing w:after="0" w:line="200" w:lineRule="exact"/>
        <w:rPr>
          <w:sz w:val="20"/>
          <w:szCs w:val="20"/>
          <w:color w:val="auto"/>
        </w:rPr>
      </w:pPr>
    </w:p>
    <w:p>
      <w:pPr>
        <w:spacing w:after="0" w:line="352"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582C83"/>
        </w:rPr>
        <w:t>2026 PROXY STATEMENT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7139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10375" cy="7139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COMPENSATION DISCUSSION AND ANALYSIS (CD&amp;A)</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Compensation Program</w:t>
      </w:r>
    </w:p>
    <w:p>
      <w:pPr>
        <w:spacing w:after="0" w:line="200" w:lineRule="exact"/>
        <w:rPr>
          <w:sz w:val="20"/>
          <w:szCs w:val="20"/>
          <w:color w:val="auto"/>
        </w:rPr>
      </w:pPr>
    </w:p>
    <w:p>
      <w:pPr>
        <w:spacing w:after="0" w:line="274"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Below is the directional guidance for the two weighted metrics in our 2025-2027 performance cycle. We provide directional guidance to assist shareholders in determining if our prospective performance targets are rigorous when evaluating our compensation programs. See the table above for the exact targets set for the Relative TSR Modifier.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16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Metrics</w:t>
            </w:r>
            <w:r>
              <w:rPr>
                <w:rFonts w:ascii="Arial" w:cs="Arial" w:eastAsia="Arial" w:hAnsi="Arial"/>
                <w:sz w:val="18"/>
                <w:szCs w:val="18"/>
                <w:b w:val="1"/>
                <w:bCs w:val="1"/>
                <w:color w:val="auto"/>
                <w:vertAlign w:val="superscript"/>
              </w:rPr>
              <w:t>(1)</w:t>
            </w:r>
          </w:p>
        </w:tc>
        <w:tc>
          <w:tcPr>
            <w:tcW w:w="2160" w:type="dxa"/>
            <w:vAlign w:val="bottom"/>
            <w:tcBorders>
              <w:bottom w:val="single" w:sz="8" w:color="582C83"/>
            </w:tcBorders>
          </w:tcPr>
          <w:p>
            <w:pPr>
              <w:ind w:left="620"/>
              <w:spacing w:after="0"/>
              <w:rPr>
                <w:sz w:val="20"/>
                <w:szCs w:val="20"/>
                <w:color w:val="auto"/>
              </w:rPr>
            </w:pPr>
            <w:r>
              <w:rPr>
                <w:rFonts w:ascii="Arial" w:cs="Arial" w:eastAsia="Arial" w:hAnsi="Arial"/>
                <w:sz w:val="14"/>
                <w:szCs w:val="14"/>
                <w:b w:val="1"/>
                <w:bCs w:val="1"/>
                <w:color w:val="auto"/>
              </w:rPr>
              <w:t>Threshold</w:t>
            </w:r>
          </w:p>
        </w:tc>
        <w:tc>
          <w:tcPr>
            <w:tcW w:w="1480" w:type="dxa"/>
            <w:vAlign w:val="bottom"/>
            <w:tcBorders>
              <w:bottom w:val="single" w:sz="8" w:color="582C83"/>
            </w:tcBorders>
          </w:tcPr>
          <w:p>
            <w:pPr>
              <w:ind w:left="340"/>
              <w:spacing w:after="0"/>
              <w:rPr>
                <w:sz w:val="20"/>
                <w:szCs w:val="20"/>
                <w:color w:val="auto"/>
              </w:rPr>
            </w:pPr>
            <w:r>
              <w:rPr>
                <w:rFonts w:ascii="Arial" w:cs="Arial" w:eastAsia="Arial" w:hAnsi="Arial"/>
                <w:sz w:val="14"/>
                <w:szCs w:val="14"/>
                <w:b w:val="1"/>
                <w:bCs w:val="1"/>
                <w:color w:val="auto"/>
              </w:rPr>
              <w:t>Target</w:t>
            </w:r>
          </w:p>
        </w:tc>
        <w:tc>
          <w:tcPr>
            <w:tcW w:w="2240" w:type="dxa"/>
            <w:vAlign w:val="bottom"/>
            <w:tcBorders>
              <w:bottom w:val="single" w:sz="8" w:color="582C83"/>
            </w:tcBorders>
          </w:tcPr>
          <w:p>
            <w:pPr>
              <w:ind w:left="740"/>
              <w:spacing w:after="0"/>
              <w:rPr>
                <w:sz w:val="20"/>
                <w:szCs w:val="20"/>
                <w:color w:val="auto"/>
              </w:rPr>
            </w:pPr>
            <w:r>
              <w:rPr>
                <w:rFonts w:ascii="Arial" w:cs="Arial" w:eastAsia="Arial" w:hAnsi="Arial"/>
                <w:sz w:val="14"/>
                <w:szCs w:val="14"/>
                <w:b w:val="1"/>
                <w:bCs w:val="1"/>
                <w:color w:val="auto"/>
              </w:rPr>
              <w:t>Max</w:t>
            </w:r>
          </w:p>
        </w:tc>
      </w:tr>
      <w:tr>
        <w:trPr>
          <w:trHeight w:val="216"/>
        </w:trPr>
        <w:tc>
          <w:tcPr>
            <w:tcW w:w="316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color w:val="auto"/>
              </w:rPr>
              <w:t>3-Year Organic Net Revenue Growth</w:t>
            </w:r>
            <w:r>
              <w:rPr>
                <w:rFonts w:ascii="Arial" w:cs="Arial" w:eastAsia="Arial" w:hAnsi="Arial"/>
                <w:sz w:val="18"/>
                <w:szCs w:val="18"/>
                <w:color w:val="auto"/>
                <w:vertAlign w:val="superscript"/>
              </w:rPr>
              <w:t>(2)</w:t>
            </w:r>
          </w:p>
        </w:tc>
        <w:tc>
          <w:tcPr>
            <w:tcW w:w="2160" w:type="dxa"/>
            <w:vAlign w:val="bottom"/>
            <w:tcBorders>
              <w:bottom w:val="single" w:sz="8" w:color="582C83"/>
            </w:tcBorders>
            <w:shd w:val="clear" w:color="auto" w:fill="E0DBEA"/>
          </w:tcPr>
          <w:p>
            <w:pPr>
              <w:ind w:left="620"/>
              <w:spacing w:after="0"/>
              <w:rPr>
                <w:sz w:val="20"/>
                <w:szCs w:val="20"/>
                <w:color w:val="auto"/>
              </w:rPr>
            </w:pPr>
            <w:r>
              <w:rPr>
                <w:rFonts w:ascii="Arial" w:cs="Arial" w:eastAsia="Arial" w:hAnsi="Arial"/>
                <w:sz w:val="14"/>
                <w:szCs w:val="14"/>
                <w:color w:val="auto"/>
              </w:rPr>
              <w:t>1.3pp below target</w:t>
            </w:r>
          </w:p>
        </w:tc>
        <w:tc>
          <w:tcPr>
            <w:tcW w:w="1480" w:type="dxa"/>
            <w:vAlign w:val="bottom"/>
            <w:tcBorders>
              <w:bottom w:val="single" w:sz="8" w:color="582C83"/>
            </w:tcBorders>
            <w:shd w:val="clear" w:color="auto" w:fill="E0DBEA"/>
          </w:tcPr>
          <w:p>
            <w:pPr>
              <w:ind w:left="340"/>
              <w:spacing w:after="0"/>
              <w:rPr>
                <w:sz w:val="20"/>
                <w:szCs w:val="20"/>
                <w:color w:val="auto"/>
              </w:rPr>
            </w:pPr>
            <w:r>
              <w:rPr>
                <w:rFonts w:ascii="Arial" w:cs="Arial" w:eastAsia="Arial" w:hAnsi="Arial"/>
                <w:sz w:val="14"/>
                <w:szCs w:val="14"/>
                <w:color w:val="auto"/>
              </w:rPr>
              <w:t>≥3%</w:t>
            </w:r>
          </w:p>
        </w:tc>
        <w:tc>
          <w:tcPr>
            <w:tcW w:w="2240" w:type="dxa"/>
            <w:vAlign w:val="bottom"/>
            <w:tcBorders>
              <w:bottom w:val="single" w:sz="8" w:color="582C83"/>
            </w:tcBorders>
            <w:shd w:val="clear" w:color="auto" w:fill="E0DBEA"/>
          </w:tcPr>
          <w:p>
            <w:pPr>
              <w:ind w:left="740"/>
              <w:spacing w:after="0"/>
              <w:rPr>
                <w:sz w:val="20"/>
                <w:szCs w:val="20"/>
                <w:color w:val="auto"/>
              </w:rPr>
            </w:pPr>
            <w:r>
              <w:rPr>
                <w:rFonts w:ascii="Arial" w:cs="Arial" w:eastAsia="Arial" w:hAnsi="Arial"/>
                <w:sz w:val="14"/>
                <w:szCs w:val="14"/>
                <w:color w:val="auto"/>
              </w:rPr>
              <w:t>1.3pp above target</w:t>
            </w:r>
          </w:p>
        </w:tc>
      </w:tr>
      <w:tr>
        <w:trPr>
          <w:trHeight w:val="210"/>
        </w:trPr>
        <w:tc>
          <w:tcPr>
            <w:tcW w:w="3160" w:type="dxa"/>
            <w:vAlign w:val="bottom"/>
            <w:tcBorders>
              <w:bottom w:val="single" w:sz="8" w:color="582C83"/>
            </w:tcBorders>
          </w:tcPr>
          <w:p>
            <w:pPr>
              <w:ind w:left="60"/>
              <w:spacing w:after="0"/>
              <w:rPr>
                <w:sz w:val="20"/>
                <w:szCs w:val="20"/>
                <w:color w:val="auto"/>
              </w:rPr>
            </w:pPr>
            <w:r>
              <w:rPr>
                <w:rFonts w:ascii="Arial" w:cs="Arial" w:eastAsia="Arial" w:hAnsi="Arial"/>
                <w:sz w:val="14"/>
                <w:szCs w:val="14"/>
                <w:color w:val="auto"/>
              </w:rPr>
              <w:t>3-Year Adjusted EPS Growth</w:t>
            </w:r>
            <w:r>
              <w:rPr>
                <w:rFonts w:ascii="Arial" w:cs="Arial" w:eastAsia="Arial" w:hAnsi="Arial"/>
                <w:sz w:val="18"/>
                <w:szCs w:val="18"/>
                <w:color w:val="auto"/>
                <w:vertAlign w:val="superscript"/>
              </w:rPr>
              <w:t>(2)</w:t>
            </w:r>
          </w:p>
        </w:tc>
        <w:tc>
          <w:tcPr>
            <w:tcW w:w="2160" w:type="dxa"/>
            <w:vAlign w:val="bottom"/>
            <w:tcBorders>
              <w:bottom w:val="single" w:sz="8" w:color="582C83"/>
            </w:tcBorders>
          </w:tcPr>
          <w:p>
            <w:pPr>
              <w:ind w:left="620"/>
              <w:spacing w:after="0"/>
              <w:rPr>
                <w:sz w:val="20"/>
                <w:szCs w:val="20"/>
                <w:color w:val="auto"/>
              </w:rPr>
            </w:pPr>
            <w:r>
              <w:rPr>
                <w:rFonts w:ascii="Arial" w:cs="Arial" w:eastAsia="Arial" w:hAnsi="Arial"/>
                <w:sz w:val="14"/>
                <w:szCs w:val="14"/>
                <w:color w:val="auto"/>
              </w:rPr>
              <w:t>3.5pp below target</w:t>
            </w:r>
          </w:p>
        </w:tc>
        <w:tc>
          <w:tcPr>
            <w:tcW w:w="1480" w:type="dxa"/>
            <w:vAlign w:val="bottom"/>
            <w:tcBorders>
              <w:bottom w:val="single" w:sz="8" w:color="582C83"/>
            </w:tcBorders>
          </w:tcPr>
          <w:p>
            <w:pPr>
              <w:ind w:left="340"/>
              <w:spacing w:after="0"/>
              <w:rPr>
                <w:sz w:val="20"/>
                <w:szCs w:val="20"/>
                <w:color w:val="auto"/>
              </w:rPr>
            </w:pPr>
            <w:r>
              <w:rPr>
                <w:rFonts w:ascii="Arial" w:cs="Arial" w:eastAsia="Arial" w:hAnsi="Arial"/>
                <w:sz w:val="14"/>
                <w:szCs w:val="14"/>
                <w:color w:val="auto"/>
              </w:rPr>
              <w:t>≥0%</w:t>
            </w:r>
          </w:p>
        </w:tc>
        <w:tc>
          <w:tcPr>
            <w:tcW w:w="2240" w:type="dxa"/>
            <w:vAlign w:val="bottom"/>
            <w:tcBorders>
              <w:bottom w:val="single" w:sz="8" w:color="582C83"/>
            </w:tcBorders>
          </w:tcPr>
          <w:p>
            <w:pPr>
              <w:ind w:left="740"/>
              <w:spacing w:after="0"/>
              <w:rPr>
                <w:sz w:val="20"/>
                <w:szCs w:val="20"/>
                <w:color w:val="auto"/>
              </w:rPr>
            </w:pPr>
            <w:r>
              <w:rPr>
                <w:rFonts w:ascii="Arial" w:cs="Arial" w:eastAsia="Arial" w:hAnsi="Arial"/>
                <w:sz w:val="14"/>
                <w:szCs w:val="14"/>
                <w:color w:val="auto"/>
              </w:rPr>
              <w:t>5.0pp above target</w:t>
            </w:r>
          </w:p>
        </w:tc>
      </w:tr>
    </w:tbl>
    <w:p>
      <w:pPr>
        <w:spacing w:after="0" w:line="50" w:lineRule="exact"/>
        <w:rPr>
          <w:sz w:val="20"/>
          <w:szCs w:val="20"/>
          <w:color w:val="auto"/>
        </w:rPr>
      </w:pPr>
    </w:p>
    <w:p>
      <w:pPr>
        <w:ind w:left="260" w:hanging="253"/>
        <w:spacing w:after="0"/>
        <w:tabs>
          <w:tab w:leader="none" w:pos="260" w:val="left"/>
        </w:tabs>
        <w:numPr>
          <w:ilvl w:val="0"/>
          <w:numId w:val="83"/>
        </w:numPr>
        <w:rPr>
          <w:rFonts w:ascii="Arial" w:cs="Arial" w:eastAsia="Arial" w:hAnsi="Arial"/>
          <w:sz w:val="13"/>
          <w:szCs w:val="13"/>
          <w:color w:val="auto"/>
        </w:rPr>
      </w:pPr>
      <w:r>
        <w:rPr>
          <w:rFonts w:ascii="Arial" w:cs="Arial" w:eastAsia="Arial" w:hAnsi="Arial"/>
          <w:sz w:val="13"/>
          <w:szCs w:val="13"/>
          <w:color w:val="auto"/>
        </w:rPr>
        <w:t>See definitions in Annex A.</w:t>
      </w:r>
    </w:p>
    <w:p>
      <w:pPr>
        <w:spacing w:after="0" w:line="16" w:lineRule="exact"/>
        <w:rPr>
          <w:rFonts w:ascii="Arial" w:cs="Arial" w:eastAsia="Arial" w:hAnsi="Arial"/>
          <w:sz w:val="13"/>
          <w:szCs w:val="13"/>
          <w:color w:val="auto"/>
        </w:rPr>
      </w:pPr>
    </w:p>
    <w:p>
      <w:pPr>
        <w:ind w:left="260" w:right="360" w:hanging="253"/>
        <w:spacing w:after="0" w:line="323" w:lineRule="auto"/>
        <w:tabs>
          <w:tab w:leader="none" w:pos="26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Targets were set at a challenging level, based on anticipated headwinds for the 2025-2027 period as described above, and during a period of sustained unprecedented cocoa price increases. For reference, actual 2025 Adjusted EPS Growth was (14.6)% in a challenging macroeconomic environment.</w:t>
      </w:r>
    </w:p>
    <w:p>
      <w:pPr>
        <w:spacing w:after="0" w:line="52"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Earned PSUs vest and pay out (or are cancelled if not earned) following the end of the three-year performance period. The actual value realized by our NEOs with respect to these awards is based on achievement of performance goals and our stock price at the time of vesting.</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582C83"/>
        </w:rPr>
        <w:t>2023-2025 Performance Cycle Results and Shares Earned</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chart details:</w:t>
      </w:r>
    </w:p>
    <w:p>
      <w:pPr>
        <w:spacing w:after="0" w:line="142" w:lineRule="exact"/>
        <w:rPr>
          <w:sz w:val="20"/>
          <w:szCs w:val="20"/>
          <w:color w:val="auto"/>
        </w:rPr>
      </w:pPr>
    </w:p>
    <w:p>
      <w:pPr>
        <w:ind w:left="140" w:hanging="133"/>
        <w:spacing w:after="0"/>
        <w:tabs>
          <w:tab w:leader="none" w:pos="140" w:val="left"/>
        </w:tabs>
        <w:numPr>
          <w:ilvl w:val="0"/>
          <w:numId w:val="84"/>
        </w:numPr>
        <w:rPr>
          <w:rFonts w:ascii="Arial" w:cs="Arial" w:eastAsia="Arial" w:hAnsi="Arial"/>
          <w:sz w:val="17"/>
          <w:szCs w:val="17"/>
          <w:color w:val="582C83"/>
        </w:rPr>
      </w:pPr>
      <w:r>
        <w:rPr>
          <w:rFonts w:ascii="Arial" w:cs="Arial" w:eastAsia="Arial" w:hAnsi="Arial"/>
          <w:sz w:val="17"/>
          <w:szCs w:val="17"/>
          <w:color w:val="auto"/>
        </w:rPr>
        <w:t>the key financial measures, weightings, and performance standards the PCC set in early 2023;</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84"/>
        </w:numPr>
        <w:rPr>
          <w:rFonts w:ascii="Arial" w:cs="Arial" w:eastAsia="Arial" w:hAnsi="Arial"/>
          <w:sz w:val="17"/>
          <w:szCs w:val="17"/>
          <w:color w:val="582C83"/>
        </w:rPr>
      </w:pPr>
      <w:r>
        <w:rPr>
          <w:rFonts w:ascii="Arial" w:cs="Arial" w:eastAsia="Arial" w:hAnsi="Arial"/>
          <w:sz w:val="17"/>
          <w:szCs w:val="17"/>
          <w:color w:val="auto"/>
        </w:rPr>
        <w:t>our actual performance over the 2023-2025 performance cycle; and</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84"/>
        </w:numPr>
        <w:rPr>
          <w:rFonts w:ascii="Arial" w:cs="Arial" w:eastAsia="Arial" w:hAnsi="Arial"/>
          <w:sz w:val="17"/>
          <w:szCs w:val="17"/>
          <w:color w:val="582C83"/>
        </w:rPr>
      </w:pPr>
      <w:r>
        <w:rPr>
          <w:rFonts w:ascii="Arial" w:cs="Arial" w:eastAsia="Arial" w:hAnsi="Arial"/>
          <w:sz w:val="17"/>
          <w:szCs w:val="17"/>
          <w:color w:val="auto"/>
        </w:rPr>
        <w:t>the final business performance rating approved by the PCC at the conclusion of the 2023-2025 performance cycle.</w:t>
      </w:r>
    </w:p>
    <w:p>
      <w:pPr>
        <w:spacing w:after="0" w:line="121" w:lineRule="exact"/>
        <w:rPr>
          <w:sz w:val="20"/>
          <w:szCs w:val="20"/>
          <w:color w:val="auto"/>
        </w:rPr>
      </w:pPr>
    </w:p>
    <w:p>
      <w:pPr>
        <w:jc w:val="both"/>
        <w:ind w:right="340"/>
        <w:spacing w:after="0" w:line="265" w:lineRule="auto"/>
        <w:rPr>
          <w:sz w:val="20"/>
          <w:szCs w:val="20"/>
          <w:color w:val="auto"/>
        </w:rPr>
      </w:pPr>
      <w:r>
        <w:rPr>
          <w:rFonts w:ascii="Arial" w:cs="Arial" w:eastAsia="Arial" w:hAnsi="Arial"/>
          <w:sz w:val="17"/>
          <w:szCs w:val="17"/>
          <w:color w:val="auto"/>
        </w:rPr>
        <w:t>The target set for Annualized Relative TSR is the 55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of the Performance Peer Group. The PCC set our 2023-2025 financial performance targets for Organic Net Revenue Growth and Adjusted EPS Growth after a robust planning process based on projected annual average growth rates, external guidance, our long-term strategic plan, macroeconomic conditions, and the competitive environment over a three-year period.</w:t>
      </w:r>
    </w:p>
    <w:p>
      <w:pPr>
        <w:spacing w:after="0" w:line="80" w:lineRule="exact"/>
        <w:rPr>
          <w:sz w:val="20"/>
          <w:szCs w:val="20"/>
          <w:color w:val="auto"/>
        </w:rPr>
      </w:pPr>
    </w:p>
    <w:p>
      <w:pPr>
        <w:ind w:right="180"/>
        <w:spacing w:after="0" w:line="317" w:lineRule="auto"/>
        <w:rPr>
          <w:sz w:val="20"/>
          <w:szCs w:val="20"/>
          <w:color w:val="auto"/>
        </w:rPr>
      </w:pPr>
      <w:r>
        <w:rPr>
          <w:rFonts w:ascii="Arial" w:cs="Arial" w:eastAsia="Arial" w:hAnsi="Arial"/>
          <w:sz w:val="17"/>
          <w:szCs w:val="17"/>
          <w:color w:val="auto"/>
        </w:rPr>
        <w:t>Based on the Company’s three-year results, we achieved an above-target performance rating of 102%. Actual results for the 2023-2025 performance cycle included: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2023-2025 Performance</w:t>
            </w:r>
          </w:p>
        </w:tc>
        <w:tc>
          <w:tcPr>
            <w:tcW w:w="0" w:type="dxa"/>
            <w:vAlign w:val="bottom"/>
          </w:tcPr>
          <w:p>
            <w:pPr>
              <w:spacing w:after="0"/>
              <w:rPr>
                <w:sz w:val="1"/>
                <w:szCs w:val="1"/>
                <w:color w:val="auto"/>
              </w:rPr>
            </w:pPr>
          </w:p>
        </w:tc>
      </w:tr>
      <w:tr>
        <w:trPr>
          <w:trHeight w:val="165"/>
        </w:trPr>
        <w:tc>
          <w:tcPr>
            <w:tcW w:w="2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60" w:type="dxa"/>
            <w:vAlign w:val="bottom"/>
            <w:tcBorders>
              <w:bottom w:val="single" w:sz="8" w:color="582C83"/>
            </w:tcBorders>
            <w:gridSpan w:val="2"/>
          </w:tcPr>
          <w:p>
            <w:pPr>
              <w:jc w:val="right"/>
              <w:ind w:right="528"/>
              <w:spacing w:after="0" w:line="158" w:lineRule="exact"/>
              <w:rPr>
                <w:sz w:val="20"/>
                <w:szCs w:val="20"/>
                <w:color w:val="auto"/>
              </w:rPr>
            </w:pPr>
            <w:r>
              <w:rPr>
                <w:rFonts w:ascii="Arial" w:cs="Arial" w:eastAsia="Arial" w:hAnsi="Arial"/>
                <w:sz w:val="14"/>
                <w:szCs w:val="14"/>
                <w:b w:val="1"/>
                <w:bCs w:val="1"/>
                <w:color w:val="auto"/>
              </w:rPr>
              <w:t>Cycle Results</w:t>
            </w:r>
          </w:p>
        </w:tc>
        <w:tc>
          <w:tcPr>
            <w:tcW w:w="0" w:type="dxa"/>
            <w:vAlign w:val="bottom"/>
          </w:tcPr>
          <w:p>
            <w:pPr>
              <w:spacing w:after="0"/>
              <w:rPr>
                <w:sz w:val="1"/>
                <w:szCs w:val="1"/>
                <w:color w:val="auto"/>
              </w:rPr>
            </w:pPr>
          </w:p>
        </w:tc>
      </w:tr>
      <w:tr>
        <w:trPr>
          <w:trHeight w:val="193"/>
        </w:trPr>
        <w:tc>
          <w:tcPr>
            <w:tcW w:w="27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Key Performance Measures</w:t>
            </w:r>
            <w:r>
              <w:rPr>
                <w:rFonts w:ascii="Arial" w:cs="Arial" w:eastAsia="Arial" w:hAnsi="Arial"/>
                <w:sz w:val="18"/>
                <w:szCs w:val="18"/>
                <w:b w:val="1"/>
                <w:bCs w:val="1"/>
                <w:color w:val="auto"/>
                <w:vertAlign w:val="superscript"/>
              </w:rPr>
              <w:t>(1)</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78"/>
        </w:trPr>
        <w:tc>
          <w:tcPr>
            <w:tcW w:w="2700" w:type="dxa"/>
            <w:vAlign w:val="bottom"/>
            <w:tcBorders>
              <w:bottom w:val="single" w:sz="8" w:color="582C83"/>
            </w:tcBorders>
            <w:vMerge w:val="continue"/>
          </w:tcPr>
          <w:p>
            <w:pPr>
              <w:spacing w:after="0"/>
              <w:rPr>
                <w:sz w:val="15"/>
                <w:szCs w:val="15"/>
                <w:color w:val="auto"/>
              </w:rPr>
            </w:pPr>
          </w:p>
        </w:tc>
        <w:tc>
          <w:tcPr>
            <w:tcW w:w="1000" w:type="dxa"/>
            <w:vAlign w:val="bottom"/>
            <w:tcBorders>
              <w:bottom w:val="single" w:sz="8" w:color="582C83"/>
            </w:tcBorders>
          </w:tcPr>
          <w:p>
            <w:pPr>
              <w:jc w:val="right"/>
              <w:ind w:right="28"/>
              <w:spacing w:after="0"/>
              <w:rPr>
                <w:sz w:val="20"/>
                <w:szCs w:val="20"/>
                <w:color w:val="auto"/>
              </w:rPr>
            </w:pPr>
            <w:r>
              <w:rPr>
                <w:rFonts w:ascii="Arial" w:cs="Arial" w:eastAsia="Arial" w:hAnsi="Arial"/>
                <w:sz w:val="14"/>
                <w:szCs w:val="14"/>
                <w:b w:val="1"/>
                <w:bCs w:val="1"/>
                <w:color w:val="auto"/>
              </w:rPr>
              <w:t>Weighting</w:t>
            </w:r>
          </w:p>
        </w:tc>
        <w:tc>
          <w:tcPr>
            <w:tcW w:w="1080" w:type="dxa"/>
            <w:vAlign w:val="bottom"/>
            <w:tcBorders>
              <w:bottom w:val="single" w:sz="8" w:color="582C83"/>
            </w:tcBorders>
          </w:tcPr>
          <w:p>
            <w:pPr>
              <w:jc w:val="right"/>
              <w:ind w:right="28"/>
              <w:spacing w:after="0"/>
              <w:rPr>
                <w:sz w:val="20"/>
                <w:szCs w:val="20"/>
                <w:color w:val="auto"/>
              </w:rPr>
            </w:pPr>
            <w:r>
              <w:rPr>
                <w:rFonts w:ascii="Arial" w:cs="Arial" w:eastAsia="Arial" w:hAnsi="Arial"/>
                <w:sz w:val="14"/>
                <w:szCs w:val="14"/>
                <w:b w:val="1"/>
                <w:bCs w:val="1"/>
                <w:color w:val="auto"/>
              </w:rPr>
              <w:t>Threshold</w:t>
            </w:r>
          </w:p>
        </w:tc>
        <w:tc>
          <w:tcPr>
            <w:tcW w:w="1080" w:type="dxa"/>
            <w:vAlign w:val="bottom"/>
            <w:tcBorders>
              <w:bottom w:val="single" w:sz="8" w:color="582C83"/>
            </w:tcBorders>
          </w:tcPr>
          <w:p>
            <w:pPr>
              <w:jc w:val="right"/>
              <w:ind w:right="28"/>
              <w:spacing w:after="0"/>
              <w:rPr>
                <w:sz w:val="20"/>
                <w:szCs w:val="20"/>
                <w:color w:val="auto"/>
              </w:rPr>
            </w:pPr>
            <w:r>
              <w:rPr>
                <w:rFonts w:ascii="Arial" w:cs="Arial" w:eastAsia="Arial" w:hAnsi="Arial"/>
                <w:sz w:val="14"/>
                <w:szCs w:val="14"/>
                <w:b w:val="1"/>
                <w:bCs w:val="1"/>
                <w:color w:val="auto"/>
              </w:rPr>
              <w:t>Target</w:t>
            </w:r>
          </w:p>
        </w:tc>
        <w:tc>
          <w:tcPr>
            <w:tcW w:w="102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Max</w:t>
            </w:r>
          </w:p>
        </w:tc>
        <w:tc>
          <w:tcPr>
            <w:tcW w:w="1220" w:type="dxa"/>
            <w:vAlign w:val="bottom"/>
            <w:tcBorders>
              <w:bottom w:val="single" w:sz="8" w:color="582C83"/>
            </w:tcBorders>
          </w:tcPr>
          <w:p>
            <w:pPr>
              <w:jc w:val="right"/>
              <w:ind w:right="48"/>
              <w:spacing w:after="0"/>
              <w:rPr>
                <w:sz w:val="20"/>
                <w:szCs w:val="20"/>
                <w:color w:val="auto"/>
              </w:rPr>
            </w:pPr>
            <w:r>
              <w:rPr>
                <w:rFonts w:ascii="Arial" w:cs="Arial" w:eastAsia="Arial" w:hAnsi="Arial"/>
                <w:sz w:val="14"/>
                <w:szCs w:val="14"/>
                <w:b w:val="1"/>
                <w:bCs w:val="1"/>
                <w:color w:val="auto"/>
              </w:rPr>
              <w:t>Actual</w:t>
            </w:r>
          </w:p>
        </w:tc>
        <w:tc>
          <w:tcPr>
            <w:tcW w:w="94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2"/>
        </w:trPr>
        <w:tc>
          <w:tcPr>
            <w:tcW w:w="270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color w:val="auto"/>
              </w:rPr>
              <w:t>3-Year Organic Net Revenue Growth</w:t>
            </w:r>
          </w:p>
        </w:tc>
        <w:tc>
          <w:tcPr>
            <w:tcW w:w="1000" w:type="dxa"/>
            <w:vAlign w:val="bottom"/>
            <w:tcBorders>
              <w:bottom w:val="single" w:sz="8" w:color="582C83"/>
            </w:tcBorders>
            <w:shd w:val="clear" w:color="auto" w:fill="E0DBEA"/>
          </w:tcPr>
          <w:p>
            <w:pPr>
              <w:jc w:val="right"/>
              <w:ind w:right="28"/>
              <w:spacing w:after="0"/>
              <w:rPr>
                <w:sz w:val="20"/>
                <w:szCs w:val="20"/>
                <w:color w:val="auto"/>
              </w:rPr>
            </w:pPr>
            <w:r>
              <w:rPr>
                <w:rFonts w:ascii="Arial" w:cs="Arial" w:eastAsia="Arial" w:hAnsi="Arial"/>
                <w:sz w:val="14"/>
                <w:szCs w:val="14"/>
                <w:color w:val="auto"/>
              </w:rPr>
              <w:t>25%</w:t>
            </w:r>
          </w:p>
        </w:tc>
        <w:tc>
          <w:tcPr>
            <w:tcW w:w="1080" w:type="dxa"/>
            <w:vAlign w:val="bottom"/>
            <w:tcBorders>
              <w:bottom w:val="single" w:sz="8" w:color="582C83"/>
            </w:tcBorders>
            <w:shd w:val="clear" w:color="auto" w:fill="E0DBEA"/>
          </w:tcPr>
          <w:p>
            <w:pPr>
              <w:jc w:val="right"/>
              <w:ind w:right="28"/>
              <w:spacing w:after="0"/>
              <w:rPr>
                <w:sz w:val="20"/>
                <w:szCs w:val="20"/>
                <w:color w:val="auto"/>
              </w:rPr>
            </w:pPr>
            <w:r>
              <w:rPr>
                <w:rFonts w:ascii="Arial" w:cs="Arial" w:eastAsia="Arial" w:hAnsi="Arial"/>
                <w:sz w:val="14"/>
                <w:szCs w:val="14"/>
                <w:color w:val="auto"/>
              </w:rPr>
              <w:t>3.7%</w:t>
            </w:r>
          </w:p>
        </w:tc>
        <w:tc>
          <w:tcPr>
            <w:tcW w:w="1080" w:type="dxa"/>
            <w:vAlign w:val="bottom"/>
            <w:tcBorders>
              <w:bottom w:val="single" w:sz="8" w:color="582C83"/>
            </w:tcBorders>
            <w:shd w:val="clear" w:color="auto" w:fill="E0DBEA"/>
          </w:tcPr>
          <w:p>
            <w:pPr>
              <w:jc w:val="right"/>
              <w:ind w:right="28"/>
              <w:spacing w:after="0"/>
              <w:rPr>
                <w:sz w:val="20"/>
                <w:szCs w:val="20"/>
                <w:color w:val="auto"/>
              </w:rPr>
            </w:pPr>
            <w:r>
              <w:rPr>
                <w:rFonts w:ascii="Arial" w:cs="Arial" w:eastAsia="Arial" w:hAnsi="Arial"/>
                <w:sz w:val="14"/>
                <w:szCs w:val="14"/>
                <w:color w:val="auto"/>
              </w:rPr>
              <w:t>5.0%</w:t>
            </w:r>
          </w:p>
        </w:tc>
        <w:tc>
          <w:tcPr>
            <w:tcW w:w="10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6.3%</w:t>
            </w:r>
          </w:p>
        </w:tc>
        <w:tc>
          <w:tcPr>
            <w:tcW w:w="1220" w:type="dxa"/>
            <w:vAlign w:val="bottom"/>
            <w:tcBorders>
              <w:bottom w:val="single" w:sz="8" w:color="582C83"/>
            </w:tcBorders>
            <w:shd w:val="clear" w:color="auto" w:fill="E0DBEA"/>
          </w:tcPr>
          <w:p>
            <w:pPr>
              <w:jc w:val="right"/>
              <w:ind w:right="68"/>
              <w:spacing w:after="0"/>
              <w:rPr>
                <w:sz w:val="20"/>
                <w:szCs w:val="20"/>
                <w:color w:val="auto"/>
              </w:rPr>
            </w:pPr>
            <w:r>
              <w:rPr>
                <w:rFonts w:ascii="Arial" w:cs="Arial" w:eastAsia="Arial" w:hAnsi="Arial"/>
                <w:sz w:val="14"/>
                <w:szCs w:val="14"/>
                <w:color w:val="auto"/>
              </w:rPr>
              <w:t>7.8%</w:t>
            </w:r>
          </w:p>
        </w:tc>
        <w:tc>
          <w:tcPr>
            <w:tcW w:w="9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9"/>
        </w:trPr>
        <w:tc>
          <w:tcPr>
            <w:tcW w:w="2700" w:type="dxa"/>
            <w:vAlign w:val="bottom"/>
            <w:tcBorders>
              <w:bottom w:val="single" w:sz="8" w:color="582C83"/>
            </w:tcBorders>
          </w:tcPr>
          <w:p>
            <w:pPr>
              <w:ind w:left="60"/>
              <w:spacing w:after="0"/>
              <w:rPr>
                <w:sz w:val="20"/>
                <w:szCs w:val="20"/>
                <w:color w:val="auto"/>
              </w:rPr>
            </w:pPr>
            <w:r>
              <w:rPr>
                <w:rFonts w:ascii="Arial" w:cs="Arial" w:eastAsia="Arial" w:hAnsi="Arial"/>
                <w:sz w:val="14"/>
                <w:szCs w:val="14"/>
                <w:color w:val="auto"/>
              </w:rPr>
              <w:t>3-Year Adjusted EPS Growth</w:t>
            </w:r>
          </w:p>
        </w:tc>
        <w:tc>
          <w:tcPr>
            <w:tcW w:w="1000" w:type="dxa"/>
            <w:vAlign w:val="bottom"/>
            <w:tcBorders>
              <w:bottom w:val="single" w:sz="8" w:color="582C83"/>
            </w:tcBorders>
          </w:tcPr>
          <w:p>
            <w:pPr>
              <w:jc w:val="right"/>
              <w:ind w:right="28"/>
              <w:spacing w:after="0"/>
              <w:rPr>
                <w:sz w:val="20"/>
                <w:szCs w:val="20"/>
                <w:color w:val="auto"/>
              </w:rPr>
            </w:pPr>
            <w:r>
              <w:rPr>
                <w:rFonts w:ascii="Arial" w:cs="Arial" w:eastAsia="Arial" w:hAnsi="Arial"/>
                <w:sz w:val="14"/>
                <w:szCs w:val="14"/>
                <w:color w:val="auto"/>
              </w:rPr>
              <w:t>25%</w:t>
            </w:r>
          </w:p>
        </w:tc>
        <w:tc>
          <w:tcPr>
            <w:tcW w:w="1080" w:type="dxa"/>
            <w:vAlign w:val="bottom"/>
            <w:tcBorders>
              <w:bottom w:val="single" w:sz="8" w:color="582C83"/>
            </w:tcBorders>
          </w:tcPr>
          <w:p>
            <w:pPr>
              <w:jc w:val="right"/>
              <w:ind w:right="28"/>
              <w:spacing w:after="0"/>
              <w:rPr>
                <w:sz w:val="20"/>
                <w:szCs w:val="20"/>
                <w:color w:val="auto"/>
              </w:rPr>
            </w:pPr>
            <w:r>
              <w:rPr>
                <w:rFonts w:ascii="Arial" w:cs="Arial" w:eastAsia="Arial" w:hAnsi="Arial"/>
                <w:sz w:val="14"/>
                <w:szCs w:val="14"/>
                <w:color w:val="auto"/>
              </w:rPr>
              <w:t>5.4%</w:t>
            </w:r>
          </w:p>
        </w:tc>
        <w:tc>
          <w:tcPr>
            <w:tcW w:w="1080" w:type="dxa"/>
            <w:vAlign w:val="bottom"/>
            <w:tcBorders>
              <w:bottom w:val="single" w:sz="8" w:color="582C83"/>
            </w:tcBorders>
          </w:tcPr>
          <w:p>
            <w:pPr>
              <w:jc w:val="right"/>
              <w:ind w:right="28"/>
              <w:spacing w:after="0"/>
              <w:rPr>
                <w:sz w:val="20"/>
                <w:szCs w:val="20"/>
                <w:color w:val="auto"/>
              </w:rPr>
            </w:pPr>
            <w:r>
              <w:rPr>
                <w:rFonts w:ascii="Arial" w:cs="Arial" w:eastAsia="Arial" w:hAnsi="Arial"/>
                <w:sz w:val="14"/>
                <w:szCs w:val="14"/>
                <w:color w:val="auto"/>
              </w:rPr>
              <w:t>7.0%</w:t>
            </w:r>
          </w:p>
        </w:tc>
        <w:tc>
          <w:tcPr>
            <w:tcW w:w="102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9.5%</w:t>
            </w:r>
          </w:p>
        </w:tc>
        <w:tc>
          <w:tcPr>
            <w:tcW w:w="1220" w:type="dxa"/>
            <w:vAlign w:val="bottom"/>
            <w:tcBorders>
              <w:bottom w:val="single" w:sz="8" w:color="582C83"/>
            </w:tcBorders>
          </w:tcPr>
          <w:p>
            <w:pPr>
              <w:jc w:val="right"/>
              <w:ind w:right="68"/>
              <w:spacing w:after="0"/>
              <w:rPr>
                <w:sz w:val="20"/>
                <w:szCs w:val="20"/>
                <w:color w:val="auto"/>
              </w:rPr>
            </w:pPr>
            <w:r>
              <w:rPr>
                <w:rFonts w:ascii="Arial" w:cs="Arial" w:eastAsia="Arial" w:hAnsi="Arial"/>
                <w:sz w:val="14"/>
                <w:szCs w:val="14"/>
                <w:color w:val="auto"/>
              </w:rPr>
              <w:t>5.8%</w:t>
            </w:r>
          </w:p>
        </w:tc>
        <w:tc>
          <w:tcPr>
            <w:tcW w:w="94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0"/>
        </w:trPr>
        <w:tc>
          <w:tcPr>
            <w:tcW w:w="2700" w:type="dxa"/>
            <w:vAlign w:val="bottom"/>
            <w:tcBorders>
              <w:bottom w:val="single" w:sz="8" w:color="582C83"/>
            </w:tcBorders>
            <w:shd w:val="clear" w:color="auto" w:fill="E0DBEA"/>
          </w:tcPr>
          <w:p>
            <w:pPr>
              <w:ind w:left="60"/>
              <w:spacing w:after="0" w:line="200" w:lineRule="exact"/>
              <w:rPr>
                <w:sz w:val="20"/>
                <w:szCs w:val="20"/>
                <w:color w:val="auto"/>
              </w:rPr>
            </w:pPr>
            <w:r>
              <w:rPr>
                <w:rFonts w:ascii="Arial" w:cs="Arial" w:eastAsia="Arial" w:hAnsi="Arial"/>
                <w:sz w:val="14"/>
                <w:szCs w:val="14"/>
                <w:color w:val="auto"/>
              </w:rPr>
              <w:t>3-Year Annualized Relative TSR</w:t>
            </w:r>
            <w:r>
              <w:rPr>
                <w:rFonts w:ascii="Arial" w:cs="Arial" w:eastAsia="Arial" w:hAnsi="Arial"/>
                <w:sz w:val="18"/>
                <w:szCs w:val="18"/>
                <w:color w:val="auto"/>
                <w:vertAlign w:val="superscript"/>
              </w:rPr>
              <w:t>(2)</w:t>
            </w:r>
          </w:p>
        </w:tc>
        <w:tc>
          <w:tcPr>
            <w:tcW w:w="1000" w:type="dxa"/>
            <w:vAlign w:val="bottom"/>
            <w:tcBorders>
              <w:bottom w:val="single" w:sz="8" w:color="582C83"/>
            </w:tcBorders>
            <w:shd w:val="clear" w:color="auto" w:fill="E0DBEA"/>
          </w:tcPr>
          <w:p>
            <w:pPr>
              <w:jc w:val="right"/>
              <w:ind w:right="28"/>
              <w:spacing w:after="0"/>
              <w:rPr>
                <w:sz w:val="20"/>
                <w:szCs w:val="20"/>
                <w:color w:val="auto"/>
              </w:rPr>
            </w:pPr>
            <w:r>
              <w:rPr>
                <w:rFonts w:ascii="Arial" w:cs="Arial" w:eastAsia="Arial" w:hAnsi="Arial"/>
                <w:sz w:val="14"/>
                <w:szCs w:val="14"/>
                <w:color w:val="auto"/>
              </w:rPr>
              <w:t>50%</w:t>
            </w:r>
          </w:p>
        </w:tc>
        <w:tc>
          <w:tcPr>
            <w:tcW w:w="1080" w:type="dxa"/>
            <w:vAlign w:val="bottom"/>
            <w:tcBorders>
              <w:bottom w:val="single" w:sz="8" w:color="582C83"/>
            </w:tcBorders>
            <w:shd w:val="clear" w:color="auto" w:fill="E0DBEA"/>
          </w:tcPr>
          <w:p>
            <w:pPr>
              <w:jc w:val="right"/>
              <w:ind w:right="28"/>
              <w:spacing w:after="0" w:line="200" w:lineRule="exact"/>
              <w:rPr>
                <w:sz w:val="20"/>
                <w:szCs w:val="20"/>
                <w:color w:val="auto"/>
              </w:rPr>
            </w:pPr>
            <w:r>
              <w:rPr>
                <w:rFonts w:ascii="Arial" w:cs="Arial" w:eastAsia="Arial" w:hAnsi="Arial"/>
                <w:sz w:val="14"/>
                <w:szCs w:val="14"/>
                <w:color w:val="auto"/>
              </w:rPr>
              <w:t>25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w:t>
            </w:r>
          </w:p>
        </w:tc>
        <w:tc>
          <w:tcPr>
            <w:tcW w:w="1080" w:type="dxa"/>
            <w:vAlign w:val="bottom"/>
            <w:tcBorders>
              <w:bottom w:val="single" w:sz="8" w:color="582C83"/>
            </w:tcBorders>
            <w:shd w:val="clear" w:color="auto" w:fill="E0DBEA"/>
          </w:tcPr>
          <w:p>
            <w:pPr>
              <w:jc w:val="right"/>
              <w:ind w:right="28"/>
              <w:spacing w:after="0" w:line="200" w:lineRule="exact"/>
              <w:rPr>
                <w:sz w:val="20"/>
                <w:szCs w:val="20"/>
                <w:color w:val="auto"/>
              </w:rPr>
            </w:pPr>
            <w:r>
              <w:rPr>
                <w:rFonts w:ascii="Arial" w:cs="Arial" w:eastAsia="Arial" w:hAnsi="Arial"/>
                <w:sz w:val="14"/>
                <w:szCs w:val="14"/>
                <w:color w:val="auto"/>
              </w:rPr>
              <w:t>55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w:t>
            </w:r>
          </w:p>
        </w:tc>
        <w:tc>
          <w:tcPr>
            <w:tcW w:w="1020" w:type="dxa"/>
            <w:vAlign w:val="bottom"/>
            <w:tcBorders>
              <w:bottom w:val="single" w:sz="8" w:color="582C83"/>
            </w:tcBorders>
            <w:shd w:val="clear" w:color="auto" w:fill="E0DBEA"/>
          </w:tcPr>
          <w:p>
            <w:pPr>
              <w:jc w:val="right"/>
              <w:spacing w:after="0" w:line="200" w:lineRule="exact"/>
              <w:rPr>
                <w:sz w:val="20"/>
                <w:szCs w:val="20"/>
                <w:color w:val="auto"/>
              </w:rPr>
            </w:pPr>
            <w:r>
              <w:rPr>
                <w:rFonts w:ascii="Arial" w:cs="Arial" w:eastAsia="Arial" w:hAnsi="Arial"/>
                <w:sz w:val="14"/>
                <w:szCs w:val="14"/>
                <w:color w:val="auto"/>
              </w:rPr>
              <w:t>90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w:t>
            </w:r>
          </w:p>
        </w:tc>
        <w:tc>
          <w:tcPr>
            <w:tcW w:w="1220" w:type="dxa"/>
            <w:vAlign w:val="bottom"/>
            <w:tcBorders>
              <w:bottom w:val="single" w:sz="8" w:color="582C83"/>
            </w:tcBorders>
            <w:shd w:val="clear" w:color="auto" w:fill="E0DBEA"/>
          </w:tcPr>
          <w:p>
            <w:pPr>
              <w:jc w:val="right"/>
              <w:ind w:right="48"/>
              <w:spacing w:after="0" w:line="200" w:lineRule="exact"/>
              <w:rPr>
                <w:sz w:val="20"/>
                <w:szCs w:val="20"/>
                <w:color w:val="auto"/>
              </w:rPr>
            </w:pPr>
            <w:r>
              <w:rPr>
                <w:rFonts w:ascii="Arial" w:cs="Arial" w:eastAsia="Arial" w:hAnsi="Arial"/>
                <w:sz w:val="14"/>
                <w:szCs w:val="14"/>
                <w:color w:val="auto"/>
              </w:rPr>
              <w:t>39</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w:t>
            </w:r>
          </w:p>
        </w:tc>
        <w:tc>
          <w:tcPr>
            <w:tcW w:w="9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9"/>
        </w:trPr>
        <w:tc>
          <w:tcPr>
            <w:tcW w:w="270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Final Business Performance Rating</w:t>
            </w:r>
          </w:p>
        </w:tc>
        <w:tc>
          <w:tcPr>
            <w:tcW w:w="1000" w:type="dxa"/>
            <w:vAlign w:val="bottom"/>
            <w:tcBorders>
              <w:bottom w:val="single" w:sz="8" w:color="582C83"/>
            </w:tcBorders>
          </w:tcPr>
          <w:p>
            <w:pPr>
              <w:spacing w:after="0"/>
              <w:rPr>
                <w:sz w:val="18"/>
                <w:szCs w:val="18"/>
                <w:color w:val="auto"/>
              </w:rPr>
            </w:pPr>
          </w:p>
        </w:tc>
        <w:tc>
          <w:tcPr>
            <w:tcW w:w="1080" w:type="dxa"/>
            <w:vAlign w:val="bottom"/>
            <w:tcBorders>
              <w:bottom w:val="single" w:sz="8" w:color="582C83"/>
            </w:tcBorders>
          </w:tcPr>
          <w:p>
            <w:pPr>
              <w:spacing w:after="0"/>
              <w:rPr>
                <w:sz w:val="18"/>
                <w:szCs w:val="18"/>
                <w:color w:val="auto"/>
              </w:rPr>
            </w:pPr>
          </w:p>
        </w:tc>
        <w:tc>
          <w:tcPr>
            <w:tcW w:w="1080" w:type="dxa"/>
            <w:vAlign w:val="bottom"/>
            <w:tcBorders>
              <w:bottom w:val="single" w:sz="8" w:color="582C83"/>
            </w:tcBorders>
          </w:tcPr>
          <w:p>
            <w:pPr>
              <w:spacing w:after="0"/>
              <w:rPr>
                <w:sz w:val="18"/>
                <w:szCs w:val="18"/>
                <w:color w:val="auto"/>
              </w:rPr>
            </w:pPr>
          </w:p>
        </w:tc>
        <w:tc>
          <w:tcPr>
            <w:tcW w:w="1020" w:type="dxa"/>
            <w:vAlign w:val="bottom"/>
            <w:tcBorders>
              <w:bottom w:val="single" w:sz="8" w:color="582C83"/>
            </w:tcBorders>
          </w:tcPr>
          <w:p>
            <w:pPr>
              <w:spacing w:after="0"/>
              <w:rPr>
                <w:sz w:val="18"/>
                <w:szCs w:val="18"/>
                <w:color w:val="auto"/>
              </w:rPr>
            </w:pPr>
          </w:p>
        </w:tc>
        <w:tc>
          <w:tcPr>
            <w:tcW w:w="1220" w:type="dxa"/>
            <w:vAlign w:val="bottom"/>
            <w:tcBorders>
              <w:bottom w:val="single" w:sz="8" w:color="582C83"/>
            </w:tcBorders>
          </w:tcPr>
          <w:p>
            <w:pPr>
              <w:spacing w:after="0"/>
              <w:rPr>
                <w:sz w:val="18"/>
                <w:szCs w:val="18"/>
                <w:color w:val="auto"/>
              </w:rPr>
            </w:pPr>
          </w:p>
        </w:tc>
        <w:tc>
          <w:tcPr>
            <w:tcW w:w="94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102%</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260" w:hanging="253"/>
        <w:spacing w:after="0"/>
        <w:tabs>
          <w:tab w:leader="none" w:pos="260" w:val="left"/>
        </w:tabs>
        <w:numPr>
          <w:ilvl w:val="0"/>
          <w:numId w:val="85"/>
        </w:numPr>
        <w:rPr>
          <w:rFonts w:ascii="Arial" w:cs="Arial" w:eastAsia="Arial" w:hAnsi="Arial"/>
          <w:sz w:val="13"/>
          <w:szCs w:val="13"/>
          <w:color w:val="auto"/>
        </w:rPr>
      </w:pPr>
      <w:r>
        <w:rPr>
          <w:rFonts w:ascii="Arial" w:cs="Arial" w:eastAsia="Arial" w:hAnsi="Arial"/>
          <w:sz w:val="13"/>
          <w:szCs w:val="13"/>
          <w:color w:val="auto"/>
        </w:rPr>
        <w:t>See definitions in Annex A.</w:t>
      </w:r>
    </w:p>
    <w:p>
      <w:pPr>
        <w:spacing w:after="0" w:line="16" w:lineRule="exact"/>
        <w:rPr>
          <w:rFonts w:ascii="Arial" w:cs="Arial" w:eastAsia="Arial" w:hAnsi="Arial"/>
          <w:sz w:val="13"/>
          <w:szCs w:val="13"/>
          <w:color w:val="auto"/>
        </w:rPr>
      </w:pPr>
    </w:p>
    <w:p>
      <w:pPr>
        <w:ind w:left="260" w:hanging="253"/>
        <w:spacing w:after="0"/>
        <w:tabs>
          <w:tab w:leader="none" w:pos="260" w:val="left"/>
        </w:tabs>
        <w:numPr>
          <w:ilvl w:val="0"/>
          <w:numId w:val="85"/>
        </w:numPr>
        <w:rPr>
          <w:rFonts w:ascii="Arial" w:cs="Arial" w:eastAsia="Arial" w:hAnsi="Arial"/>
          <w:sz w:val="13"/>
          <w:szCs w:val="13"/>
          <w:color w:val="auto"/>
        </w:rPr>
      </w:pPr>
      <w:r>
        <w:rPr>
          <w:rFonts w:ascii="Arial" w:cs="Arial" w:eastAsia="Arial" w:hAnsi="Arial"/>
          <w:sz w:val="13"/>
          <w:szCs w:val="13"/>
          <w:color w:val="auto"/>
        </w:rPr>
        <w:t>In determining our Annualized Relative TSR performance, we used our Performance Peer Group (see “Performance Peer Group” on page 80).</w:t>
      </w:r>
    </w:p>
    <w:p>
      <w:pPr>
        <w:spacing w:after="0" w:line="112" w:lineRule="exact"/>
        <w:rPr>
          <w:sz w:val="20"/>
          <w:szCs w:val="20"/>
          <w:color w:val="auto"/>
        </w:rPr>
      </w:pPr>
    </w:p>
    <w:p>
      <w:pPr>
        <w:ind w:right="80"/>
        <w:spacing w:after="0" w:line="317" w:lineRule="auto"/>
        <w:rPr>
          <w:sz w:val="20"/>
          <w:szCs w:val="20"/>
          <w:color w:val="auto"/>
        </w:rPr>
      </w:pPr>
      <w:r>
        <w:rPr>
          <w:rFonts w:ascii="Arial" w:cs="Arial" w:eastAsia="Arial" w:hAnsi="Arial"/>
          <w:sz w:val="17"/>
          <w:szCs w:val="17"/>
          <w:color w:val="auto"/>
        </w:rPr>
        <w:t>Based on target awards and the performance rating, the shares earned (before taxes) for each NEO for the 2023-2025 performance cycle were as follows:</w:t>
      </w:r>
    </w:p>
    <w:p>
      <w:pPr>
        <w:sectPr>
          <w:pgSz w:w="11900" w:h="16840" w:orient="portrait"/>
          <w:cols w:equalWidth="0" w:num="1">
            <w:col w:w="9040"/>
          </w:cols>
          <w:pgMar w:left="1420" w:top="108" w:right="1439" w:bottom="0" w:gutter="0" w:footer="0" w:header="0"/>
        </w:sectPr>
      </w:pPr>
    </w:p>
    <w:p>
      <w:pPr>
        <w:spacing w:after="0" w:line="200" w:lineRule="exact"/>
        <w:rPr>
          <w:sz w:val="20"/>
          <w:szCs w:val="20"/>
          <w:color w:val="auto"/>
        </w:rPr>
      </w:pPr>
    </w:p>
    <w:p>
      <w:pPr>
        <w:spacing w:after="0" w:line="269" w:lineRule="exact"/>
        <w:rPr>
          <w:sz w:val="20"/>
          <w:szCs w:val="20"/>
          <w:color w:val="auto"/>
        </w:rPr>
      </w:pPr>
    </w:p>
    <w:p>
      <w:pPr>
        <w:ind w:left="60"/>
        <w:spacing w:after="0"/>
        <w:tabs>
          <w:tab w:leader="none" w:pos="8440" w:val="left"/>
        </w:tabs>
        <w:rPr>
          <w:sz w:val="20"/>
          <w:szCs w:val="20"/>
          <w:color w:val="auto"/>
        </w:rPr>
      </w:pPr>
      <w:r>
        <w:rPr>
          <w:rFonts w:ascii="Arial" w:cs="Arial" w:eastAsia="Arial" w:hAnsi="Arial"/>
          <w:sz w:val="14"/>
          <w:szCs w:val="14"/>
          <w:b w:val="1"/>
          <w:bCs w:val="1"/>
          <w:color w:val="auto"/>
        </w:rPr>
        <w:t>Mr. Van de Put</w:t>
      </w:r>
      <w:r>
        <w:rPr>
          <w:sz w:val="20"/>
          <w:szCs w:val="20"/>
          <w:color w:val="auto"/>
        </w:rPr>
        <w:tab/>
      </w:r>
      <w:r>
        <w:rPr>
          <w:rFonts w:ascii="Arial" w:cs="Arial" w:eastAsia="Arial" w:hAnsi="Arial"/>
          <w:sz w:val="14"/>
          <w:szCs w:val="14"/>
          <w:color w:val="auto"/>
        </w:rPr>
        <w:t>158,019</w:t>
      </w:r>
    </w:p>
    <w:p>
      <w:pPr>
        <w:sectPr>
          <w:pgSz w:w="11900" w:h="16840" w:orient="portrait"/>
          <w:cols w:equalWidth="0" w:num="1">
            <w:col w:w="9040"/>
          </w:cols>
          <w:pgMar w:left="1420" w:top="108" w:right="1439" w:bottom="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4480" w:type="dxa"/>
            <w:vAlign w:val="bottom"/>
          </w:tcPr>
          <w:p>
            <w:pPr>
              <w:ind w:left="60"/>
              <w:spacing w:after="0"/>
              <w:rPr>
                <w:sz w:val="20"/>
                <w:szCs w:val="20"/>
                <w:color w:val="auto"/>
              </w:rPr>
            </w:pPr>
            <w:r>
              <w:rPr>
                <w:rFonts w:ascii="Arial" w:cs="Arial" w:eastAsia="Arial" w:hAnsi="Arial"/>
                <w:sz w:val="14"/>
                <w:szCs w:val="14"/>
                <w:b w:val="1"/>
                <w:bCs w:val="1"/>
                <w:color w:val="auto"/>
              </w:rPr>
              <w:t>Mr. Zaramella</w:t>
            </w:r>
          </w:p>
        </w:tc>
        <w:tc>
          <w:tcPr>
            <w:tcW w:w="4560" w:type="dxa"/>
            <w:vAlign w:val="bottom"/>
          </w:tcPr>
          <w:p>
            <w:pPr>
              <w:jc w:val="right"/>
              <w:spacing w:after="0"/>
              <w:rPr>
                <w:sz w:val="20"/>
                <w:szCs w:val="20"/>
                <w:color w:val="auto"/>
              </w:rPr>
            </w:pPr>
            <w:r>
              <w:rPr>
                <w:rFonts w:ascii="Arial" w:cs="Arial" w:eastAsia="Arial" w:hAnsi="Arial"/>
                <w:sz w:val="14"/>
                <w:szCs w:val="14"/>
                <w:color w:val="auto"/>
              </w:rPr>
              <w:t>58,528</w:t>
            </w:r>
          </w:p>
        </w:tc>
      </w:tr>
      <w:tr>
        <w:trPr>
          <w:trHeight w:val="115"/>
        </w:trPr>
        <w:tc>
          <w:tcPr>
            <w:tcW w:w="4480" w:type="dxa"/>
            <w:vAlign w:val="bottom"/>
            <w:tcBorders>
              <w:bottom w:val="single" w:sz="8" w:color="582C83"/>
            </w:tcBorders>
          </w:tcPr>
          <w:p>
            <w:pPr>
              <w:ind w:left="60"/>
              <w:spacing w:after="0" w:line="108" w:lineRule="exact"/>
              <w:rPr>
                <w:sz w:val="20"/>
                <w:szCs w:val="20"/>
                <w:color w:val="auto"/>
              </w:rPr>
            </w:pPr>
            <w:r>
              <w:rPr>
                <w:rFonts w:ascii="Arial" w:cs="Arial" w:eastAsia="Arial" w:hAnsi="Arial"/>
                <w:sz w:val="12"/>
                <w:szCs w:val="12"/>
                <w:b w:val="1"/>
                <w:bCs w:val="1"/>
                <w:color w:val="auto"/>
              </w:rPr>
              <w:t>Name</w:t>
            </w:r>
          </w:p>
        </w:tc>
        <w:tc>
          <w:tcPr>
            <w:tcW w:w="4560" w:type="dxa"/>
            <w:vAlign w:val="bottom"/>
            <w:tcBorders>
              <w:bottom w:val="single" w:sz="8" w:color="582C83"/>
            </w:tcBorders>
          </w:tcPr>
          <w:p>
            <w:pPr>
              <w:jc w:val="right"/>
              <w:spacing w:after="0" w:line="108" w:lineRule="exact"/>
              <w:rPr>
                <w:sz w:val="20"/>
                <w:szCs w:val="20"/>
                <w:color w:val="auto"/>
              </w:rPr>
            </w:pPr>
            <w:r>
              <w:rPr>
                <w:rFonts w:ascii="Arial" w:cs="Arial" w:eastAsia="Arial" w:hAnsi="Arial"/>
                <w:sz w:val="12"/>
                <w:szCs w:val="12"/>
                <w:b w:val="1"/>
                <w:bCs w:val="1"/>
                <w:color w:val="auto"/>
              </w:rPr>
              <w:t>Shares Earned</w:t>
            </w:r>
          </w:p>
        </w:tc>
      </w:tr>
      <w:tr>
        <w:trPr>
          <w:trHeight w:val="209"/>
        </w:trPr>
        <w:tc>
          <w:tcPr>
            <w:tcW w:w="448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Mr. Kuhn</w:t>
            </w:r>
          </w:p>
        </w:tc>
        <w:tc>
          <w:tcPr>
            <w:tcW w:w="456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New Hire</w:t>
            </w:r>
          </w:p>
        </w:tc>
      </w:tr>
      <w:tr>
        <w:trPr>
          <w:trHeight w:val="210"/>
        </w:trPr>
        <w:tc>
          <w:tcPr>
            <w:tcW w:w="448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Mr. Valle</w:t>
            </w:r>
          </w:p>
        </w:tc>
        <w:tc>
          <w:tcPr>
            <w:tcW w:w="456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26,928</w:t>
            </w:r>
          </w:p>
        </w:tc>
      </w:tr>
      <w:tr>
        <w:trPr>
          <w:trHeight w:val="209"/>
        </w:trPr>
        <w:tc>
          <w:tcPr>
            <w:tcW w:w="448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Mr. Renaud</w:t>
            </w:r>
          </w:p>
        </w:tc>
        <w:tc>
          <w:tcPr>
            <w:tcW w:w="456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23,409</w:t>
            </w:r>
          </w:p>
        </w:tc>
      </w:tr>
      <w:tr>
        <w:trPr>
          <w:trHeight w:val="216"/>
        </w:trPr>
        <w:tc>
          <w:tcPr>
            <w:tcW w:w="4480" w:type="dxa"/>
            <w:vAlign w:val="bottom"/>
            <w:tcBorders>
              <w:bottom w:val="single" w:sz="8" w:color="582C83"/>
            </w:tcBorders>
          </w:tcPr>
          <w:p>
            <w:pPr>
              <w:spacing w:after="0"/>
              <w:rPr>
                <w:sz w:val="18"/>
                <w:szCs w:val="18"/>
                <w:color w:val="auto"/>
              </w:rPr>
            </w:pPr>
          </w:p>
        </w:tc>
        <w:tc>
          <w:tcPr>
            <w:tcW w:w="4560" w:type="dxa"/>
            <w:vAlign w:val="bottom"/>
            <w:tcBorders>
              <w:bottom w:val="single" w:sz="8" w:color="582C83"/>
            </w:tcBorders>
          </w:tcPr>
          <w:p>
            <w:pPr>
              <w:spacing w:after="0"/>
              <w:rPr>
                <w:sz w:val="18"/>
                <w:szCs w:val="18"/>
                <w:color w:val="auto"/>
              </w:rPr>
            </w:pPr>
          </w:p>
        </w:tc>
      </w:tr>
      <w:tr>
        <w:trPr>
          <w:trHeight w:val="210"/>
        </w:trPr>
        <w:tc>
          <w:tcPr>
            <w:tcW w:w="4480" w:type="dxa"/>
            <w:vAlign w:val="bottom"/>
            <w:tcBorders>
              <w:bottom w:val="single" w:sz="8" w:color="582C83"/>
            </w:tcBorders>
            <w:shd w:val="clear" w:color="auto" w:fill="E0DBEA"/>
          </w:tcPr>
          <w:p>
            <w:pPr>
              <w:spacing w:after="0"/>
              <w:rPr>
                <w:sz w:val="18"/>
                <w:szCs w:val="18"/>
                <w:color w:val="auto"/>
              </w:rPr>
            </w:pPr>
          </w:p>
        </w:tc>
        <w:tc>
          <w:tcPr>
            <w:tcW w:w="4560" w:type="dxa"/>
            <w:vAlign w:val="bottom"/>
            <w:tcBorders>
              <w:bottom w:val="single" w:sz="8" w:color="582C83"/>
            </w:tcBorders>
            <w:shd w:val="clear" w:color="auto" w:fill="E0DBEA"/>
          </w:tcPr>
          <w:p>
            <w:pPr>
              <w:spacing w:after="0"/>
              <w:rPr>
                <w:sz w:val="18"/>
                <w:szCs w:val="18"/>
                <w:color w:val="auto"/>
              </w:rPr>
            </w:pPr>
          </w:p>
        </w:tc>
      </w:tr>
      <w:tr>
        <w:trPr>
          <w:trHeight w:val="493"/>
        </w:trPr>
        <w:tc>
          <w:tcPr>
            <w:tcW w:w="4480" w:type="dxa"/>
            <w:vAlign w:val="bottom"/>
            <w:tcBorders>
              <w:bottom w:val="single" w:sz="8" w:color="592B82"/>
            </w:tcBorders>
          </w:tcPr>
          <w:p>
            <w:pPr>
              <w:spacing w:after="0"/>
              <w:rPr>
                <w:sz w:val="24"/>
                <w:szCs w:val="24"/>
                <w:color w:val="auto"/>
              </w:rPr>
            </w:pPr>
          </w:p>
        </w:tc>
        <w:tc>
          <w:tcPr>
            <w:tcW w:w="4560" w:type="dxa"/>
            <w:vAlign w:val="bottom"/>
            <w:tcBorders>
              <w:bottom w:val="single" w:sz="8" w:color="592B82"/>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-1224915</wp:posOffset>
            </wp:positionV>
            <wp:extent cx="6810375" cy="17164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10375" cy="1716405"/>
                    </a:xfrm>
                    <a:prstGeom prst="rect">
                      <a:avLst/>
                    </a:prstGeom>
                    <a:noFill/>
                  </pic:spPr>
                </pic:pic>
              </a:graphicData>
            </a:graphic>
          </wp:anchor>
        </w:drawing>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76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7172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10375" cy="871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340"/>
        <w:spacing w:after="0"/>
        <w:rPr>
          <w:sz w:val="20"/>
          <w:szCs w:val="20"/>
          <w:color w:val="auto"/>
        </w:rPr>
      </w:pPr>
      <w:r>
        <w:rPr>
          <w:rFonts w:ascii="Arial" w:cs="Arial" w:eastAsia="Arial" w:hAnsi="Arial"/>
          <w:sz w:val="21"/>
          <w:szCs w:val="21"/>
          <w:b w:val="1"/>
          <w:bCs w:val="1"/>
          <w:color w:val="auto"/>
        </w:rPr>
        <w:t>COMPENSATION DISCUSSION AND ANALYSIS (CD&amp;A)</w:t>
      </w:r>
    </w:p>
    <w:p>
      <w:pPr>
        <w:spacing w:after="0" w:line="48" w:lineRule="exact"/>
        <w:rPr>
          <w:sz w:val="20"/>
          <w:szCs w:val="20"/>
          <w:color w:val="auto"/>
        </w:rPr>
      </w:pPr>
    </w:p>
    <w:p>
      <w:pPr>
        <w:ind w:left="7480"/>
        <w:spacing w:after="0"/>
        <w:rPr>
          <w:sz w:val="20"/>
          <w:szCs w:val="20"/>
          <w:color w:val="auto"/>
        </w:rPr>
      </w:pPr>
      <w:r>
        <w:rPr>
          <w:rFonts w:ascii="Arial" w:cs="Arial" w:eastAsia="Arial" w:hAnsi="Arial"/>
          <w:sz w:val="14"/>
          <w:szCs w:val="14"/>
          <w:color w:val="auto"/>
        </w:rPr>
        <w:t>Compensation Program</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(25% of LTI)</w:t>
      </w:r>
    </w:p>
    <w:p>
      <w:pPr>
        <w:spacing w:after="0" w:line="114" w:lineRule="exact"/>
        <w:rPr>
          <w:sz w:val="20"/>
          <w:szCs w:val="20"/>
          <w:color w:val="auto"/>
        </w:rPr>
      </w:pPr>
    </w:p>
    <w:p>
      <w:pPr>
        <w:jc w:val="both"/>
        <w:ind w:right="760"/>
        <w:spacing w:after="0" w:line="301" w:lineRule="auto"/>
        <w:rPr>
          <w:sz w:val="20"/>
          <w:szCs w:val="20"/>
          <w:color w:val="auto"/>
        </w:rPr>
      </w:pPr>
      <w:r>
        <w:rPr>
          <w:rFonts w:ascii="Arial" w:cs="Arial" w:eastAsia="Arial" w:hAnsi="Arial"/>
          <w:sz w:val="17"/>
          <w:szCs w:val="17"/>
          <w:color w:val="auto"/>
        </w:rPr>
        <w:t>Stock options vest ratably over three years and have a full term of 10 years. The PCC believes options are an appropriate vehicle for long-term compensation because they are performance-based and emphasize growth.</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OTHER COMPENSATION ACTIONS</w:t>
      </w:r>
    </w:p>
    <w:p>
      <w:pPr>
        <w:spacing w:after="0" w:line="11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January 2025, Mr. Kuhn joined us as EVP and President, Europe. To replace compensation opportunities forfeited upon leaving his prior employer, he received a $335,000 sign-on DSU award which vests annually over three years (disclosed in the Grants of Plan-Based Awards table on page 87 and Outstanding Equity Awards at Fiscal Year-End table beginning on page 88), and a sign-on cash bonus comprising CHF 220,000 paid in January 2025 and CHF 220,000 paid in January 2026 (the latter was subject to his continued employment through that date and repayment if he terminates his employment with us before January 6, 2027).</w:t>
      </w:r>
    </w:p>
    <w:p>
      <w:pPr>
        <w:spacing w:after="0" w:line="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February 2026, Mr. Zaramella was appointed as COO, in addition to his role as EVP and CFO. In addition to his CFO responsibilities, as COO, he will have responsibility for the Company’s commercial operations in its four geographical regions as well as the corporate sales, marketing, and supply chain functions. In connection with his appointment as COO, the PCC approved the following 2026 annual compensation opportunity for Mr. Zaramella: annual base salary of $1,250,000; target annual incentive of 150% of annual base salary; and an annual long-term incentive opportunity with a target value of $7,225,000.</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OTHER COMPENSATION ELEMENTS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w:t>
      </w:r>
    </w:p>
    <w:p>
      <w:pPr>
        <w:spacing w:after="0" w:line="114"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In 2025, our U.S.-based NEOs were eligible to participate in the Mondelēz Global LLC Executive Deferred Compensation Plan (“MEDCP”), a voluntary non-qualified deferred compensation plan. The MEDCP allows executives to defer, on a pre-tax basis, up to 50% of their salary and up to 100% of their award under the AIP. Participants may invest deferred amounts in one or more notional investment options.</w:t>
      </w:r>
    </w:p>
    <w:p>
      <w:pPr>
        <w:spacing w:after="0" w:line="61" w:lineRule="exact"/>
        <w:rPr>
          <w:sz w:val="20"/>
          <w:szCs w:val="20"/>
          <w:color w:val="auto"/>
        </w:rPr>
      </w:pPr>
    </w:p>
    <w:p>
      <w:pPr>
        <w:jc w:val="both"/>
        <w:ind w:right="300"/>
        <w:spacing w:after="0" w:line="317" w:lineRule="auto"/>
        <w:rPr>
          <w:sz w:val="20"/>
          <w:szCs w:val="20"/>
          <w:color w:val="auto"/>
        </w:rPr>
      </w:pPr>
      <w:r>
        <w:rPr>
          <w:rFonts w:ascii="Arial" w:cs="Arial" w:eastAsia="Arial" w:hAnsi="Arial"/>
          <w:sz w:val="17"/>
          <w:szCs w:val="17"/>
          <w:color w:val="auto"/>
        </w:rPr>
        <w:t>The MEDCP is similar to plans provided to executives at many of the companies in our Compensation Survey Peer Group. The PCC believes the MEDCP aids in recruitment and assists executives in managing their future cash flow.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Perquisites</w:t>
      </w:r>
    </w:p>
    <w:p>
      <w:pPr>
        <w:spacing w:after="0" w:line="114"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The PCC believes offering certain limited perquisites is important for executive retention and recruitment. Our perquisites for NEOs, including car and financial planning allowances, are similar in scope and value to those offered by companies in our Compensation Survey Peer Group.</w:t>
      </w:r>
    </w:p>
    <w:p>
      <w:pPr>
        <w:spacing w:after="0" w:line="72"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In addition, consistent with the findings of an independent, third-party security study, we require our CEO to use private (non-commercial) company aircraft for both business and personal travel. This method of travel supports business continuity and personal safety while also increasing time available for business purposes, which is necessary since we do business in more than 150 countries. Other NEOs may use company aircraft for personal travel in certain limited circumstances if approved by the CEO.</w:t>
      </w:r>
    </w:p>
    <w:p>
      <w:pPr>
        <w:spacing w:after="0" w:line="6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NEOs generally participate in the same retirement, health, and welfare plans broadly available to all salaried employees in the location where they are based. The footnotes to the SCT list the perquisites we provided to our NEOs in 2025. We generally do not provide our NEOs with tax gross-ups on executive-only perquisites, with only limited exceptions in certain circumstances for de minimis amounts. Consistent with market practice, eligible employees may receive tax equalization payments, relocation reimbursements, and expatriate benefits pursuant to our expatriate, global mobility, relocation, and tax equalization policies because there is a business purpose to employees’ relocations. Such policies are designed to mitigate the inconvenience of an international assignment by covering expenses in excess of what the expatriate would have incurred if he or she had remained in his or her home country; they are also designed to avoid an undue tax burden on the employee due to business travel, relocation, or an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expatriate assignment.</w:t>
      </w:r>
    </w:p>
    <w:p>
      <w:pPr>
        <w:spacing w:after="0" w:line="200" w:lineRule="exact"/>
        <w:rPr>
          <w:sz w:val="20"/>
          <w:szCs w:val="20"/>
          <w:color w:val="auto"/>
        </w:rPr>
      </w:pPr>
    </w:p>
    <w:p>
      <w:pPr>
        <w:spacing w:after="0" w:line="338"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77</w:t>
      </w:r>
    </w:p>
    <w:p>
      <w:pPr>
        <w:sectPr>
          <w:pgSz w:w="11900" w:h="16838" w:orient="portrait"/>
          <w:cols w:equalWidth="0" w:num="1">
            <w:col w:w="9040"/>
          </w:cols>
          <w:pgMar w:left="1420" w:top="114" w:right="1439" w:bottom="0" w:gutter="0" w:footer="0" w:header="0"/>
        </w:sectPr>
      </w:pPr>
    </w:p>
    <w:bookmarkStart w:id="68" w:name="page69"/>
    <w:bookmarkEnd w:id="68"/>
    <w:p>
      <w:pPr>
        <w:ind w:left="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0887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10375" cy="9088755"/>
                    </a:xfrm>
                    <a:prstGeom prst="rect">
                      <a:avLst/>
                    </a:prstGeom>
                    <a:noFill/>
                  </pic:spPr>
                </pic:pic>
              </a:graphicData>
            </a:graphic>
          </wp:anchor>
        </w:drawing>
        <w:t>COMPENSATION DISCUSSION AND ANALYSIS (CD&amp;A)</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Compensation Program</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RETIREMENT AND SEPARATION BENEFITS</w:t>
      </w:r>
    </w:p>
    <w:p>
      <w:pPr>
        <w:spacing w:after="0" w:line="118" w:lineRule="exact"/>
        <w:rPr>
          <w:sz w:val="20"/>
          <w:szCs w:val="20"/>
          <w:color w:val="auto"/>
        </w:rPr>
      </w:pPr>
    </w:p>
    <w:p>
      <w:pPr>
        <w:ind w:right="319"/>
        <w:spacing w:after="0" w:line="317" w:lineRule="auto"/>
        <w:rPr>
          <w:sz w:val="20"/>
          <w:szCs w:val="20"/>
          <w:color w:val="auto"/>
        </w:rPr>
      </w:pPr>
      <w:r>
        <w:rPr>
          <w:rFonts w:ascii="Arial" w:cs="Arial" w:eastAsia="Arial" w:hAnsi="Arial"/>
          <w:sz w:val="17"/>
          <w:szCs w:val="17"/>
          <w:color w:val="auto"/>
        </w:rPr>
        <w:t>Our U.S.-based NEOs are eligible for broad-based U.S. employee benefit plans on the same terms as U.S. salaried employees, including the Mondelēz Global LLC Thrift Plan (“Thrift Plan”).</w:t>
      </w:r>
    </w:p>
    <w:p>
      <w:pPr>
        <w:spacing w:after="0" w:line="37" w:lineRule="exact"/>
        <w:rPr>
          <w:sz w:val="20"/>
          <w:szCs w:val="20"/>
          <w:color w:val="auto"/>
        </w:rPr>
      </w:pPr>
    </w:p>
    <w:p>
      <w:pPr>
        <w:ind w:right="39"/>
        <w:spacing w:after="0" w:line="291" w:lineRule="auto"/>
        <w:rPr>
          <w:sz w:val="20"/>
          <w:szCs w:val="20"/>
          <w:color w:val="auto"/>
        </w:rPr>
      </w:pPr>
      <w:r>
        <w:rPr>
          <w:rFonts w:ascii="Arial" w:cs="Arial" w:eastAsia="Arial" w:hAnsi="Arial"/>
          <w:sz w:val="17"/>
          <w:szCs w:val="17"/>
          <w:color w:val="auto"/>
        </w:rPr>
        <w:t>We also provide an unfunded non-qualified plan, the Mondelēz Global LLC Supplemental Benefits Plan (“Supplemental Plan”), for eligible U.S. employees. The Supplemental Plan provides benefits that are not provided under the Thrift Plan becaus</w:t>
      </w:r>
      <w:r>
        <w:rPr>
          <w:rFonts w:ascii="Arial" w:cs="Arial" w:eastAsia="Arial" w:hAnsi="Arial"/>
          <w:sz w:val="16"/>
          <w:szCs w:val="16"/>
          <w:color w:val="auto"/>
        </w:rPr>
        <w:t>e:</w:t>
      </w:r>
    </w:p>
    <w:p>
      <w:pPr>
        <w:spacing w:after="0" w:line="72" w:lineRule="exact"/>
        <w:rPr>
          <w:sz w:val="20"/>
          <w:szCs w:val="20"/>
          <w:color w:val="auto"/>
        </w:rPr>
      </w:pPr>
    </w:p>
    <w:p>
      <w:pPr>
        <w:ind w:left="140" w:hanging="133"/>
        <w:spacing w:after="0"/>
        <w:tabs>
          <w:tab w:leader="none" w:pos="140" w:val="left"/>
        </w:tabs>
        <w:numPr>
          <w:ilvl w:val="0"/>
          <w:numId w:val="86"/>
        </w:numPr>
        <w:rPr>
          <w:rFonts w:ascii="Arial" w:cs="Arial" w:eastAsia="Arial" w:hAnsi="Arial"/>
          <w:sz w:val="17"/>
          <w:szCs w:val="17"/>
          <w:color w:val="582C83"/>
        </w:rPr>
      </w:pPr>
      <w:r>
        <w:rPr>
          <w:rFonts w:ascii="Arial" w:cs="Arial" w:eastAsia="Arial" w:hAnsi="Arial"/>
          <w:sz w:val="16"/>
          <w:szCs w:val="16"/>
          <w:color w:val="auto"/>
        </w:rPr>
        <w:t>a</w:t>
      </w:r>
      <w:r>
        <w:rPr>
          <w:rFonts w:ascii="Arial" w:cs="Arial" w:eastAsia="Arial" w:hAnsi="Arial"/>
          <w:sz w:val="17"/>
          <w:szCs w:val="17"/>
          <w:color w:val="auto"/>
        </w:rPr>
        <w:t>n employee’s compensation exceeds the tax-qualified plan compensation limit under Code Section 401(a)(17);</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86"/>
        </w:numPr>
        <w:rPr>
          <w:rFonts w:ascii="Arial" w:cs="Arial" w:eastAsia="Arial" w:hAnsi="Arial"/>
          <w:sz w:val="17"/>
          <w:szCs w:val="17"/>
          <w:color w:val="582C83"/>
        </w:rPr>
      </w:pPr>
      <w:r>
        <w:rPr>
          <w:rFonts w:ascii="Arial" w:cs="Arial" w:eastAsia="Arial" w:hAnsi="Arial"/>
          <w:sz w:val="17"/>
          <w:szCs w:val="17"/>
          <w:color w:val="auto"/>
        </w:rPr>
        <w:t>an employee elects to defer compensation under either the MEDCP or the Supplemental Plan; or</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86"/>
        </w:numPr>
        <w:rPr>
          <w:rFonts w:ascii="Arial" w:cs="Arial" w:eastAsia="Arial" w:hAnsi="Arial"/>
          <w:sz w:val="17"/>
          <w:szCs w:val="17"/>
          <w:color w:val="582C83"/>
        </w:rPr>
      </w:pPr>
      <w:r>
        <w:rPr>
          <w:rFonts w:ascii="Arial" w:cs="Arial" w:eastAsia="Arial" w:hAnsi="Arial"/>
          <w:sz w:val="17"/>
          <w:szCs w:val="17"/>
          <w:color w:val="auto"/>
        </w:rPr>
        <w:t>a participant’s Thrift Plan benefit exceeds the limits under Section 415 of the Code.</w:t>
      </w:r>
    </w:p>
    <w:p>
      <w:pPr>
        <w:spacing w:after="0" w:line="129" w:lineRule="exact"/>
        <w:rPr>
          <w:sz w:val="20"/>
          <w:szCs w:val="20"/>
          <w:color w:val="auto"/>
        </w:rPr>
      </w:pPr>
    </w:p>
    <w:p>
      <w:pPr>
        <w:ind w:right="79"/>
        <w:spacing w:after="0" w:line="282" w:lineRule="auto"/>
        <w:rPr>
          <w:sz w:val="20"/>
          <w:szCs w:val="20"/>
          <w:color w:val="auto"/>
        </w:rPr>
      </w:pPr>
      <w:r>
        <w:rPr>
          <w:rFonts w:ascii="Arial" w:cs="Arial" w:eastAsia="Arial" w:hAnsi="Arial"/>
          <w:sz w:val="17"/>
          <w:szCs w:val="17"/>
          <w:color w:val="auto"/>
        </w:rPr>
        <w:t>The PCC believes the Thrift Plan and the Supplemental Plan are integral pieces of our overall executive compensation program because they promote the retention of our executive leadership team over the long term. The PCC believes our NEOs should be able to defer the same percentage of their compensation and receive the same corresponding notional employer contributions as all other employees, without regard to the Code’s compensation limit applicable to tax-qualified plans or to whether the NEO has elected to defer compensation.</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Mr. Kuhn participates in the Company’s retirement plan for Swiss employees on the same basis as other</w:t>
      </w:r>
    </w:p>
    <w:p>
      <w:pPr>
        <w:spacing w:after="0" w:line="29" w:lineRule="exact"/>
        <w:rPr>
          <w:sz w:val="20"/>
          <w:szCs w:val="20"/>
          <w:color w:val="auto"/>
        </w:rPr>
      </w:pPr>
    </w:p>
    <w:p>
      <w:pPr>
        <w:ind w:right="99"/>
        <w:spacing w:after="0" w:line="306" w:lineRule="auto"/>
        <w:rPr>
          <w:sz w:val="20"/>
          <w:szCs w:val="20"/>
          <w:color w:val="auto"/>
        </w:rPr>
      </w:pPr>
      <w:r>
        <w:rPr>
          <w:rFonts w:ascii="Arial" w:cs="Arial" w:eastAsia="Arial" w:hAnsi="Arial"/>
          <w:sz w:val="17"/>
          <w:szCs w:val="17"/>
          <w:color w:val="auto"/>
        </w:rPr>
        <w:t>Swiss employees who joined after 2011. He participates in the defined contribution portion of such retirement plan (but such portion is actuarily accounted for as a defined benefit plan for accounting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CIC Severance Plan</w:t>
      </w:r>
    </w:p>
    <w:p>
      <w:pPr>
        <w:spacing w:after="0" w:line="114" w:lineRule="exact"/>
        <w:rPr>
          <w:sz w:val="20"/>
          <w:szCs w:val="20"/>
          <w:color w:val="auto"/>
        </w:rPr>
      </w:pPr>
    </w:p>
    <w:p>
      <w:pPr>
        <w:ind w:right="19"/>
        <w:spacing w:after="0" w:line="277" w:lineRule="auto"/>
        <w:rPr>
          <w:sz w:val="20"/>
          <w:szCs w:val="20"/>
          <w:color w:val="auto"/>
        </w:rPr>
      </w:pPr>
      <w:r>
        <w:rPr>
          <w:rFonts w:ascii="Arial" w:cs="Arial" w:eastAsia="Arial" w:hAnsi="Arial"/>
          <w:sz w:val="17"/>
          <w:szCs w:val="17"/>
          <w:color w:val="auto"/>
        </w:rPr>
        <w:t>In order to promote the retention of our executive leadership team in the event of a potentially disruptive corporate transaction, we maintain a Change in Control Plan for Key Executives (the “CIC Plan”). The CIC Plan is consistent with similar severance plans maintained by companies in our Compensation Survey Peer Group, including eligibility and severance benefit levels. We structure separation payments with two goals in mind: to make key executives, including our NEOs, available to facilitate a successful transition following a CIC and to provide a competitive level of severance protection if an executive is involuntarily terminated without cause or resigns for good reason within two years following a CIC (“double trigger”). In the event a payment under the CIC Plan or otherwise triggers an excise tax under Code Section 4999, the payment will be the greater of the full benefit or a reduced benefit that does not trigger the excise tax, as determined on an after-tax basis for each. We do not provide any tax gross-ups for taxes payable on CIC benefits. The provisions of the CIC Plan are described under “Potential Payments Upon Termination or Change in Control” beginning on page 93.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Plan</w:t>
      </w:r>
    </w:p>
    <w:p>
      <w:pPr>
        <w:spacing w:after="0" w:line="114" w:lineRule="exact"/>
        <w:rPr>
          <w:sz w:val="20"/>
          <w:szCs w:val="20"/>
          <w:color w:val="auto"/>
        </w:rPr>
      </w:pPr>
    </w:p>
    <w:p>
      <w:pPr>
        <w:ind w:right="199"/>
        <w:spacing w:after="0" w:line="291" w:lineRule="auto"/>
        <w:rPr>
          <w:sz w:val="20"/>
          <w:szCs w:val="20"/>
          <w:color w:val="auto"/>
        </w:rPr>
      </w:pPr>
      <w:r>
        <w:rPr>
          <w:rFonts w:ascii="Arial" w:cs="Arial" w:eastAsia="Arial" w:hAnsi="Arial"/>
          <w:sz w:val="17"/>
          <w:szCs w:val="17"/>
          <w:color w:val="auto"/>
        </w:rPr>
        <w:t>We provide severance benefits under the Mondelēz International, Inc. Severance Plan for Key Executives (the “Severance Plan”). The provisions of the Severance Plan are described under “Potential Payments Upon Termination or Change in Control” beginning on page 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78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13449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10375" cy="134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340"/>
        <w:spacing w:after="0"/>
        <w:rPr>
          <w:sz w:val="20"/>
          <w:szCs w:val="20"/>
          <w:color w:val="auto"/>
        </w:rPr>
      </w:pPr>
      <w:r>
        <w:rPr>
          <w:rFonts w:ascii="Arial" w:cs="Arial" w:eastAsia="Arial" w:hAnsi="Arial"/>
          <w:sz w:val="21"/>
          <w:szCs w:val="21"/>
          <w:b w:val="1"/>
          <w:bCs w:val="1"/>
          <w:color w:val="auto"/>
        </w:rPr>
        <w:t>COMPENSATION DISCUSSION AND ANALYSIS (CD&amp;A)</w:t>
      </w:r>
    </w:p>
    <w:p>
      <w:pPr>
        <w:spacing w:after="0" w:line="48"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Compensation Determination Process</w:t>
      </w:r>
    </w:p>
    <w:p>
      <w:pPr>
        <w:sectPr>
          <w:pgSz w:w="11900" w:h="16838" w:orient="portrait"/>
          <w:cols w:equalWidth="0" w:num="1">
            <w:col w:w="9039"/>
          </w:cols>
          <w:pgMar w:left="1420" w:top="1164" w:right="1440" w:bottom="0" w:gutter="0" w:footer="0" w:header="0"/>
        </w:sectPr>
      </w:pP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256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8"/>
          <w:szCs w:val="28"/>
          <w:b w:val="1"/>
          <w:bCs w:val="1"/>
          <w:color w:val="auto"/>
        </w:rPr>
        <w:t xml:space="preserve"> COMPENSATION DETERMINATION PROCESS</w:t>
      </w:r>
    </w:p>
    <w:p>
      <w:pPr>
        <w:sectPr>
          <w:pgSz w:w="11900" w:h="16838" w:orient="portrait"/>
          <w:cols w:equalWidth="0" w:num="1">
            <w:col w:w="9039"/>
          </w:cols>
          <w:pgMar w:left="1420" w:top="1164" w:right="1440" w:bottom="0" w:gutter="0" w:footer="0" w:header="0"/>
          <w:type w:val="continuous"/>
        </w:sectPr>
      </w:pPr>
    </w:p>
    <w:bookmarkStart w:id="69" w:name="page70"/>
    <w:bookmarkEnd w:id="69"/>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511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10375" cy="751141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582C83"/>
        </w:rPr>
        <w:t>PEER GROUPS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Peer Groups</w:t>
      </w:r>
    </w:p>
    <w:p>
      <w:pPr>
        <w:spacing w:after="0" w:line="114" w:lineRule="exact"/>
        <w:rPr>
          <w:sz w:val="20"/>
          <w:szCs w:val="20"/>
          <w:color w:val="auto"/>
        </w:rPr>
      </w:pPr>
    </w:p>
    <w:p>
      <w:pPr>
        <w:ind w:right="180"/>
        <w:spacing w:after="0" w:line="317" w:lineRule="auto"/>
        <w:rPr>
          <w:sz w:val="20"/>
          <w:szCs w:val="20"/>
          <w:color w:val="auto"/>
        </w:rPr>
      </w:pPr>
      <w:r>
        <w:rPr>
          <w:rFonts w:ascii="Arial" w:cs="Arial" w:eastAsia="Arial" w:hAnsi="Arial"/>
          <w:sz w:val="17"/>
          <w:szCs w:val="17"/>
          <w:color w:val="auto"/>
        </w:rPr>
        <w:t>The PCC uses two different groups of peer companies: one to benchmark executive compensation, market practices, and compensation design and one to assess relative performance.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Survey Peer Group</w:t>
      </w:r>
    </w:p>
    <w:p>
      <w:pPr>
        <w:spacing w:after="0" w:line="114"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The PCC reviews compensation data from a comparator group of companies as one reference point when making compensation decisions for all executive pay, including CEO pay and when benchmarking compensation plan designs. Aon Hewitt (“Aon”) provides aggregate pay level benchmarking data from our Compensation Survey Peer Group for each NEO role and for all elements of compensation, including salary, target bonus, total target cash, LTI, and total target pay. In addition, the PCC may consider Aon benchmarking data from a broader set of companies. Then, at the request of the PCC, the Committee’s consultant, Semler Brossy, reviews and evaluates the Aon data. Separately, market data for the CEO is reviewed independently of the Aon data. Other factors considered in NEO compensation decisions include individual performance, responsibilities, leadership, years of experience, expertise, company performance, and long-term growth potential.</w:t>
      </w:r>
    </w:p>
    <w:p>
      <w:pPr>
        <w:spacing w:after="0" w:line="89"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We routinely review the selection criteria and companies in our Compensation Survey Peer Group. In 2025, the PCC evaluated and approved maintaining the same Compensation Survey Peer Group as 2024, except that Kellanova was removed due to the previously announced acquisition of Kellanova by Mars Inc., a private company which is not a member of our Compensation Survey Peer Group. The following table shows our criteria for choosing the Compensation Survey Peer Group and how it is used.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How the Peer Group Was Chosen</w:t>
            </w:r>
          </w:p>
        </w:tc>
        <w:tc>
          <w:tcPr>
            <w:tcW w:w="2780" w:type="dxa"/>
            <w:vAlign w:val="bottom"/>
            <w:shd w:val="clear" w:color="auto" w:fill="E0DBEA"/>
          </w:tcPr>
          <w:p>
            <w:pPr>
              <w:ind w:left="40"/>
              <w:spacing w:after="0"/>
              <w:rPr>
                <w:sz w:val="20"/>
                <w:szCs w:val="20"/>
                <w:color w:val="auto"/>
              </w:rPr>
            </w:pPr>
            <w:r>
              <w:rPr>
                <w:rFonts w:ascii="Arial" w:cs="Arial" w:eastAsia="Arial" w:hAnsi="Arial"/>
                <w:sz w:val="14"/>
                <w:szCs w:val="14"/>
                <w:b w:val="1"/>
                <w:bCs w:val="1"/>
                <w:color w:val="auto"/>
              </w:rPr>
              <w:t>Compensation Survey Peer Group</w:t>
            </w:r>
            <w:r>
              <w:rPr>
                <w:rFonts w:ascii="Arial" w:cs="Arial" w:eastAsia="Arial" w:hAnsi="Arial"/>
                <w:sz w:val="18"/>
                <w:szCs w:val="18"/>
                <w:b w:val="1"/>
                <w:bCs w:val="1"/>
                <w:color w:val="auto"/>
                <w:vertAlign w:val="superscript"/>
              </w:rPr>
              <w:t>(1)</w:t>
            </w:r>
          </w:p>
        </w:tc>
        <w:tc>
          <w:tcPr>
            <w:tcW w:w="3240" w:type="dxa"/>
            <w:vAlign w:val="bottom"/>
            <w:shd w:val="clear" w:color="auto" w:fill="E0DBEA"/>
          </w:tcPr>
          <w:p>
            <w:pPr>
              <w:ind w:left="280"/>
              <w:spacing w:after="0"/>
              <w:rPr>
                <w:sz w:val="20"/>
                <w:szCs w:val="20"/>
                <w:color w:val="auto"/>
              </w:rPr>
            </w:pPr>
            <w:r>
              <w:rPr>
                <w:rFonts w:ascii="Arial" w:cs="Arial" w:eastAsia="Arial" w:hAnsi="Arial"/>
                <w:sz w:val="14"/>
                <w:szCs w:val="14"/>
                <w:b w:val="1"/>
                <w:bCs w:val="1"/>
                <w:color w:val="auto"/>
              </w:rPr>
              <w:t>How We Use the Peer Group</w:t>
            </w:r>
          </w:p>
        </w:tc>
      </w:tr>
      <w:tr>
        <w:trPr>
          <w:trHeight w:val="48"/>
        </w:trPr>
        <w:tc>
          <w:tcPr>
            <w:tcW w:w="3020" w:type="dxa"/>
            <w:vAlign w:val="bottom"/>
            <w:tcBorders>
              <w:bottom w:val="single" w:sz="8" w:color="582C83"/>
            </w:tcBorders>
          </w:tcPr>
          <w:p>
            <w:pPr>
              <w:spacing w:after="0"/>
              <w:rPr>
                <w:sz w:val="4"/>
                <w:szCs w:val="4"/>
                <w:color w:val="auto"/>
              </w:rPr>
            </w:pPr>
          </w:p>
        </w:tc>
        <w:tc>
          <w:tcPr>
            <w:tcW w:w="2780" w:type="dxa"/>
            <w:vAlign w:val="bottom"/>
            <w:tcBorders>
              <w:bottom w:val="single" w:sz="8" w:color="582C83"/>
            </w:tcBorders>
          </w:tcPr>
          <w:p>
            <w:pPr>
              <w:spacing w:after="0"/>
              <w:rPr>
                <w:sz w:val="4"/>
                <w:szCs w:val="4"/>
                <w:color w:val="auto"/>
              </w:rPr>
            </w:pPr>
          </w:p>
        </w:tc>
        <w:tc>
          <w:tcPr>
            <w:tcW w:w="3240" w:type="dxa"/>
            <w:vAlign w:val="bottom"/>
            <w:tcBorders>
              <w:bottom w:val="single" w:sz="8" w:color="582C83"/>
            </w:tcBorders>
          </w:tcPr>
          <w:p>
            <w:pPr>
              <w:spacing w:after="0"/>
              <w:rPr>
                <w:sz w:val="4"/>
                <w:szCs w:val="4"/>
                <w:color w:val="auto"/>
              </w:rPr>
            </w:pPr>
          </w:p>
        </w:tc>
      </w:tr>
    </w:tbl>
    <w:p>
      <w:pPr>
        <w:spacing w:after="0" w:line="72" w:lineRule="exact"/>
        <w:rPr>
          <w:sz w:val="20"/>
          <w:szCs w:val="20"/>
          <w:color w:val="auto"/>
        </w:rPr>
      </w:pPr>
    </w:p>
    <w:p>
      <w:pPr>
        <w:sectPr>
          <w:pgSz w:w="11900" w:h="16886" w:orient="portrait"/>
          <w:cols w:equalWidth="0" w:num="1">
            <w:col w:w="9040"/>
          </w:cols>
          <w:pgMar w:left="1420" w:top="300" w:right="1439" w:bottom="0" w:gutter="0" w:footer="0" w:header="0"/>
        </w:sectPr>
      </w:pPr>
    </w:p>
    <w:p>
      <w:pPr>
        <w:ind w:left="200" w:hanging="132"/>
        <w:spacing w:after="0" w:line="301" w:lineRule="auto"/>
        <w:tabs>
          <w:tab w:leader="none" w:pos="200" w:val="left"/>
        </w:tabs>
        <w:numPr>
          <w:ilvl w:val="0"/>
          <w:numId w:val="87"/>
        </w:numPr>
        <w:rPr>
          <w:rFonts w:ascii="Arial" w:cs="Arial" w:eastAsia="Arial" w:hAnsi="Arial"/>
          <w:sz w:val="14"/>
          <w:szCs w:val="14"/>
          <w:color w:val="582C83"/>
        </w:rPr>
      </w:pPr>
      <w:r>
        <w:rPr>
          <w:rFonts w:ascii="Arial" w:cs="Arial" w:eastAsia="Arial" w:hAnsi="Arial"/>
          <w:sz w:val="14"/>
          <w:szCs w:val="14"/>
          <w:color w:val="auto"/>
        </w:rPr>
        <w:t>Comparable size (0.5x-2.5x) based on net revenue and market capitalization</w:t>
      </w:r>
    </w:p>
    <w:p>
      <w:pPr>
        <w:spacing w:after="0" w:line="1" w:lineRule="exact"/>
        <w:rPr>
          <w:rFonts w:ascii="Arial" w:cs="Arial" w:eastAsia="Arial" w:hAnsi="Arial"/>
          <w:sz w:val="14"/>
          <w:szCs w:val="14"/>
          <w:color w:val="582C83"/>
        </w:rPr>
      </w:pPr>
    </w:p>
    <w:p>
      <w:pPr>
        <w:jc w:val="both"/>
        <w:ind w:left="200" w:right="80" w:hanging="132"/>
        <w:spacing w:after="0" w:line="301" w:lineRule="auto"/>
        <w:tabs>
          <w:tab w:leader="none" w:pos="200" w:val="left"/>
        </w:tabs>
        <w:numPr>
          <w:ilvl w:val="0"/>
          <w:numId w:val="87"/>
        </w:numPr>
        <w:rPr>
          <w:rFonts w:ascii="Arial" w:cs="Arial" w:eastAsia="Arial" w:hAnsi="Arial"/>
          <w:sz w:val="14"/>
          <w:szCs w:val="14"/>
          <w:color w:val="582C83"/>
        </w:rPr>
      </w:pPr>
      <w:r>
        <w:rPr>
          <w:rFonts w:ascii="Arial" w:cs="Arial" w:eastAsia="Arial" w:hAnsi="Arial"/>
          <w:sz w:val="14"/>
          <w:szCs w:val="14"/>
          <w:color w:val="auto"/>
        </w:rPr>
        <w:t>Considerable global presence with sales and operations outside the United States</w:t>
      </w:r>
    </w:p>
    <w:p>
      <w:pPr>
        <w:spacing w:after="0" w:line="1" w:lineRule="exact"/>
        <w:rPr>
          <w:rFonts w:ascii="Arial" w:cs="Arial" w:eastAsia="Arial" w:hAnsi="Arial"/>
          <w:sz w:val="14"/>
          <w:szCs w:val="14"/>
          <w:color w:val="582C83"/>
        </w:rPr>
      </w:pPr>
    </w:p>
    <w:p>
      <w:pPr>
        <w:ind w:left="200" w:hanging="132"/>
        <w:spacing w:after="0"/>
        <w:tabs>
          <w:tab w:leader="none" w:pos="200" w:val="left"/>
        </w:tabs>
        <w:numPr>
          <w:ilvl w:val="0"/>
          <w:numId w:val="87"/>
        </w:numPr>
        <w:rPr>
          <w:rFonts w:ascii="Arial" w:cs="Arial" w:eastAsia="Arial" w:hAnsi="Arial"/>
          <w:sz w:val="14"/>
          <w:szCs w:val="14"/>
          <w:color w:val="582C83"/>
        </w:rPr>
      </w:pPr>
      <w:r>
        <w:rPr>
          <w:rFonts w:ascii="Arial" w:cs="Arial" w:eastAsia="Arial" w:hAnsi="Arial"/>
          <w:sz w:val="14"/>
          <w:szCs w:val="14"/>
          <w:color w:val="auto"/>
        </w:rPr>
        <w:t>Primarily consumer facing</w:t>
      </w:r>
    </w:p>
    <w:p>
      <w:pPr>
        <w:spacing w:after="0" w:line="68" w:lineRule="exact"/>
        <w:rPr>
          <w:rFonts w:ascii="Arial" w:cs="Arial" w:eastAsia="Arial" w:hAnsi="Arial"/>
          <w:sz w:val="14"/>
          <w:szCs w:val="14"/>
          <w:color w:val="582C83"/>
        </w:rPr>
      </w:pPr>
    </w:p>
    <w:p>
      <w:pPr>
        <w:ind w:left="200" w:hanging="132"/>
        <w:spacing w:after="0"/>
        <w:tabs>
          <w:tab w:leader="none" w:pos="200" w:val="left"/>
        </w:tabs>
        <w:numPr>
          <w:ilvl w:val="0"/>
          <w:numId w:val="87"/>
        </w:numPr>
        <w:rPr>
          <w:rFonts w:ascii="Arial" w:cs="Arial" w:eastAsia="Arial" w:hAnsi="Arial"/>
          <w:sz w:val="14"/>
          <w:szCs w:val="14"/>
          <w:color w:val="582C83"/>
        </w:rPr>
      </w:pPr>
      <w:r>
        <w:rPr>
          <w:rFonts w:ascii="Arial" w:cs="Arial" w:eastAsia="Arial" w:hAnsi="Arial"/>
          <w:sz w:val="14"/>
          <w:szCs w:val="14"/>
          <w:color w:val="auto"/>
        </w:rPr>
        <w:t>Market-leading brands</w:t>
      </w:r>
    </w:p>
    <w:p>
      <w:pPr>
        <w:spacing w:after="0" w:line="55" w:lineRule="exact"/>
        <w:rPr>
          <w:rFonts w:ascii="Arial" w:cs="Arial" w:eastAsia="Arial" w:hAnsi="Arial"/>
          <w:sz w:val="14"/>
          <w:szCs w:val="14"/>
          <w:color w:val="582C83"/>
        </w:rPr>
      </w:pPr>
    </w:p>
    <w:p>
      <w:pPr>
        <w:ind w:left="200" w:hanging="132"/>
        <w:spacing w:after="0"/>
        <w:tabs>
          <w:tab w:leader="none" w:pos="200" w:val="left"/>
        </w:tabs>
        <w:numPr>
          <w:ilvl w:val="0"/>
          <w:numId w:val="87"/>
        </w:numPr>
        <w:rPr>
          <w:rFonts w:ascii="Arial" w:cs="Arial" w:eastAsia="Arial" w:hAnsi="Arial"/>
          <w:sz w:val="14"/>
          <w:szCs w:val="14"/>
          <w:color w:val="582C83"/>
        </w:rPr>
      </w:pPr>
      <w:r>
        <w:rPr>
          <w:rFonts w:ascii="Arial" w:cs="Arial" w:eastAsia="Arial" w:hAnsi="Arial"/>
          <w:sz w:val="14"/>
          <w:szCs w:val="14"/>
          <w:color w:val="auto"/>
        </w:rPr>
        <w:t>Incorporated in the United States</w:t>
      </w:r>
    </w:p>
    <w:p>
      <w:pPr>
        <w:spacing w:after="0" w:line="68" w:lineRule="exact"/>
        <w:rPr>
          <w:rFonts w:ascii="Arial" w:cs="Arial" w:eastAsia="Arial" w:hAnsi="Arial"/>
          <w:sz w:val="14"/>
          <w:szCs w:val="14"/>
          <w:color w:val="582C83"/>
        </w:rPr>
      </w:pPr>
    </w:p>
    <w:p>
      <w:pPr>
        <w:ind w:left="200" w:hanging="132"/>
        <w:spacing w:after="0"/>
        <w:tabs>
          <w:tab w:leader="none" w:pos="200" w:val="left"/>
        </w:tabs>
        <w:numPr>
          <w:ilvl w:val="0"/>
          <w:numId w:val="87"/>
        </w:numPr>
        <w:rPr>
          <w:rFonts w:ascii="Arial" w:cs="Arial" w:eastAsia="Arial" w:hAnsi="Arial"/>
          <w:sz w:val="14"/>
          <w:szCs w:val="14"/>
          <w:color w:val="582C83"/>
        </w:rPr>
      </w:pPr>
      <w:r>
        <w:rPr>
          <w:rFonts w:ascii="Arial" w:cs="Arial" w:eastAsia="Arial" w:hAnsi="Arial"/>
          <w:sz w:val="14"/>
          <w:szCs w:val="14"/>
          <w:color w:val="auto"/>
        </w:rPr>
        <w:t>Non-controlled company structure</w:t>
      </w:r>
    </w:p>
    <w:p>
      <w:pPr>
        <w:spacing w:after="0" w:line="20" w:lineRule="exact"/>
        <w:rPr>
          <w:sz w:val="20"/>
          <w:szCs w:val="20"/>
          <w:color w:val="auto"/>
        </w:rPr>
      </w:pPr>
      <w:r>
        <w:rPr>
          <w:sz w:val="20"/>
          <w:szCs w:val="20"/>
          <w:color w:val="auto"/>
        </w:rPr>
        <w:br w:type="column"/>
      </w:r>
    </w:p>
    <w:p>
      <w:pPr>
        <w:ind w:left="135" w:hanging="135"/>
        <w:spacing w:after="0"/>
        <w:tabs>
          <w:tab w:leader="none" w:pos="135" w:val="left"/>
        </w:tabs>
        <w:numPr>
          <w:ilvl w:val="0"/>
          <w:numId w:val="88"/>
        </w:numPr>
        <w:rPr>
          <w:rFonts w:ascii="Arial" w:cs="Arial" w:eastAsia="Arial" w:hAnsi="Arial"/>
          <w:sz w:val="14"/>
          <w:szCs w:val="14"/>
          <w:color w:val="582C83"/>
        </w:rPr>
      </w:pPr>
      <w:r>
        <w:rPr>
          <w:rFonts w:ascii="Arial" w:cs="Arial" w:eastAsia="Arial" w:hAnsi="Arial"/>
          <w:sz w:val="14"/>
          <w:szCs w:val="14"/>
          <w:color w:val="auto"/>
        </w:rPr>
        <w:t>3M Company</w:t>
      </w:r>
    </w:p>
    <w:p>
      <w:pPr>
        <w:spacing w:after="0" w:line="55" w:lineRule="exact"/>
        <w:rPr>
          <w:rFonts w:ascii="Arial" w:cs="Arial" w:eastAsia="Arial" w:hAnsi="Arial"/>
          <w:sz w:val="14"/>
          <w:szCs w:val="14"/>
          <w:color w:val="582C83"/>
        </w:rPr>
      </w:pPr>
    </w:p>
    <w:p>
      <w:pPr>
        <w:ind w:left="135" w:hanging="135"/>
        <w:spacing w:after="0"/>
        <w:tabs>
          <w:tab w:leader="none" w:pos="135" w:val="left"/>
        </w:tabs>
        <w:numPr>
          <w:ilvl w:val="0"/>
          <w:numId w:val="88"/>
        </w:numPr>
        <w:rPr>
          <w:rFonts w:ascii="Arial" w:cs="Arial" w:eastAsia="Arial" w:hAnsi="Arial"/>
          <w:sz w:val="14"/>
          <w:szCs w:val="14"/>
          <w:color w:val="582C83"/>
        </w:rPr>
      </w:pPr>
      <w:r>
        <w:rPr>
          <w:rFonts w:ascii="Arial" w:cs="Arial" w:eastAsia="Arial" w:hAnsi="Arial"/>
          <w:sz w:val="14"/>
          <w:szCs w:val="14"/>
          <w:b w:val="1"/>
          <w:bCs w:val="1"/>
          <w:color w:val="auto"/>
        </w:rPr>
        <w:t>The Coca-Cola Company</w:t>
      </w:r>
    </w:p>
    <w:p>
      <w:pPr>
        <w:spacing w:after="0" w:line="68" w:lineRule="exact"/>
        <w:rPr>
          <w:rFonts w:ascii="Arial" w:cs="Arial" w:eastAsia="Arial" w:hAnsi="Arial"/>
          <w:sz w:val="14"/>
          <w:szCs w:val="14"/>
          <w:color w:val="582C83"/>
        </w:rPr>
      </w:pPr>
    </w:p>
    <w:p>
      <w:pPr>
        <w:ind w:left="135" w:hanging="135"/>
        <w:spacing w:after="0"/>
        <w:tabs>
          <w:tab w:leader="none" w:pos="135" w:val="left"/>
        </w:tabs>
        <w:numPr>
          <w:ilvl w:val="0"/>
          <w:numId w:val="88"/>
        </w:numPr>
        <w:rPr>
          <w:rFonts w:ascii="Arial" w:cs="Arial" w:eastAsia="Arial" w:hAnsi="Arial"/>
          <w:sz w:val="14"/>
          <w:szCs w:val="14"/>
          <w:color w:val="582C83"/>
        </w:rPr>
      </w:pPr>
      <w:r>
        <w:rPr>
          <w:rFonts w:ascii="Arial" w:cs="Arial" w:eastAsia="Arial" w:hAnsi="Arial"/>
          <w:sz w:val="14"/>
          <w:szCs w:val="14"/>
          <w:b w:val="1"/>
          <w:bCs w:val="1"/>
          <w:color w:val="auto"/>
        </w:rPr>
        <w:t>Colgate-Palmolive Company</w:t>
      </w:r>
    </w:p>
    <w:p>
      <w:pPr>
        <w:spacing w:after="0" w:line="39" w:lineRule="exact"/>
        <w:rPr>
          <w:rFonts w:ascii="Arial" w:cs="Arial" w:eastAsia="Arial" w:hAnsi="Arial"/>
          <w:sz w:val="14"/>
          <w:szCs w:val="14"/>
          <w:color w:val="582C83"/>
        </w:rPr>
      </w:pPr>
    </w:p>
    <w:p>
      <w:pPr>
        <w:ind w:left="135" w:hanging="135"/>
        <w:spacing w:after="0"/>
        <w:tabs>
          <w:tab w:leader="none" w:pos="135" w:val="left"/>
        </w:tabs>
        <w:numPr>
          <w:ilvl w:val="0"/>
          <w:numId w:val="88"/>
        </w:numPr>
        <w:rPr>
          <w:rFonts w:ascii="Arial" w:cs="Arial" w:eastAsia="Arial" w:hAnsi="Arial"/>
          <w:sz w:val="14"/>
          <w:szCs w:val="14"/>
          <w:color w:val="582C83"/>
        </w:rPr>
      </w:pPr>
      <w:r>
        <w:rPr>
          <w:rFonts w:ascii="Arial" w:cs="Arial" w:eastAsia="Arial" w:hAnsi="Arial"/>
          <w:sz w:val="14"/>
          <w:szCs w:val="14"/>
          <w:color w:val="auto"/>
        </w:rPr>
        <w:t>The Estee Lauder Companies Inc.</w:t>
      </w:r>
      <w:r>
        <w:rPr>
          <w:rFonts w:ascii="Arial" w:cs="Arial" w:eastAsia="Arial" w:hAnsi="Arial"/>
          <w:sz w:val="18"/>
          <w:szCs w:val="18"/>
          <w:color w:val="auto"/>
          <w:vertAlign w:val="superscript"/>
        </w:rPr>
        <w:t>(2)</w:t>
      </w:r>
    </w:p>
    <w:p>
      <w:pPr>
        <w:spacing w:after="0" w:line="42" w:lineRule="exact"/>
        <w:rPr>
          <w:rFonts w:ascii="Arial" w:cs="Arial" w:eastAsia="Arial" w:hAnsi="Arial"/>
          <w:sz w:val="14"/>
          <w:szCs w:val="14"/>
          <w:color w:val="582C83"/>
        </w:rPr>
      </w:pPr>
    </w:p>
    <w:p>
      <w:pPr>
        <w:ind w:left="135" w:hanging="135"/>
        <w:spacing w:after="0"/>
        <w:tabs>
          <w:tab w:leader="none" w:pos="135" w:val="left"/>
        </w:tabs>
        <w:numPr>
          <w:ilvl w:val="0"/>
          <w:numId w:val="88"/>
        </w:numPr>
        <w:rPr>
          <w:rFonts w:ascii="Arial" w:cs="Arial" w:eastAsia="Arial" w:hAnsi="Arial"/>
          <w:sz w:val="14"/>
          <w:szCs w:val="14"/>
          <w:color w:val="582C83"/>
        </w:rPr>
      </w:pPr>
      <w:r>
        <w:rPr>
          <w:rFonts w:ascii="Arial" w:cs="Arial" w:eastAsia="Arial" w:hAnsi="Arial"/>
          <w:sz w:val="14"/>
          <w:szCs w:val="14"/>
          <w:b w:val="1"/>
          <w:bCs w:val="1"/>
          <w:color w:val="auto"/>
        </w:rPr>
        <w:t>General Mills Inc.</w:t>
      </w:r>
    </w:p>
    <w:p>
      <w:pPr>
        <w:spacing w:after="0" w:line="50" w:lineRule="exact"/>
        <w:rPr>
          <w:rFonts w:ascii="Arial" w:cs="Arial" w:eastAsia="Arial" w:hAnsi="Arial"/>
          <w:sz w:val="14"/>
          <w:szCs w:val="14"/>
          <w:color w:val="582C83"/>
        </w:rPr>
      </w:pPr>
    </w:p>
    <w:p>
      <w:pPr>
        <w:ind w:left="135" w:hanging="135"/>
        <w:spacing w:after="0"/>
        <w:tabs>
          <w:tab w:leader="none" w:pos="135" w:val="left"/>
        </w:tabs>
        <w:numPr>
          <w:ilvl w:val="0"/>
          <w:numId w:val="88"/>
        </w:numPr>
        <w:rPr>
          <w:rFonts w:ascii="Arial" w:cs="Arial" w:eastAsia="Arial" w:hAnsi="Arial"/>
          <w:sz w:val="14"/>
          <w:szCs w:val="14"/>
          <w:color w:val="582C83"/>
        </w:rPr>
      </w:pPr>
      <w:r>
        <w:rPr>
          <w:rFonts w:ascii="Arial" w:cs="Arial" w:eastAsia="Arial" w:hAnsi="Arial"/>
          <w:sz w:val="14"/>
          <w:szCs w:val="14"/>
          <w:color w:val="auto"/>
        </w:rPr>
        <w:t>Johnson &amp; Johnson</w:t>
      </w:r>
    </w:p>
    <w:p>
      <w:pPr>
        <w:spacing w:after="0" w:line="68" w:lineRule="exact"/>
        <w:rPr>
          <w:rFonts w:ascii="Arial" w:cs="Arial" w:eastAsia="Arial" w:hAnsi="Arial"/>
          <w:sz w:val="14"/>
          <w:szCs w:val="14"/>
          <w:color w:val="582C83"/>
        </w:rPr>
      </w:pPr>
    </w:p>
    <w:p>
      <w:pPr>
        <w:ind w:left="135" w:hanging="135"/>
        <w:spacing w:after="0"/>
        <w:tabs>
          <w:tab w:leader="none" w:pos="135" w:val="left"/>
        </w:tabs>
        <w:numPr>
          <w:ilvl w:val="0"/>
          <w:numId w:val="88"/>
        </w:numPr>
        <w:rPr>
          <w:rFonts w:ascii="Arial" w:cs="Arial" w:eastAsia="Arial" w:hAnsi="Arial"/>
          <w:sz w:val="14"/>
          <w:szCs w:val="14"/>
          <w:color w:val="582C83"/>
        </w:rPr>
      </w:pPr>
      <w:r>
        <w:rPr>
          <w:rFonts w:ascii="Arial" w:cs="Arial" w:eastAsia="Arial" w:hAnsi="Arial"/>
          <w:sz w:val="14"/>
          <w:szCs w:val="14"/>
          <w:b w:val="1"/>
          <w:bCs w:val="1"/>
          <w:color w:val="auto"/>
        </w:rPr>
        <w:t>The Kraft Heinz Company</w:t>
      </w:r>
    </w:p>
    <w:p>
      <w:pPr>
        <w:spacing w:after="0" w:line="55" w:lineRule="exact"/>
        <w:rPr>
          <w:rFonts w:ascii="Arial" w:cs="Arial" w:eastAsia="Arial" w:hAnsi="Arial"/>
          <w:sz w:val="14"/>
          <w:szCs w:val="14"/>
          <w:color w:val="582C83"/>
        </w:rPr>
      </w:pPr>
    </w:p>
    <w:p>
      <w:pPr>
        <w:ind w:left="135" w:hanging="135"/>
        <w:spacing w:after="0"/>
        <w:tabs>
          <w:tab w:leader="none" w:pos="135" w:val="left"/>
        </w:tabs>
        <w:numPr>
          <w:ilvl w:val="0"/>
          <w:numId w:val="88"/>
        </w:numPr>
        <w:rPr>
          <w:rFonts w:ascii="Arial" w:cs="Arial" w:eastAsia="Arial" w:hAnsi="Arial"/>
          <w:sz w:val="14"/>
          <w:szCs w:val="14"/>
          <w:color w:val="582C83"/>
        </w:rPr>
      </w:pPr>
      <w:r>
        <w:rPr>
          <w:rFonts w:ascii="Arial" w:cs="Arial" w:eastAsia="Arial" w:hAnsi="Arial"/>
          <w:sz w:val="14"/>
          <w:szCs w:val="14"/>
          <w:color w:val="auto"/>
        </w:rPr>
        <w:t>Kimberly-Clark Corporation</w:t>
      </w:r>
    </w:p>
    <w:p>
      <w:pPr>
        <w:spacing w:after="0" w:line="68" w:lineRule="exact"/>
        <w:rPr>
          <w:rFonts w:ascii="Arial" w:cs="Arial" w:eastAsia="Arial" w:hAnsi="Arial"/>
          <w:sz w:val="14"/>
          <w:szCs w:val="14"/>
          <w:color w:val="582C83"/>
        </w:rPr>
      </w:pPr>
    </w:p>
    <w:p>
      <w:pPr>
        <w:ind w:left="135" w:hanging="135"/>
        <w:spacing w:after="0"/>
        <w:tabs>
          <w:tab w:leader="none" w:pos="135" w:val="left"/>
        </w:tabs>
        <w:numPr>
          <w:ilvl w:val="0"/>
          <w:numId w:val="88"/>
        </w:numPr>
        <w:rPr>
          <w:rFonts w:ascii="Arial" w:cs="Arial" w:eastAsia="Arial" w:hAnsi="Arial"/>
          <w:sz w:val="14"/>
          <w:szCs w:val="14"/>
          <w:color w:val="582C83"/>
        </w:rPr>
      </w:pPr>
      <w:r>
        <w:rPr>
          <w:rFonts w:ascii="Arial" w:cs="Arial" w:eastAsia="Arial" w:hAnsi="Arial"/>
          <w:sz w:val="14"/>
          <w:szCs w:val="14"/>
          <w:color w:val="auto"/>
        </w:rPr>
        <w:t>McDonald’s Corporation</w:t>
      </w:r>
    </w:p>
    <w:p>
      <w:pPr>
        <w:spacing w:after="0" w:line="55" w:lineRule="exact"/>
        <w:rPr>
          <w:rFonts w:ascii="Arial" w:cs="Arial" w:eastAsia="Arial" w:hAnsi="Arial"/>
          <w:sz w:val="14"/>
          <w:szCs w:val="14"/>
          <w:color w:val="582C83"/>
        </w:rPr>
      </w:pPr>
    </w:p>
    <w:p>
      <w:pPr>
        <w:ind w:left="135" w:hanging="135"/>
        <w:spacing w:after="0"/>
        <w:tabs>
          <w:tab w:leader="none" w:pos="135" w:val="left"/>
        </w:tabs>
        <w:numPr>
          <w:ilvl w:val="0"/>
          <w:numId w:val="88"/>
        </w:numPr>
        <w:rPr>
          <w:rFonts w:ascii="Arial" w:cs="Arial" w:eastAsia="Arial" w:hAnsi="Arial"/>
          <w:sz w:val="14"/>
          <w:szCs w:val="14"/>
          <w:color w:val="582C83"/>
        </w:rPr>
      </w:pPr>
      <w:r>
        <w:rPr>
          <w:rFonts w:ascii="Arial" w:cs="Arial" w:eastAsia="Arial" w:hAnsi="Arial"/>
          <w:sz w:val="14"/>
          <w:szCs w:val="14"/>
          <w:color w:val="auto"/>
        </w:rPr>
        <w:t>Nike, Inc.</w:t>
      </w:r>
    </w:p>
    <w:p>
      <w:pPr>
        <w:spacing w:after="0" w:line="68" w:lineRule="exact"/>
        <w:rPr>
          <w:rFonts w:ascii="Arial" w:cs="Arial" w:eastAsia="Arial" w:hAnsi="Arial"/>
          <w:sz w:val="14"/>
          <w:szCs w:val="14"/>
          <w:color w:val="582C83"/>
        </w:rPr>
      </w:pPr>
    </w:p>
    <w:p>
      <w:pPr>
        <w:ind w:left="135" w:hanging="135"/>
        <w:spacing w:after="0"/>
        <w:tabs>
          <w:tab w:leader="none" w:pos="135" w:val="left"/>
        </w:tabs>
        <w:numPr>
          <w:ilvl w:val="0"/>
          <w:numId w:val="88"/>
        </w:numPr>
        <w:rPr>
          <w:rFonts w:ascii="Arial" w:cs="Arial" w:eastAsia="Arial" w:hAnsi="Arial"/>
          <w:sz w:val="14"/>
          <w:szCs w:val="14"/>
          <w:color w:val="582C83"/>
        </w:rPr>
      </w:pPr>
      <w:r>
        <w:rPr>
          <w:rFonts w:ascii="Arial" w:cs="Arial" w:eastAsia="Arial" w:hAnsi="Arial"/>
          <w:sz w:val="14"/>
          <w:szCs w:val="14"/>
          <w:b w:val="1"/>
          <w:bCs w:val="1"/>
          <w:color w:val="auto"/>
        </w:rPr>
        <w:t>PepsiCo, Inc.</w:t>
      </w:r>
    </w:p>
    <w:p>
      <w:pPr>
        <w:spacing w:after="0" w:line="55" w:lineRule="exact"/>
        <w:rPr>
          <w:rFonts w:ascii="Arial" w:cs="Arial" w:eastAsia="Arial" w:hAnsi="Arial"/>
          <w:sz w:val="14"/>
          <w:szCs w:val="14"/>
          <w:color w:val="582C83"/>
        </w:rPr>
      </w:pPr>
    </w:p>
    <w:p>
      <w:pPr>
        <w:ind w:left="135" w:hanging="135"/>
        <w:spacing w:after="0"/>
        <w:tabs>
          <w:tab w:leader="none" w:pos="135" w:val="left"/>
        </w:tabs>
        <w:numPr>
          <w:ilvl w:val="0"/>
          <w:numId w:val="88"/>
        </w:numPr>
        <w:rPr>
          <w:rFonts w:ascii="Arial" w:cs="Arial" w:eastAsia="Arial" w:hAnsi="Arial"/>
          <w:sz w:val="14"/>
          <w:szCs w:val="14"/>
          <w:color w:val="582C83"/>
        </w:rPr>
      </w:pPr>
      <w:r>
        <w:rPr>
          <w:rFonts w:ascii="Arial" w:cs="Arial" w:eastAsia="Arial" w:hAnsi="Arial"/>
          <w:sz w:val="14"/>
          <w:szCs w:val="14"/>
          <w:color w:val="auto"/>
        </w:rPr>
        <w:t>Philip Morris International, Inc.</w:t>
      </w:r>
    </w:p>
    <w:p>
      <w:pPr>
        <w:spacing w:after="0" w:line="68" w:lineRule="exact"/>
        <w:rPr>
          <w:rFonts w:ascii="Arial" w:cs="Arial" w:eastAsia="Arial" w:hAnsi="Arial"/>
          <w:sz w:val="14"/>
          <w:szCs w:val="14"/>
          <w:color w:val="582C83"/>
        </w:rPr>
      </w:pPr>
    </w:p>
    <w:p>
      <w:pPr>
        <w:ind w:left="135" w:hanging="135"/>
        <w:spacing w:after="0"/>
        <w:tabs>
          <w:tab w:leader="none" w:pos="135" w:val="left"/>
        </w:tabs>
        <w:numPr>
          <w:ilvl w:val="0"/>
          <w:numId w:val="88"/>
        </w:numPr>
        <w:rPr>
          <w:rFonts w:ascii="Arial" w:cs="Arial" w:eastAsia="Arial" w:hAnsi="Arial"/>
          <w:sz w:val="14"/>
          <w:szCs w:val="14"/>
          <w:color w:val="582C83"/>
        </w:rPr>
      </w:pPr>
      <w:r>
        <w:rPr>
          <w:rFonts w:ascii="Arial" w:cs="Arial" w:eastAsia="Arial" w:hAnsi="Arial"/>
          <w:sz w:val="14"/>
          <w:szCs w:val="14"/>
          <w:b w:val="1"/>
          <w:bCs w:val="1"/>
          <w:color w:val="auto"/>
        </w:rPr>
        <w:t>The Procter &amp; Gamble Company</w:t>
      </w:r>
    </w:p>
    <w:p>
      <w:pPr>
        <w:spacing w:after="0" w:line="55" w:lineRule="exact"/>
        <w:rPr>
          <w:rFonts w:ascii="Arial" w:cs="Arial" w:eastAsia="Arial" w:hAnsi="Arial"/>
          <w:sz w:val="14"/>
          <w:szCs w:val="14"/>
          <w:color w:val="582C83"/>
        </w:rPr>
      </w:pPr>
    </w:p>
    <w:p>
      <w:pPr>
        <w:ind w:left="135" w:hanging="135"/>
        <w:spacing w:after="0"/>
        <w:tabs>
          <w:tab w:leader="none" w:pos="135" w:val="left"/>
        </w:tabs>
        <w:numPr>
          <w:ilvl w:val="0"/>
          <w:numId w:val="88"/>
        </w:numPr>
        <w:rPr>
          <w:rFonts w:ascii="Arial" w:cs="Arial" w:eastAsia="Arial" w:hAnsi="Arial"/>
          <w:sz w:val="14"/>
          <w:szCs w:val="14"/>
          <w:color w:val="582C83"/>
        </w:rPr>
      </w:pPr>
      <w:r>
        <w:rPr>
          <w:rFonts w:ascii="Arial" w:cs="Arial" w:eastAsia="Arial" w:hAnsi="Arial"/>
          <w:sz w:val="14"/>
          <w:szCs w:val="14"/>
          <w:color w:val="auto"/>
        </w:rPr>
        <w:t>Starbucks Corporation</w:t>
      </w:r>
    </w:p>
    <w:p>
      <w:pPr>
        <w:spacing w:after="0" w:line="20" w:lineRule="exact"/>
        <w:rPr>
          <w:sz w:val="20"/>
          <w:szCs w:val="20"/>
          <w:color w:val="auto"/>
        </w:rPr>
      </w:pPr>
      <w:r>
        <w:rPr>
          <w:sz w:val="20"/>
          <w:szCs w:val="20"/>
          <w:color w:val="auto"/>
        </w:rPr>
        <w:br w:type="column"/>
      </w:r>
    </w:p>
    <w:p>
      <w:pPr>
        <w:jc w:val="both"/>
        <w:ind w:left="124" w:right="260" w:hanging="124"/>
        <w:spacing w:after="0" w:line="301" w:lineRule="auto"/>
        <w:tabs>
          <w:tab w:leader="none" w:pos="124" w:val="left"/>
        </w:tabs>
        <w:numPr>
          <w:ilvl w:val="0"/>
          <w:numId w:val="89"/>
        </w:numPr>
        <w:rPr>
          <w:rFonts w:ascii="Arial" w:cs="Arial" w:eastAsia="Arial" w:hAnsi="Arial"/>
          <w:sz w:val="17"/>
          <w:szCs w:val="17"/>
          <w:color w:val="582C83"/>
        </w:rPr>
      </w:pPr>
      <w:r>
        <w:rPr>
          <w:rFonts w:ascii="Arial" w:cs="Arial" w:eastAsia="Arial" w:hAnsi="Arial"/>
          <w:sz w:val="14"/>
          <w:szCs w:val="14"/>
          <w:color w:val="auto"/>
        </w:rPr>
        <w:t>Benchmark total direct compensation (at target levels), including base salary and annual and LTI awards</w:t>
      </w:r>
    </w:p>
    <w:p>
      <w:pPr>
        <w:spacing w:after="0" w:line="53" w:lineRule="exact"/>
        <w:rPr>
          <w:rFonts w:ascii="Arial" w:cs="Arial" w:eastAsia="Arial" w:hAnsi="Arial"/>
          <w:sz w:val="17"/>
          <w:szCs w:val="17"/>
          <w:color w:val="582C83"/>
        </w:rPr>
      </w:pPr>
    </w:p>
    <w:p>
      <w:pPr>
        <w:ind w:left="124" w:right="400" w:hanging="124"/>
        <w:spacing w:after="0" w:line="294" w:lineRule="auto"/>
        <w:tabs>
          <w:tab w:leader="none" w:pos="124" w:val="left"/>
        </w:tabs>
        <w:numPr>
          <w:ilvl w:val="0"/>
          <w:numId w:val="89"/>
        </w:numPr>
        <w:rPr>
          <w:rFonts w:ascii="Arial" w:cs="Arial" w:eastAsia="Arial" w:hAnsi="Arial"/>
          <w:sz w:val="17"/>
          <w:szCs w:val="17"/>
          <w:color w:val="582C83"/>
        </w:rPr>
      </w:pPr>
      <w:r>
        <w:rPr>
          <w:rFonts w:ascii="Arial" w:cs="Arial" w:eastAsia="Arial" w:hAnsi="Arial"/>
          <w:sz w:val="14"/>
          <w:szCs w:val="14"/>
          <w:color w:val="auto"/>
        </w:rPr>
        <w:t>Evaluate share utilization by reviewing overhang and annual run rate</w:t>
      </w:r>
    </w:p>
    <w:p>
      <w:pPr>
        <w:spacing w:after="0" w:line="30" w:lineRule="exact"/>
        <w:rPr>
          <w:rFonts w:ascii="Arial" w:cs="Arial" w:eastAsia="Arial" w:hAnsi="Arial"/>
          <w:sz w:val="17"/>
          <w:szCs w:val="17"/>
          <w:color w:val="582C83"/>
        </w:rPr>
      </w:pPr>
    </w:p>
    <w:p>
      <w:pPr>
        <w:ind w:left="124" w:hanging="124"/>
        <w:spacing w:after="0"/>
        <w:tabs>
          <w:tab w:leader="none" w:pos="124" w:val="left"/>
        </w:tabs>
        <w:numPr>
          <w:ilvl w:val="0"/>
          <w:numId w:val="89"/>
        </w:numPr>
        <w:rPr>
          <w:rFonts w:ascii="Arial" w:cs="Arial" w:eastAsia="Arial" w:hAnsi="Arial"/>
          <w:sz w:val="17"/>
          <w:szCs w:val="17"/>
          <w:color w:val="582C83"/>
        </w:rPr>
      </w:pPr>
      <w:r>
        <w:rPr>
          <w:rFonts w:ascii="Arial" w:cs="Arial" w:eastAsia="Arial" w:hAnsi="Arial"/>
          <w:sz w:val="14"/>
          <w:szCs w:val="14"/>
          <w:color w:val="auto"/>
        </w:rPr>
        <w:t>Benchmark share ownership guidelines</w:t>
      </w:r>
    </w:p>
    <w:p>
      <w:pPr>
        <w:spacing w:after="0" w:line="66" w:lineRule="exact"/>
        <w:rPr>
          <w:rFonts w:ascii="Arial" w:cs="Arial" w:eastAsia="Arial" w:hAnsi="Arial"/>
          <w:sz w:val="17"/>
          <w:szCs w:val="17"/>
          <w:color w:val="582C83"/>
        </w:rPr>
      </w:pPr>
    </w:p>
    <w:p>
      <w:pPr>
        <w:ind w:left="124" w:right="580" w:hanging="124"/>
        <w:spacing w:after="0" w:line="310" w:lineRule="auto"/>
        <w:tabs>
          <w:tab w:leader="none" w:pos="124" w:val="left"/>
        </w:tabs>
        <w:numPr>
          <w:ilvl w:val="0"/>
          <w:numId w:val="89"/>
        </w:numPr>
        <w:rPr>
          <w:rFonts w:ascii="Arial" w:cs="Arial" w:eastAsia="Arial" w:hAnsi="Arial"/>
          <w:sz w:val="17"/>
          <w:szCs w:val="17"/>
          <w:color w:val="582C83"/>
        </w:rPr>
      </w:pPr>
      <w:r>
        <w:rPr>
          <w:rFonts w:ascii="Arial" w:cs="Arial" w:eastAsia="Arial" w:hAnsi="Arial"/>
          <w:sz w:val="14"/>
          <w:szCs w:val="14"/>
          <w:color w:val="auto"/>
        </w:rPr>
        <w:t>Assess the competitiveness of total direct compensation awarded to senior executives</w:t>
      </w:r>
    </w:p>
    <w:p>
      <w:pPr>
        <w:spacing w:after="0" w:line="28" w:lineRule="exact"/>
        <w:rPr>
          <w:rFonts w:ascii="Arial" w:cs="Arial" w:eastAsia="Arial" w:hAnsi="Arial"/>
          <w:sz w:val="17"/>
          <w:szCs w:val="17"/>
          <w:color w:val="582C83"/>
        </w:rPr>
      </w:pPr>
    </w:p>
    <w:p>
      <w:pPr>
        <w:ind w:left="124" w:hanging="124"/>
        <w:spacing w:after="0"/>
        <w:tabs>
          <w:tab w:leader="none" w:pos="124" w:val="left"/>
        </w:tabs>
        <w:numPr>
          <w:ilvl w:val="0"/>
          <w:numId w:val="89"/>
        </w:numPr>
        <w:rPr>
          <w:rFonts w:ascii="Arial" w:cs="Arial" w:eastAsia="Arial" w:hAnsi="Arial"/>
          <w:sz w:val="17"/>
          <w:szCs w:val="17"/>
          <w:color w:val="582C83"/>
        </w:rPr>
      </w:pPr>
      <w:r>
        <w:rPr>
          <w:rFonts w:ascii="Arial" w:cs="Arial" w:eastAsia="Arial" w:hAnsi="Arial"/>
          <w:sz w:val="14"/>
          <w:szCs w:val="14"/>
          <w:color w:val="auto"/>
        </w:rPr>
        <w:t>Compare pay-for-performance alignment</w:t>
      </w:r>
    </w:p>
    <w:p>
      <w:pPr>
        <w:spacing w:after="0" w:line="74" w:lineRule="exact"/>
        <w:rPr>
          <w:rFonts w:ascii="Arial" w:cs="Arial" w:eastAsia="Arial" w:hAnsi="Arial"/>
          <w:sz w:val="17"/>
          <w:szCs w:val="17"/>
          <w:color w:val="582C83"/>
        </w:rPr>
      </w:pPr>
    </w:p>
    <w:p>
      <w:pPr>
        <w:ind w:left="124" w:hanging="124"/>
        <w:spacing w:after="0"/>
        <w:tabs>
          <w:tab w:leader="none" w:pos="124" w:val="left"/>
        </w:tabs>
        <w:numPr>
          <w:ilvl w:val="0"/>
          <w:numId w:val="89"/>
        </w:numPr>
        <w:rPr>
          <w:rFonts w:ascii="Arial" w:cs="Arial" w:eastAsia="Arial" w:hAnsi="Arial"/>
          <w:sz w:val="17"/>
          <w:szCs w:val="17"/>
          <w:color w:val="582C83"/>
        </w:rPr>
      </w:pPr>
      <w:r>
        <w:rPr>
          <w:rFonts w:ascii="Arial" w:cs="Arial" w:eastAsia="Arial" w:hAnsi="Arial"/>
          <w:sz w:val="14"/>
          <w:szCs w:val="14"/>
          <w:color w:val="auto"/>
        </w:rPr>
        <w:t>Benchmark annual and LTI plan design</w:t>
      </w:r>
    </w:p>
    <w:p>
      <w:pPr>
        <w:spacing w:after="0" w:line="597" w:lineRule="exact"/>
        <w:rPr>
          <w:sz w:val="20"/>
          <w:szCs w:val="20"/>
          <w:color w:val="auto"/>
        </w:rPr>
      </w:pPr>
    </w:p>
    <w:p>
      <w:pPr>
        <w:sectPr>
          <w:pgSz w:w="11900" w:h="16886" w:orient="portrait"/>
          <w:cols w:equalWidth="0" w:num="3">
            <w:col w:w="2880" w:space="185"/>
            <w:col w:w="2435" w:space="576"/>
            <w:col w:w="2964"/>
          </w:cols>
          <w:pgMar w:left="1420" w:top="300" w:right="1439" w:bottom="0" w:gutter="0" w:footer="0" w:header="0"/>
          <w:type w:val="continuous"/>
        </w:sectPr>
      </w:pPr>
    </w:p>
    <w:p>
      <w:pPr>
        <w:ind w:left="260" w:hanging="253"/>
        <w:spacing w:after="0"/>
        <w:tabs>
          <w:tab w:leader="none" w:pos="2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 xml:space="preserve">Companies indicated in </w:t>
      </w:r>
      <w:r>
        <w:rPr>
          <w:rFonts w:ascii="Arial" w:cs="Arial" w:eastAsia="Arial" w:hAnsi="Arial"/>
          <w:sz w:val="13"/>
          <w:szCs w:val="13"/>
          <w:b w:val="1"/>
          <w:bCs w:val="1"/>
          <w:color w:val="auto"/>
        </w:rPr>
        <w:t>bold</w:t>
      </w:r>
      <w:r>
        <w:rPr>
          <w:rFonts w:ascii="Arial" w:cs="Arial" w:eastAsia="Arial" w:hAnsi="Arial"/>
          <w:sz w:val="13"/>
          <w:szCs w:val="13"/>
          <w:color w:val="auto"/>
        </w:rPr>
        <w:t xml:space="preserve"> are represented in both the Compensation Survey and Performance Peer Groups.</w:t>
      </w:r>
    </w:p>
    <w:p>
      <w:pPr>
        <w:spacing w:after="0" w:line="22" w:lineRule="exact"/>
        <w:rPr>
          <w:rFonts w:ascii="Arial" w:cs="Arial" w:eastAsia="Arial" w:hAnsi="Arial"/>
          <w:sz w:val="13"/>
          <w:szCs w:val="13"/>
          <w:color w:val="auto"/>
        </w:rPr>
      </w:pPr>
    </w:p>
    <w:p>
      <w:pPr>
        <w:ind w:left="260" w:hanging="253"/>
        <w:spacing w:after="0"/>
        <w:tabs>
          <w:tab w:leader="none" w:pos="2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Excluded by the PCC when reviewing CEO compensation.</w:t>
      </w:r>
    </w:p>
    <w:p>
      <w:pPr>
        <w:spacing w:after="0" w:line="106" w:lineRule="exact"/>
        <w:rPr>
          <w:sz w:val="20"/>
          <w:szCs w:val="20"/>
          <w:color w:val="auto"/>
        </w:rPr>
      </w:pPr>
    </w:p>
    <w:p>
      <w:pPr>
        <w:jc w:val="both"/>
        <w:ind w:right="180"/>
        <w:spacing w:after="0" w:line="291" w:lineRule="auto"/>
        <w:rPr>
          <w:sz w:val="20"/>
          <w:szCs w:val="20"/>
          <w:color w:val="auto"/>
        </w:rPr>
      </w:pPr>
      <w:r>
        <w:rPr>
          <w:rFonts w:ascii="Arial" w:cs="Arial" w:eastAsia="Arial" w:hAnsi="Arial"/>
          <w:sz w:val="17"/>
          <w:szCs w:val="17"/>
          <w:color w:val="auto"/>
        </w:rPr>
        <w:t>To further validate our compensation levels, using data provided by the executive compensation consultant, the PCC retrospectively evaluates our pay-for-performance alignment versus our Compensation Survey Peer Group. The PCC believes that pay and performance are appropriately aligned.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29222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10375" cy="292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COMPENSATION DISCUSSION AND ANALYSIS (CD&amp;A)</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Compensation Determination Process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Peer Group</w:t>
      </w:r>
    </w:p>
    <w:p>
      <w:pPr>
        <w:spacing w:after="0" w:line="11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compare our financial and TSR performance against our Performance Peer Group, which allows us to link LTI compensation directly to the delivery of superior financial results relative to our consumer packaged goods peers. This group of companies is less relevant as a comparator for compensation levels for certain executive positions because of differences in company size, scope, and complexity. However, we consider these companies direct competitors both for business and talent, so comparing our results with this peer group’s performance provides a valuable and relevant measure of our performance. We maintained the same Performance Peer Group for 2025 as used for 2024. The table below shows our criteria for choosing the Performance Peer Group and how it is used.</w:t>
      </w:r>
    </w:p>
    <w:p>
      <w:pPr>
        <w:sectPr>
          <w:pgSz w:w="11900" w:h="16886" w:orient="portrait"/>
          <w:cols w:equalWidth="0" w:num="1">
            <w:col w:w="9040"/>
          </w:cols>
          <w:pgMar w:left="1420" w:top="300" w:right="1439" w:bottom="0" w:gutter="0" w:footer="0" w:header="0"/>
          <w:type w:val="continuous"/>
        </w:sectPr>
      </w:pPr>
    </w:p>
    <w:p>
      <w:pPr>
        <w:spacing w:after="0" w:line="310" w:lineRule="exact"/>
        <w:rPr>
          <w:sz w:val="20"/>
          <w:szCs w:val="20"/>
          <w:color w:val="auto"/>
        </w:rPr>
      </w:pPr>
    </w:p>
    <w:tbl>
      <w:tblPr>
        <w:tblLayout w:type="fixed"/>
        <w:tblInd w:w="60" w:type="dxa"/>
        <w:tblCellMar>
          <w:top w:w="0" w:type="dxa"/>
          <w:left w:w="0" w:type="dxa"/>
          <w:bottom w:w="0" w:type="dxa"/>
          <w:right w:w="0" w:type="dxa"/>
        </w:tblCellMar>
      </w:tblPr>
      <w:tr>
        <w:trPr>
          <w:trHeight w:val="254"/>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How the Peer Group Was Chosen</w:t>
            </w:r>
          </w:p>
        </w:tc>
        <w:tc>
          <w:tcPr>
            <w:tcW w:w="19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Performance Peer Group</w:t>
            </w:r>
            <w:r>
              <w:rPr>
                <w:rFonts w:ascii="Arial" w:cs="Arial" w:eastAsia="Arial" w:hAnsi="Arial"/>
                <w:sz w:val="18"/>
                <w:szCs w:val="18"/>
                <w:b w:val="1"/>
                <w:bCs w:val="1"/>
                <w:color w:val="auto"/>
                <w:vertAlign w:val="superscript"/>
              </w:rPr>
              <w:t>(1)</w:t>
            </w:r>
          </w:p>
        </w:tc>
      </w:tr>
      <w:tr>
        <w:trPr>
          <w:trHeight w:val="263"/>
        </w:trPr>
        <w:tc>
          <w:tcPr>
            <w:tcW w:w="100" w:type="dxa"/>
            <w:vAlign w:val="bottom"/>
          </w:tcPr>
          <w:p>
            <w:pPr>
              <w:spacing w:after="0"/>
              <w:rPr>
                <w:sz w:val="20"/>
                <w:szCs w:val="20"/>
                <w:color w:val="auto"/>
              </w:rPr>
            </w:pPr>
            <w:r>
              <w:rPr>
                <w:rFonts w:ascii="Arial" w:cs="Arial" w:eastAsia="Arial" w:hAnsi="Arial"/>
                <w:sz w:val="14"/>
                <w:szCs w:val="14"/>
                <w:color w:val="582C83"/>
              </w:rPr>
              <w:t>•</w:t>
            </w:r>
          </w:p>
        </w:tc>
        <w:tc>
          <w:tcPr>
            <w:tcW w:w="2780" w:type="dxa"/>
            <w:vAlign w:val="bottom"/>
          </w:tcPr>
          <w:p>
            <w:pPr>
              <w:ind w:left="40"/>
              <w:spacing w:after="0"/>
              <w:rPr>
                <w:sz w:val="20"/>
                <w:szCs w:val="20"/>
                <w:color w:val="auto"/>
              </w:rPr>
            </w:pPr>
            <w:r>
              <w:rPr>
                <w:rFonts w:ascii="Arial" w:cs="Arial" w:eastAsia="Arial" w:hAnsi="Arial"/>
                <w:sz w:val="14"/>
                <w:szCs w:val="14"/>
                <w:color w:val="auto"/>
              </w:rPr>
              <w:t>Industry competitor</w:t>
            </w:r>
          </w:p>
        </w:tc>
        <w:tc>
          <w:tcPr>
            <w:tcW w:w="220" w:type="dxa"/>
            <w:vAlign w:val="bottom"/>
          </w:tcPr>
          <w:p>
            <w:pPr>
              <w:ind w:left="120"/>
              <w:spacing w:after="0"/>
              <w:rPr>
                <w:sz w:val="20"/>
                <w:szCs w:val="20"/>
                <w:color w:val="auto"/>
              </w:rPr>
            </w:pPr>
            <w:r>
              <w:rPr>
                <w:rFonts w:ascii="Arial" w:cs="Arial" w:eastAsia="Arial" w:hAnsi="Arial"/>
                <w:sz w:val="14"/>
                <w:szCs w:val="14"/>
                <w:color w:val="582C83"/>
              </w:rPr>
              <w:t>•</w:t>
            </w:r>
          </w:p>
        </w:tc>
        <w:tc>
          <w:tcPr>
            <w:tcW w:w="1740" w:type="dxa"/>
            <w:vAlign w:val="bottom"/>
          </w:tcPr>
          <w:p>
            <w:pPr>
              <w:ind w:left="40"/>
              <w:spacing w:after="0"/>
              <w:rPr>
                <w:sz w:val="20"/>
                <w:szCs w:val="20"/>
                <w:color w:val="auto"/>
              </w:rPr>
            </w:pPr>
            <w:r>
              <w:rPr>
                <w:rFonts w:ascii="Arial" w:cs="Arial" w:eastAsia="Arial" w:hAnsi="Arial"/>
                <w:sz w:val="14"/>
                <w:szCs w:val="14"/>
                <w:color w:val="auto"/>
              </w:rPr>
              <w:t>Campbell Soup Company</w:t>
            </w:r>
          </w:p>
        </w:tc>
      </w:tr>
      <w:tr>
        <w:trPr>
          <w:trHeight w:val="222"/>
        </w:trPr>
        <w:tc>
          <w:tcPr>
            <w:tcW w:w="100" w:type="dxa"/>
            <w:vAlign w:val="bottom"/>
          </w:tcPr>
          <w:p>
            <w:pPr>
              <w:spacing w:after="0"/>
              <w:rPr>
                <w:sz w:val="20"/>
                <w:szCs w:val="20"/>
                <w:color w:val="auto"/>
              </w:rPr>
            </w:pPr>
            <w:r>
              <w:rPr>
                <w:rFonts w:ascii="Arial" w:cs="Arial" w:eastAsia="Arial" w:hAnsi="Arial"/>
                <w:sz w:val="14"/>
                <w:szCs w:val="14"/>
                <w:color w:val="582C83"/>
              </w:rPr>
              <w:t>•</w:t>
            </w:r>
          </w:p>
        </w:tc>
        <w:tc>
          <w:tcPr>
            <w:tcW w:w="2780" w:type="dxa"/>
            <w:vAlign w:val="bottom"/>
          </w:tcPr>
          <w:p>
            <w:pPr>
              <w:ind w:left="40"/>
              <w:spacing w:after="0"/>
              <w:rPr>
                <w:sz w:val="20"/>
                <w:szCs w:val="20"/>
                <w:color w:val="auto"/>
              </w:rPr>
            </w:pPr>
            <w:r>
              <w:rPr>
                <w:rFonts w:ascii="Arial" w:cs="Arial" w:eastAsia="Arial" w:hAnsi="Arial"/>
                <w:sz w:val="14"/>
                <w:szCs w:val="14"/>
                <w:color w:val="auto"/>
              </w:rPr>
              <w:t>Fast-moving consumer goods companies</w:t>
            </w:r>
          </w:p>
        </w:tc>
        <w:tc>
          <w:tcPr>
            <w:tcW w:w="220" w:type="dxa"/>
            <w:vAlign w:val="bottom"/>
          </w:tcPr>
          <w:p>
            <w:pPr>
              <w:ind w:left="120"/>
              <w:spacing w:after="0"/>
              <w:rPr>
                <w:sz w:val="20"/>
                <w:szCs w:val="20"/>
                <w:color w:val="auto"/>
              </w:rPr>
            </w:pPr>
            <w:r>
              <w:rPr>
                <w:rFonts w:ascii="Arial" w:cs="Arial" w:eastAsia="Arial" w:hAnsi="Arial"/>
                <w:sz w:val="14"/>
                <w:szCs w:val="14"/>
                <w:color w:val="582C83"/>
              </w:rPr>
              <w:t>•</w:t>
            </w:r>
          </w:p>
        </w:tc>
        <w:tc>
          <w:tcPr>
            <w:tcW w:w="1740" w:type="dxa"/>
            <w:vAlign w:val="bottom"/>
          </w:tcPr>
          <w:p>
            <w:pPr>
              <w:ind w:left="40"/>
              <w:spacing w:after="0"/>
              <w:rPr>
                <w:sz w:val="20"/>
                <w:szCs w:val="20"/>
                <w:color w:val="auto"/>
              </w:rPr>
            </w:pPr>
            <w:r>
              <w:rPr>
                <w:rFonts w:ascii="Arial" w:cs="Arial" w:eastAsia="Arial" w:hAnsi="Arial"/>
                <w:sz w:val="14"/>
                <w:szCs w:val="14"/>
                <w:b w:val="1"/>
                <w:bCs w:val="1"/>
                <w:color w:val="auto"/>
              </w:rPr>
              <w:t>The Coca-Cola Company</w:t>
            </w:r>
          </w:p>
        </w:tc>
      </w:tr>
    </w:tbl>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How We Use the Peer Group</w:t>
      </w:r>
    </w:p>
    <w:p>
      <w:pPr>
        <w:spacing w:after="0" w:line="163" w:lineRule="exact"/>
        <w:rPr>
          <w:sz w:val="20"/>
          <w:szCs w:val="20"/>
          <w:color w:val="auto"/>
        </w:rPr>
      </w:pPr>
    </w:p>
    <w:p>
      <w:pPr>
        <w:ind w:left="124" w:right="280" w:hanging="124"/>
        <w:spacing w:after="0" w:line="325" w:lineRule="auto"/>
        <w:tabs>
          <w:tab w:leader="none" w:pos="124" w:val="left"/>
        </w:tabs>
        <w:numPr>
          <w:ilvl w:val="0"/>
          <w:numId w:val="91"/>
        </w:numPr>
        <w:rPr>
          <w:rFonts w:ascii="Arial" w:cs="Arial" w:eastAsia="Arial" w:hAnsi="Arial"/>
          <w:sz w:val="14"/>
          <w:szCs w:val="14"/>
          <w:color w:val="582C83"/>
        </w:rPr>
      </w:pPr>
      <w:r>
        <w:rPr>
          <w:rFonts w:ascii="Arial" w:cs="Arial" w:eastAsia="Arial" w:hAnsi="Arial"/>
          <w:sz w:val="14"/>
          <w:szCs w:val="14"/>
          <w:color w:val="auto"/>
        </w:rPr>
        <w:t>Compare annualized TSR to assess our relative TSR performance for PSUs</w:t>
      </w:r>
    </w:p>
    <w:p>
      <w:pPr>
        <w:sectPr>
          <w:pgSz w:w="11900" w:h="16886" w:orient="portrait"/>
          <w:cols w:equalWidth="0" w:num="2">
            <w:col w:w="5356" w:space="720"/>
            <w:col w:w="2964"/>
          </w:cols>
          <w:pgMar w:left="1420" w:top="300" w:right="1439" w:bottom="0" w:gutter="0" w:footer="0" w:header="0"/>
          <w:type w:val="continuous"/>
        </w:sectPr>
      </w:pPr>
    </w:p>
    <w:bookmarkStart w:id="70" w:name="page71"/>
    <w:bookmarkEnd w:id="70"/>
    <w:p>
      <w:pPr>
        <w:ind w:left="200"/>
        <w:spacing w:after="0"/>
        <w:tabs>
          <w:tab w:leader="none" w:pos="3040" w:val="left"/>
        </w:tabs>
        <w:rPr>
          <w:sz w:val="20"/>
          <w:szCs w:val="20"/>
          <w:color w:val="auto"/>
        </w:rPr>
      </w:pPr>
      <w:r>
        <w:rPr>
          <w:rFonts w:ascii="Arial" w:cs="Arial" w:eastAsia="Arial" w:hAnsi="Arial"/>
          <w:sz w:val="14"/>
          <w:szCs w:val="14"/>
          <w:color w:val="auto"/>
        </w:rPr>
        <w:t>and primarily focused on food and</w:t>
      </w:r>
      <w:r>
        <w:rPr>
          <w:sz w:val="20"/>
          <w:szCs w:val="20"/>
          <w:color w:val="auto"/>
        </w:rPr>
        <w:tab/>
      </w:r>
      <w:r>
        <w:rPr>
          <w:rFonts w:ascii="Arial" w:cs="Arial" w:eastAsia="Arial" w:hAnsi="Arial"/>
          <w:sz w:val="14"/>
          <w:szCs w:val="14"/>
          <w:color w:val="582C83"/>
        </w:rPr>
        <w:t xml:space="preserve">• </w:t>
      </w:r>
      <w:r>
        <w:rPr>
          <w:rFonts w:ascii="Arial" w:cs="Arial" w:eastAsia="Arial" w:hAnsi="Arial"/>
          <w:sz w:val="14"/>
          <w:szCs w:val="14"/>
          <w:b w:val="1"/>
          <w:bCs w:val="1"/>
          <w:color w:val="000000"/>
        </w:rPr>
        <w:t>Colgate-Palmolive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-87630</wp:posOffset>
            </wp:positionV>
            <wp:extent cx="6810375" cy="59340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10375" cy="5934075"/>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190"/>
        </w:trPr>
        <w:tc>
          <w:tcPr>
            <w:tcW w:w="2220" w:type="dxa"/>
            <w:vAlign w:val="bottom"/>
          </w:tcPr>
          <w:p>
            <w:pPr>
              <w:spacing w:after="0"/>
              <w:rPr>
                <w:sz w:val="20"/>
                <w:szCs w:val="20"/>
                <w:color w:val="auto"/>
              </w:rPr>
            </w:pPr>
            <w:r>
              <w:rPr>
                <w:rFonts w:ascii="Arial" w:cs="Arial" w:eastAsia="Arial" w:hAnsi="Arial"/>
                <w:sz w:val="14"/>
                <w:szCs w:val="14"/>
                <w:color w:val="auto"/>
              </w:rPr>
              <w:t>non-alcoholic beverages</w:t>
            </w:r>
          </w:p>
        </w:tc>
        <w:tc>
          <w:tcPr>
            <w:tcW w:w="1280" w:type="dxa"/>
            <w:vAlign w:val="bottom"/>
            <w:vMerge w:val="restart"/>
          </w:tcPr>
          <w:p>
            <w:pPr>
              <w:ind w:left="640"/>
              <w:spacing w:after="0"/>
              <w:rPr>
                <w:sz w:val="20"/>
                <w:szCs w:val="20"/>
                <w:color w:val="auto"/>
              </w:rPr>
            </w:pPr>
            <w:r>
              <w:rPr>
                <w:rFonts w:ascii="Arial" w:cs="Arial" w:eastAsia="Arial" w:hAnsi="Arial"/>
                <w:sz w:val="14"/>
                <w:szCs w:val="14"/>
                <w:color w:val="582C83"/>
              </w:rPr>
              <w:t xml:space="preserve">• </w:t>
            </w:r>
            <w:r>
              <w:rPr>
                <w:rFonts w:ascii="Arial" w:cs="Arial" w:eastAsia="Arial" w:hAnsi="Arial"/>
                <w:sz w:val="14"/>
                <w:szCs w:val="14"/>
                <w:color w:val="000000"/>
              </w:rPr>
              <w:t>Danone</w:t>
            </w:r>
          </w:p>
        </w:tc>
        <w:tc>
          <w:tcPr>
            <w:tcW w:w="0" w:type="dxa"/>
            <w:vAlign w:val="bottom"/>
          </w:tcPr>
          <w:p>
            <w:pPr>
              <w:spacing w:after="0"/>
              <w:rPr>
                <w:sz w:val="1"/>
                <w:szCs w:val="1"/>
                <w:color w:val="auto"/>
              </w:rPr>
            </w:pPr>
          </w:p>
        </w:tc>
      </w:tr>
      <w:tr>
        <w:trPr>
          <w:trHeight w:val="53"/>
        </w:trPr>
        <w:tc>
          <w:tcPr>
            <w:tcW w:w="222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200" w:hanging="135"/>
        <w:spacing w:after="0"/>
        <w:tabs>
          <w:tab w:leader="none" w:pos="3200" w:val="left"/>
        </w:tabs>
        <w:numPr>
          <w:ilvl w:val="1"/>
          <w:numId w:val="92"/>
        </w:numPr>
        <w:rPr>
          <w:rFonts w:ascii="Arial" w:cs="Arial" w:eastAsia="Arial" w:hAnsi="Arial"/>
          <w:sz w:val="14"/>
          <w:szCs w:val="14"/>
          <w:color w:val="582C83"/>
        </w:rPr>
      </w:pPr>
      <w:r>
        <w:rPr>
          <w:rFonts w:ascii="Arial" w:cs="Arial" w:eastAsia="Arial" w:hAnsi="Arial"/>
          <w:sz w:val="14"/>
          <w:szCs w:val="14"/>
          <w:b w:val="1"/>
          <w:bCs w:val="1"/>
          <w:color w:val="auto"/>
        </w:rPr>
        <w:t>General Mills Inc.</w:t>
      </w:r>
    </w:p>
    <w:p>
      <w:pPr>
        <w:spacing w:after="0" w:line="55" w:lineRule="exact"/>
        <w:rPr>
          <w:rFonts w:ascii="Arial" w:cs="Arial" w:eastAsia="Arial" w:hAnsi="Arial"/>
          <w:sz w:val="14"/>
          <w:szCs w:val="14"/>
          <w:color w:val="582C83"/>
        </w:rPr>
      </w:pPr>
    </w:p>
    <w:p>
      <w:pPr>
        <w:ind w:left="3200" w:hanging="135"/>
        <w:spacing w:after="0"/>
        <w:tabs>
          <w:tab w:leader="none" w:pos="3200" w:val="left"/>
        </w:tabs>
        <w:numPr>
          <w:ilvl w:val="1"/>
          <w:numId w:val="92"/>
        </w:numPr>
        <w:rPr>
          <w:rFonts w:ascii="Arial" w:cs="Arial" w:eastAsia="Arial" w:hAnsi="Arial"/>
          <w:sz w:val="14"/>
          <w:szCs w:val="14"/>
          <w:color w:val="582C83"/>
        </w:rPr>
      </w:pPr>
      <w:r>
        <w:rPr>
          <w:rFonts w:ascii="Arial" w:cs="Arial" w:eastAsia="Arial" w:hAnsi="Arial"/>
          <w:sz w:val="14"/>
          <w:szCs w:val="14"/>
          <w:color w:val="auto"/>
        </w:rPr>
        <w:t>The Hershey Company</w:t>
      </w:r>
    </w:p>
    <w:p>
      <w:pPr>
        <w:spacing w:after="0" w:line="68" w:lineRule="exact"/>
        <w:rPr>
          <w:rFonts w:ascii="Arial" w:cs="Arial" w:eastAsia="Arial" w:hAnsi="Arial"/>
          <w:sz w:val="14"/>
          <w:szCs w:val="14"/>
          <w:color w:val="582C83"/>
        </w:rPr>
      </w:pPr>
    </w:p>
    <w:p>
      <w:pPr>
        <w:ind w:left="3200" w:hanging="135"/>
        <w:spacing w:after="0"/>
        <w:tabs>
          <w:tab w:leader="none" w:pos="3200" w:val="left"/>
        </w:tabs>
        <w:numPr>
          <w:ilvl w:val="1"/>
          <w:numId w:val="92"/>
        </w:numPr>
        <w:rPr>
          <w:rFonts w:ascii="Arial" w:cs="Arial" w:eastAsia="Arial" w:hAnsi="Arial"/>
          <w:sz w:val="14"/>
          <w:szCs w:val="14"/>
          <w:color w:val="582C83"/>
        </w:rPr>
      </w:pPr>
      <w:r>
        <w:rPr>
          <w:rFonts w:ascii="Arial" w:cs="Arial" w:eastAsia="Arial" w:hAnsi="Arial"/>
          <w:sz w:val="14"/>
          <w:szCs w:val="14"/>
          <w:b w:val="1"/>
          <w:bCs w:val="1"/>
          <w:color w:val="auto"/>
        </w:rPr>
        <w:t>The Kraft Heinz Company</w:t>
      </w:r>
    </w:p>
    <w:p>
      <w:pPr>
        <w:spacing w:after="0" w:line="68" w:lineRule="exact"/>
        <w:rPr>
          <w:rFonts w:ascii="Arial" w:cs="Arial" w:eastAsia="Arial" w:hAnsi="Arial"/>
          <w:sz w:val="14"/>
          <w:szCs w:val="14"/>
          <w:color w:val="582C83"/>
        </w:rPr>
      </w:pPr>
    </w:p>
    <w:p>
      <w:pPr>
        <w:ind w:left="3200" w:hanging="135"/>
        <w:spacing w:after="0"/>
        <w:tabs>
          <w:tab w:leader="none" w:pos="3200" w:val="left"/>
        </w:tabs>
        <w:numPr>
          <w:ilvl w:val="1"/>
          <w:numId w:val="92"/>
        </w:numPr>
        <w:rPr>
          <w:rFonts w:ascii="Arial" w:cs="Arial" w:eastAsia="Arial" w:hAnsi="Arial"/>
          <w:sz w:val="14"/>
          <w:szCs w:val="14"/>
          <w:color w:val="582C83"/>
        </w:rPr>
      </w:pPr>
      <w:r>
        <w:rPr>
          <w:rFonts w:ascii="Arial" w:cs="Arial" w:eastAsia="Arial" w:hAnsi="Arial"/>
          <w:sz w:val="14"/>
          <w:szCs w:val="14"/>
          <w:color w:val="auto"/>
        </w:rPr>
        <w:t>Nestlé S.A.</w:t>
      </w:r>
    </w:p>
    <w:p>
      <w:pPr>
        <w:spacing w:after="0" w:line="55" w:lineRule="exact"/>
        <w:rPr>
          <w:rFonts w:ascii="Arial" w:cs="Arial" w:eastAsia="Arial" w:hAnsi="Arial"/>
          <w:sz w:val="14"/>
          <w:szCs w:val="14"/>
          <w:color w:val="582C83"/>
        </w:rPr>
      </w:pPr>
    </w:p>
    <w:p>
      <w:pPr>
        <w:ind w:left="3200" w:hanging="135"/>
        <w:spacing w:after="0"/>
        <w:tabs>
          <w:tab w:leader="none" w:pos="3200" w:val="left"/>
        </w:tabs>
        <w:numPr>
          <w:ilvl w:val="1"/>
          <w:numId w:val="92"/>
        </w:numPr>
        <w:rPr>
          <w:rFonts w:ascii="Arial" w:cs="Arial" w:eastAsia="Arial" w:hAnsi="Arial"/>
          <w:sz w:val="14"/>
          <w:szCs w:val="14"/>
          <w:color w:val="582C83"/>
        </w:rPr>
      </w:pPr>
      <w:r>
        <w:rPr>
          <w:rFonts w:ascii="Arial" w:cs="Arial" w:eastAsia="Arial" w:hAnsi="Arial"/>
          <w:sz w:val="14"/>
          <w:szCs w:val="14"/>
          <w:b w:val="1"/>
          <w:bCs w:val="1"/>
          <w:color w:val="auto"/>
        </w:rPr>
        <w:t>PepsiCo, Inc.</w:t>
      </w:r>
    </w:p>
    <w:p>
      <w:pPr>
        <w:spacing w:after="0" w:line="68" w:lineRule="exact"/>
        <w:rPr>
          <w:rFonts w:ascii="Arial" w:cs="Arial" w:eastAsia="Arial" w:hAnsi="Arial"/>
          <w:sz w:val="14"/>
          <w:szCs w:val="14"/>
          <w:color w:val="582C83"/>
        </w:rPr>
      </w:pPr>
    </w:p>
    <w:p>
      <w:pPr>
        <w:ind w:left="3200" w:hanging="135"/>
        <w:spacing w:after="0"/>
        <w:tabs>
          <w:tab w:leader="none" w:pos="3200" w:val="left"/>
        </w:tabs>
        <w:numPr>
          <w:ilvl w:val="1"/>
          <w:numId w:val="92"/>
        </w:numPr>
        <w:rPr>
          <w:rFonts w:ascii="Arial" w:cs="Arial" w:eastAsia="Arial" w:hAnsi="Arial"/>
          <w:sz w:val="14"/>
          <w:szCs w:val="14"/>
          <w:color w:val="582C83"/>
        </w:rPr>
      </w:pPr>
      <w:r>
        <w:rPr>
          <w:rFonts w:ascii="Arial" w:cs="Arial" w:eastAsia="Arial" w:hAnsi="Arial"/>
          <w:sz w:val="14"/>
          <w:szCs w:val="14"/>
          <w:b w:val="1"/>
          <w:bCs w:val="1"/>
          <w:color w:val="auto"/>
        </w:rPr>
        <w:t>The Procter &amp; Gamble Company</w:t>
      </w:r>
    </w:p>
    <w:p>
      <w:pPr>
        <w:spacing w:after="0" w:line="55" w:lineRule="exact"/>
        <w:rPr>
          <w:rFonts w:ascii="Arial" w:cs="Arial" w:eastAsia="Arial" w:hAnsi="Arial"/>
          <w:sz w:val="14"/>
          <w:szCs w:val="14"/>
          <w:color w:val="582C83"/>
        </w:rPr>
      </w:pPr>
    </w:p>
    <w:p>
      <w:pPr>
        <w:ind w:left="3200" w:hanging="135"/>
        <w:spacing w:after="0"/>
        <w:tabs>
          <w:tab w:leader="none" w:pos="3200" w:val="left"/>
        </w:tabs>
        <w:numPr>
          <w:ilvl w:val="1"/>
          <w:numId w:val="92"/>
        </w:numPr>
        <w:rPr>
          <w:rFonts w:ascii="Arial" w:cs="Arial" w:eastAsia="Arial" w:hAnsi="Arial"/>
          <w:sz w:val="14"/>
          <w:szCs w:val="14"/>
          <w:color w:val="582C83"/>
        </w:rPr>
      </w:pPr>
      <w:r>
        <w:rPr>
          <w:rFonts w:ascii="Arial" w:cs="Arial" w:eastAsia="Arial" w:hAnsi="Arial"/>
          <w:sz w:val="14"/>
          <w:szCs w:val="14"/>
          <w:color w:val="auto"/>
        </w:rPr>
        <w:t>Unilever PLC</w:t>
      </w:r>
    </w:p>
    <w:p>
      <w:pPr>
        <w:spacing w:after="0" w:line="140" w:lineRule="exact"/>
        <w:rPr>
          <w:rFonts w:ascii="Arial" w:cs="Arial" w:eastAsia="Arial" w:hAnsi="Arial"/>
          <w:sz w:val="14"/>
          <w:szCs w:val="14"/>
          <w:color w:val="582C83"/>
        </w:rPr>
      </w:pPr>
    </w:p>
    <w:p>
      <w:pPr>
        <w:ind w:left="260" w:hanging="253"/>
        <w:spacing w:after="0"/>
        <w:tabs>
          <w:tab w:leader="none" w:pos="260" w:val="left"/>
        </w:tabs>
        <w:numPr>
          <w:ilvl w:val="0"/>
          <w:numId w:val="92"/>
        </w:numPr>
        <w:rPr>
          <w:rFonts w:ascii="Arial" w:cs="Arial" w:eastAsia="Arial" w:hAnsi="Arial"/>
          <w:sz w:val="13"/>
          <w:szCs w:val="13"/>
          <w:color w:val="auto"/>
        </w:rPr>
      </w:pPr>
      <w:r>
        <w:rPr>
          <w:rFonts w:ascii="Arial" w:cs="Arial" w:eastAsia="Arial" w:hAnsi="Arial"/>
          <w:sz w:val="13"/>
          <w:szCs w:val="13"/>
          <w:color w:val="auto"/>
        </w:rPr>
        <w:t xml:space="preserve">Companies indicated in </w:t>
      </w:r>
      <w:r>
        <w:rPr>
          <w:rFonts w:ascii="Arial" w:cs="Arial" w:eastAsia="Arial" w:hAnsi="Arial"/>
          <w:sz w:val="13"/>
          <w:szCs w:val="13"/>
          <w:b w:val="1"/>
          <w:bCs w:val="1"/>
          <w:color w:val="auto"/>
        </w:rPr>
        <w:t>bold</w:t>
      </w:r>
      <w:r>
        <w:rPr>
          <w:rFonts w:ascii="Arial" w:cs="Arial" w:eastAsia="Arial" w:hAnsi="Arial"/>
          <w:sz w:val="13"/>
          <w:szCs w:val="13"/>
          <w:color w:val="auto"/>
        </w:rPr>
        <w:t xml:space="preserve"> are represented in both the Compensation Survey and Performance Peer Groups.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DECISION-MAKING PROCESS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PCC</w:t>
      </w:r>
    </w:p>
    <w:p>
      <w:pPr>
        <w:spacing w:after="0" w:line="114" w:lineRule="exact"/>
        <w:rPr>
          <w:sz w:val="20"/>
          <w:szCs w:val="20"/>
          <w:color w:val="auto"/>
        </w:rPr>
      </w:pPr>
    </w:p>
    <w:p>
      <w:pPr>
        <w:ind w:right="139"/>
        <w:spacing w:after="0" w:line="276" w:lineRule="auto"/>
        <w:rPr>
          <w:sz w:val="20"/>
          <w:szCs w:val="20"/>
          <w:color w:val="auto"/>
        </w:rPr>
      </w:pPr>
      <w:r>
        <w:rPr>
          <w:rFonts w:ascii="Arial" w:cs="Arial" w:eastAsia="Arial" w:hAnsi="Arial"/>
          <w:sz w:val="17"/>
          <w:szCs w:val="17"/>
          <w:color w:val="auto"/>
        </w:rPr>
        <w:t>The approach used to determine both CEO and NEO compensation is the same approach used in determining compensation for the broader employee population, including pay competitiveness and the use of performance-based metrics that reward exceptional financial performance. When determining CEO and NEO pay, the PCC also considers other factors that it regularly reviews, including shareholder feedback, the advisory vote on compensation, global pay fairness, performance, and progress against the SPIs. The PCC understands that CEO pay should be reasonable relative to overall employee pay and is mindful of the pay grades and salary ranges of our employees when making compensation decisions.</w:t>
      </w:r>
    </w:p>
    <w:p>
      <w:pPr>
        <w:spacing w:after="0" w:line="87" w:lineRule="exact"/>
        <w:rPr>
          <w:sz w:val="20"/>
          <w:szCs w:val="20"/>
          <w:color w:val="auto"/>
        </w:rPr>
      </w:pPr>
    </w:p>
    <w:p>
      <w:pPr>
        <w:ind w:right="119"/>
        <w:spacing w:after="0" w:line="282" w:lineRule="auto"/>
        <w:rPr>
          <w:sz w:val="20"/>
          <w:szCs w:val="20"/>
          <w:color w:val="auto"/>
        </w:rPr>
      </w:pPr>
      <w:r>
        <w:rPr>
          <w:rFonts w:ascii="Arial" w:cs="Arial" w:eastAsia="Arial" w:hAnsi="Arial"/>
          <w:sz w:val="17"/>
          <w:szCs w:val="17"/>
          <w:color w:val="auto"/>
        </w:rPr>
        <w:t>The PCC reviews and discusses the CEO’s self-evaluation of his performance with the Board and makes preliminary recommendations about base salary and LTI compensation based on a consideration of all the factors mentioned above. The PCC then discusses the compensation recommendations with the Board before approving the final compensation decisions. The CEO is not present during PCC voting or deliberations regarding his own compensation.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Compensation Consultant</w:t>
      </w:r>
    </w:p>
    <w:p>
      <w:pPr>
        <w:spacing w:after="0" w:line="114" w:lineRule="exact"/>
        <w:rPr>
          <w:sz w:val="20"/>
          <w:szCs w:val="20"/>
          <w:color w:val="auto"/>
        </w:rPr>
      </w:pPr>
    </w:p>
    <w:p>
      <w:pPr>
        <w:ind w:right="179"/>
        <w:spacing w:after="0" w:line="279" w:lineRule="auto"/>
        <w:rPr>
          <w:sz w:val="20"/>
          <w:szCs w:val="20"/>
          <w:color w:val="auto"/>
        </w:rPr>
      </w:pPr>
      <w:r>
        <w:rPr>
          <w:rFonts w:ascii="Arial" w:cs="Arial" w:eastAsia="Arial" w:hAnsi="Arial"/>
          <w:sz w:val="17"/>
          <w:szCs w:val="17"/>
          <w:color w:val="auto"/>
        </w:rPr>
        <w:t>The PCC retains an independent compensation consultant to assist in evaluating executive compensation programs and advise the PCC regarding the amount and form of executive and director compensation and pay-for-performance alignment. Conferring with a consultant provides additional assurance that our executive and director compensation programs are reasonable, competitive, and consistent with our objectives. The PCC directly engages the consultant under an engagement letter that the PCC reviews at least annually. Since August 2019, the PCC has engaged Semler Brossy as its independent compensation 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80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44996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10375" cy="4499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340"/>
        <w:spacing w:after="0"/>
        <w:rPr>
          <w:sz w:val="20"/>
          <w:szCs w:val="20"/>
          <w:color w:val="auto"/>
        </w:rPr>
      </w:pPr>
      <w:r>
        <w:rPr>
          <w:rFonts w:ascii="Arial" w:cs="Arial" w:eastAsia="Arial" w:hAnsi="Arial"/>
          <w:sz w:val="21"/>
          <w:szCs w:val="21"/>
          <w:b w:val="1"/>
          <w:bCs w:val="1"/>
          <w:color w:val="auto"/>
        </w:rPr>
        <w:t>COMPENSATION DISCUSSION AND ANALYSIS (CD&amp;A)</w:t>
      </w:r>
    </w:p>
    <w:p>
      <w:pPr>
        <w:spacing w:after="0" w:line="48"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Compensation Determination Process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During 2025, Semler Brossy provided the PCC advice and services, including:</w:t>
      </w:r>
    </w:p>
    <w:p>
      <w:pPr>
        <w:spacing w:after="0" w:line="129" w:lineRule="exact"/>
        <w:rPr>
          <w:sz w:val="20"/>
          <w:szCs w:val="20"/>
          <w:color w:val="auto"/>
        </w:rPr>
      </w:pPr>
    </w:p>
    <w:p>
      <w:pPr>
        <w:ind w:left="140" w:hanging="133"/>
        <w:spacing w:after="0"/>
        <w:tabs>
          <w:tab w:leader="none" w:pos="140" w:val="left"/>
        </w:tabs>
        <w:numPr>
          <w:ilvl w:val="0"/>
          <w:numId w:val="93"/>
        </w:numPr>
        <w:rPr>
          <w:rFonts w:ascii="Arial" w:cs="Arial" w:eastAsia="Arial" w:hAnsi="Arial"/>
          <w:sz w:val="17"/>
          <w:szCs w:val="17"/>
          <w:color w:val="582C83"/>
        </w:rPr>
      </w:pPr>
      <w:r>
        <w:rPr>
          <w:rFonts w:ascii="Arial" w:cs="Arial" w:eastAsia="Arial" w:hAnsi="Arial"/>
          <w:sz w:val="17"/>
          <w:szCs w:val="17"/>
          <w:color w:val="auto"/>
        </w:rPr>
        <w:t>regularly participating in PCC meetings, including executive sessions that exclude management;</w:t>
      </w:r>
    </w:p>
    <w:p>
      <w:pPr>
        <w:spacing w:after="0" w:line="74" w:lineRule="exact"/>
        <w:rPr>
          <w:rFonts w:ascii="Arial" w:cs="Arial" w:eastAsia="Arial" w:hAnsi="Arial"/>
          <w:sz w:val="17"/>
          <w:szCs w:val="17"/>
          <w:color w:val="582C83"/>
        </w:rPr>
      </w:pPr>
    </w:p>
    <w:p>
      <w:pPr>
        <w:ind w:left="140" w:hanging="133"/>
        <w:spacing w:after="0"/>
        <w:tabs>
          <w:tab w:leader="none" w:pos="140" w:val="left"/>
        </w:tabs>
        <w:numPr>
          <w:ilvl w:val="0"/>
          <w:numId w:val="93"/>
        </w:numPr>
        <w:rPr>
          <w:rFonts w:ascii="Arial" w:cs="Arial" w:eastAsia="Arial" w:hAnsi="Arial"/>
          <w:sz w:val="17"/>
          <w:szCs w:val="17"/>
          <w:color w:val="582C83"/>
        </w:rPr>
      </w:pPr>
      <w:r>
        <w:rPr>
          <w:rFonts w:ascii="Arial" w:cs="Arial" w:eastAsia="Arial" w:hAnsi="Arial"/>
          <w:sz w:val="17"/>
          <w:szCs w:val="17"/>
          <w:color w:val="auto"/>
        </w:rPr>
        <w:t>consulting with the PCC Chair and being available to consult with other committee members between meetings;</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93"/>
        </w:numPr>
        <w:rPr>
          <w:rFonts w:ascii="Arial" w:cs="Arial" w:eastAsia="Arial" w:hAnsi="Arial"/>
          <w:sz w:val="17"/>
          <w:szCs w:val="17"/>
          <w:color w:val="582C83"/>
        </w:rPr>
      </w:pPr>
      <w:r>
        <w:rPr>
          <w:rFonts w:ascii="Arial" w:cs="Arial" w:eastAsia="Arial" w:hAnsi="Arial"/>
          <w:sz w:val="17"/>
          <w:szCs w:val="17"/>
          <w:color w:val="auto"/>
        </w:rPr>
        <w:t>advising on the composition of the Compensation Survey Peer Group and the Performance Peer Group;</w:t>
      </w:r>
    </w:p>
    <w:p>
      <w:pPr>
        <w:spacing w:after="0" w:line="61" w:lineRule="exact"/>
        <w:rPr>
          <w:rFonts w:ascii="Arial" w:cs="Arial" w:eastAsia="Arial" w:hAnsi="Arial"/>
          <w:sz w:val="17"/>
          <w:szCs w:val="17"/>
          <w:color w:val="582C83"/>
        </w:rPr>
      </w:pPr>
    </w:p>
    <w:p>
      <w:pPr>
        <w:ind w:left="140" w:right="19" w:hanging="133"/>
        <w:spacing w:after="0" w:line="290" w:lineRule="auto"/>
        <w:tabs>
          <w:tab w:leader="none" w:pos="140" w:val="left"/>
        </w:tabs>
        <w:numPr>
          <w:ilvl w:val="0"/>
          <w:numId w:val="93"/>
        </w:numPr>
        <w:rPr>
          <w:rFonts w:ascii="Arial" w:cs="Arial" w:eastAsia="Arial" w:hAnsi="Arial"/>
          <w:sz w:val="17"/>
          <w:szCs w:val="17"/>
          <w:color w:val="582C83"/>
        </w:rPr>
      </w:pPr>
      <w:r>
        <w:rPr>
          <w:rFonts w:ascii="Arial" w:cs="Arial" w:eastAsia="Arial" w:hAnsi="Arial"/>
          <w:sz w:val="17"/>
          <w:szCs w:val="17"/>
          <w:color w:val="auto"/>
        </w:rPr>
        <w:t>providing competitive peer group compensation data for executive positions and evaluating how the compensation we pay the NEOs relates both to the Company’s performance and to how peers compensate their executives;</w:t>
      </w:r>
    </w:p>
    <w:p>
      <w:pPr>
        <w:ind w:left="140" w:right="839" w:hanging="133"/>
        <w:spacing w:after="0" w:line="298" w:lineRule="auto"/>
        <w:tabs>
          <w:tab w:leader="none" w:pos="140" w:val="left"/>
        </w:tabs>
        <w:numPr>
          <w:ilvl w:val="0"/>
          <w:numId w:val="93"/>
        </w:numPr>
        <w:rPr>
          <w:rFonts w:ascii="Arial" w:cs="Arial" w:eastAsia="Arial" w:hAnsi="Arial"/>
          <w:sz w:val="17"/>
          <w:szCs w:val="17"/>
          <w:color w:val="582C83"/>
        </w:rPr>
      </w:pPr>
      <w:r>
        <w:rPr>
          <w:rFonts w:ascii="Arial" w:cs="Arial" w:eastAsia="Arial" w:hAnsi="Arial"/>
          <w:sz w:val="17"/>
          <w:szCs w:val="17"/>
          <w:color w:val="auto"/>
        </w:rPr>
        <w:t>analyzing best practices and providing advice about design of the annual and LTI plans, including selecting performance metrics and ranges;</w:t>
      </w:r>
    </w:p>
    <w:p>
      <w:pPr>
        <w:ind w:left="140" w:hanging="133"/>
        <w:spacing w:after="0"/>
        <w:tabs>
          <w:tab w:leader="none" w:pos="140" w:val="left"/>
        </w:tabs>
        <w:numPr>
          <w:ilvl w:val="0"/>
          <w:numId w:val="93"/>
        </w:numPr>
        <w:rPr>
          <w:rFonts w:ascii="Arial" w:cs="Arial" w:eastAsia="Arial" w:hAnsi="Arial"/>
          <w:sz w:val="17"/>
          <w:szCs w:val="17"/>
          <w:color w:val="582C83"/>
        </w:rPr>
      </w:pPr>
      <w:r>
        <w:rPr>
          <w:rFonts w:ascii="Arial" w:cs="Arial" w:eastAsia="Arial" w:hAnsi="Arial"/>
          <w:sz w:val="17"/>
          <w:szCs w:val="17"/>
          <w:color w:val="auto"/>
        </w:rPr>
        <w:t>updating the PCC on executive compensation trends, issues, and regulatory developments;</w:t>
      </w:r>
    </w:p>
    <w:p>
      <w:pPr>
        <w:spacing w:after="0" w:line="61" w:lineRule="exact"/>
        <w:rPr>
          <w:rFonts w:ascii="Arial" w:cs="Arial" w:eastAsia="Arial" w:hAnsi="Arial"/>
          <w:sz w:val="17"/>
          <w:szCs w:val="17"/>
          <w:color w:val="582C83"/>
        </w:rPr>
      </w:pPr>
    </w:p>
    <w:p>
      <w:pPr>
        <w:ind w:left="140" w:right="159" w:hanging="133"/>
        <w:spacing w:after="0" w:line="298" w:lineRule="auto"/>
        <w:tabs>
          <w:tab w:leader="none" w:pos="140" w:val="left"/>
        </w:tabs>
        <w:numPr>
          <w:ilvl w:val="0"/>
          <w:numId w:val="93"/>
        </w:numPr>
        <w:rPr>
          <w:rFonts w:ascii="Arial" w:cs="Arial" w:eastAsia="Arial" w:hAnsi="Arial"/>
          <w:sz w:val="17"/>
          <w:szCs w:val="17"/>
          <w:color w:val="582C83"/>
        </w:rPr>
      </w:pPr>
      <w:r>
        <w:rPr>
          <w:rFonts w:ascii="Arial" w:cs="Arial" w:eastAsia="Arial" w:hAnsi="Arial"/>
          <w:sz w:val="17"/>
          <w:szCs w:val="17"/>
          <w:color w:val="auto"/>
        </w:rPr>
        <w:t>advising on our proxy statement and CD&amp;A and supporting our efforts in shareholder outreach on the compensation program; and</w:t>
      </w:r>
    </w:p>
    <w:p>
      <w:pPr>
        <w:ind w:left="140" w:hanging="133"/>
        <w:spacing w:after="0"/>
        <w:tabs>
          <w:tab w:leader="none" w:pos="140" w:val="left"/>
        </w:tabs>
        <w:numPr>
          <w:ilvl w:val="0"/>
          <w:numId w:val="93"/>
        </w:numPr>
        <w:rPr>
          <w:rFonts w:ascii="Arial" w:cs="Arial" w:eastAsia="Arial" w:hAnsi="Arial"/>
          <w:sz w:val="17"/>
          <w:szCs w:val="17"/>
          <w:color w:val="582C83"/>
        </w:rPr>
      </w:pPr>
      <w:r>
        <w:rPr>
          <w:rFonts w:ascii="Arial" w:cs="Arial" w:eastAsia="Arial" w:hAnsi="Arial"/>
          <w:sz w:val="17"/>
          <w:szCs w:val="17"/>
          <w:color w:val="auto"/>
        </w:rPr>
        <w:t>benchmarking, assessing, and recommending non-employee director compensation.</w:t>
      </w:r>
    </w:p>
    <w:p>
      <w:pPr>
        <w:spacing w:after="0" w:line="129" w:lineRule="exact"/>
        <w:rPr>
          <w:sz w:val="20"/>
          <w:szCs w:val="20"/>
          <w:color w:val="auto"/>
        </w:rPr>
      </w:pPr>
    </w:p>
    <w:p>
      <w:pPr>
        <w:ind w:right="439"/>
        <w:spacing w:after="0" w:line="317" w:lineRule="auto"/>
        <w:rPr>
          <w:sz w:val="20"/>
          <w:szCs w:val="20"/>
          <w:color w:val="auto"/>
        </w:rPr>
      </w:pPr>
      <w:r>
        <w:rPr>
          <w:rFonts w:ascii="Arial" w:cs="Arial" w:eastAsia="Arial" w:hAnsi="Arial"/>
          <w:sz w:val="17"/>
          <w:szCs w:val="17"/>
          <w:color w:val="auto"/>
        </w:rPr>
        <w:t>For the year ended December 31, 2025, Semler Brossy provided no services to Mondelēz International other than consulting services to the PCC regarding executive and non-employee director compensation.</w:t>
      </w:r>
    </w:p>
    <w:p>
      <w:pPr>
        <w:spacing w:after="0" w:line="37" w:lineRule="exact"/>
        <w:rPr>
          <w:sz w:val="20"/>
          <w:szCs w:val="20"/>
          <w:color w:val="auto"/>
        </w:rPr>
      </w:pPr>
    </w:p>
    <w:p>
      <w:pPr>
        <w:ind w:right="19"/>
        <w:spacing w:after="0" w:line="288" w:lineRule="auto"/>
        <w:rPr>
          <w:sz w:val="20"/>
          <w:szCs w:val="20"/>
          <w:color w:val="auto"/>
        </w:rPr>
      </w:pPr>
      <w:r>
        <w:rPr>
          <w:rFonts w:ascii="Arial" w:cs="Arial" w:eastAsia="Arial" w:hAnsi="Arial"/>
          <w:sz w:val="17"/>
          <w:szCs w:val="17"/>
          <w:color w:val="auto"/>
        </w:rPr>
        <w:t>At least annually, the PCC reviews the current engagements and the objectivity and independence of the advice that Semler Brossy provides on executive and non-employee director compensation. In 2025, the PCC considered the six specific independence factors adopted by the SEC and Nasdaq and determined that Semler Brossy is independent and Semler Brossy’s work did not raise any conflicts of interest.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Chief Executive Officer</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Each year the CEO makes compensation recommendations to the PCC for base salary, annual incentive, and LTI</w:t>
      </w:r>
    </w:p>
    <w:p>
      <w:pPr>
        <w:sectPr>
          <w:pgSz w:w="11900" w:h="16838" w:orient="portrait"/>
          <w:cols w:equalWidth="0" w:num="1">
            <w:col w:w="9039"/>
          </w:cols>
          <w:pgMar w:left="1420" w:top="118" w:right="1440" w:bottom="0" w:gutter="0" w:footer="0" w:header="0"/>
        </w:sectPr>
      </w:pPr>
    </w:p>
    <w:bookmarkStart w:id="71" w:name="page72"/>
    <w:bookmarkEnd w:id="71"/>
    <w:p>
      <w:pPr>
        <w:spacing w:after="0" w:line="8" w:lineRule="exact"/>
        <w:rPr>
          <w:sz w:val="20"/>
          <w:szCs w:val="20"/>
          <w:color w:val="auto"/>
        </w:rPr>
      </w:pPr>
    </w:p>
    <w:p>
      <w:pPr>
        <w:spacing w:after="0" w:line="181" w:lineRule="auto"/>
        <w:rPr>
          <w:sz w:val="20"/>
          <w:szCs w:val="20"/>
          <w:color w:val="auto"/>
        </w:rPr>
      </w:pPr>
      <w:r>
        <w:rPr>
          <w:rFonts w:ascii="Arial" w:cs="Arial" w:eastAsia="Arial" w:hAnsi="Arial"/>
          <w:sz w:val="20"/>
          <w:szCs w:val="20"/>
          <w:color w:val="auto"/>
          <w:vertAlign w:val="superscript"/>
        </w:rPr>
        <w:t>comp</w:t>
      </w:r>
      <w:r>
        <w:rPr>
          <w:rFonts w:ascii="Arial" w:cs="Arial" w:eastAsia="Arial" w:hAnsi="Arial"/>
          <w:sz w:val="12"/>
          <w:szCs w:val="12"/>
          <w:color w:val="auto"/>
        </w:rPr>
        <w:t>e</w:t>
      </w:r>
      <w:r>
        <w:rPr>
          <w:rFonts w:ascii="Arial" w:cs="Arial" w:eastAsia="Arial" w:hAnsi="Arial"/>
          <w:sz w:val="20"/>
          <w:szCs w:val="20"/>
          <w:color w:val="auto"/>
          <w:vertAlign w:val="superscript"/>
        </w:rPr>
        <w:t>n</w:t>
      </w:r>
      <w:r>
        <w:rPr>
          <w:rFonts w:ascii="Arial" w:cs="Arial" w:eastAsia="Arial" w:hAnsi="Arial"/>
          <w:sz w:val="12"/>
          <w:szCs w:val="12"/>
          <w:color w:val="auto"/>
        </w:rPr>
        <w:t>sation for the NEOs other than himself, taking into account pay competitiveness and both individual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-20320</wp:posOffset>
            </wp:positionV>
            <wp:extent cx="6810375" cy="4356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10375" cy="4356735"/>
                    </a:xfrm>
                    <a:prstGeom prst="rect">
                      <a:avLst/>
                    </a:prstGeom>
                    <a:noFill/>
                  </pic:spPr>
                </pic:pic>
              </a:graphicData>
            </a:graphic>
          </wp:anchor>
        </w:drawing>
      </w:r>
    </w:p>
    <w:p>
      <w:pPr>
        <w:ind w:firstLine="418"/>
        <w:spacing w:after="0" w:line="276" w:lineRule="auto"/>
        <w:rPr>
          <w:sz w:val="20"/>
          <w:szCs w:val="20"/>
          <w:color w:val="auto"/>
        </w:rPr>
      </w:pPr>
      <w:r>
        <w:rPr>
          <w:rFonts w:ascii="Arial" w:cs="Arial" w:eastAsia="Arial" w:hAnsi="Arial"/>
          <w:sz w:val="17"/>
          <w:szCs w:val="17"/>
          <w:color w:val="auto"/>
        </w:rPr>
        <w:t>a y performance. The PCC reviews and discusses these recommendations with the CEO, but the PCC retains full discretion over the compensation of these employees. The PCC considers individual performance in the compensation recommendations made by the CEO. Based on each NEO’s contributions in specific areas, such as achievement of key strategic initiatives, operational efficiency, enterprise leadership, quality of financial results, leadership in a time of crisis, and talent management, the CEO also provides the PCC with individual performance assessments and rating recommendations. The PCC considers the CEO’s analysis and direct knowledge of each NEO’s performance and contributions when determining the NEOs’ individual performance ratings and making final compensation decisions.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The CEO does not make recommendations or participate in deliberations regarding his own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60769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10375" cy="6076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COMPENSATION DISCUSSION AND ANALYSIS (CD&amp;A)</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Compensation Governance</w:t>
      </w: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COMPENSATION GOVERNANCE</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HOW THE PCC MANAGES COMPENSATION-RELATED RISK</w:t>
      </w:r>
    </w:p>
    <w:p>
      <w:pPr>
        <w:spacing w:after="0" w:line="11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it does each year, in 2025, the PCC evaluated whether our compensation designs, policies, and practices operate to discourage our executive officers and other employees from taking unnecessary or excessive risks. As described above, we design our compensation to incentivize executives and other employees to achieve the Company’s financial and strategic goals as well as individual performance goals that promote long-term shareholder returns. Our compensation design discourages our executives and other employees from taking excessive risks for short-term benefits that may harm the Company and our shareholders in the long term. The compensation program includes several risk-mitigating elements, including:</w:t>
      </w:r>
    </w:p>
    <w:p>
      <w:pPr>
        <w:spacing w:after="0" w:line="70" w:lineRule="exact"/>
        <w:rPr>
          <w:sz w:val="20"/>
          <w:szCs w:val="20"/>
          <w:color w:val="auto"/>
        </w:rPr>
      </w:pPr>
    </w:p>
    <w:p>
      <w:pPr>
        <w:ind w:left="140" w:right="720" w:hanging="133"/>
        <w:spacing w:after="0" w:line="298" w:lineRule="auto"/>
        <w:tabs>
          <w:tab w:leader="none" w:pos="140" w:val="left"/>
        </w:tabs>
        <w:numPr>
          <w:ilvl w:val="0"/>
          <w:numId w:val="94"/>
        </w:numPr>
        <w:rPr>
          <w:rFonts w:ascii="Arial" w:cs="Arial" w:eastAsia="Arial" w:hAnsi="Arial"/>
          <w:sz w:val="17"/>
          <w:szCs w:val="17"/>
          <w:color w:val="582C83"/>
        </w:rPr>
      </w:pPr>
      <w:r>
        <w:rPr>
          <w:rFonts w:ascii="Arial" w:cs="Arial" w:eastAsia="Arial" w:hAnsi="Arial"/>
          <w:sz w:val="17"/>
          <w:szCs w:val="17"/>
          <w:color w:val="auto"/>
        </w:rPr>
        <w:t>using both short-term and long-term performance-based compensation, so executives do not focus solely on short-term performance;</w:t>
      </w:r>
    </w:p>
    <w:p>
      <w:pPr>
        <w:ind w:left="140" w:right="100" w:hanging="133"/>
        <w:spacing w:after="0" w:line="290" w:lineRule="auto"/>
        <w:tabs>
          <w:tab w:leader="none" w:pos="140" w:val="left"/>
        </w:tabs>
        <w:numPr>
          <w:ilvl w:val="0"/>
          <w:numId w:val="94"/>
        </w:numPr>
        <w:rPr>
          <w:rFonts w:ascii="Arial" w:cs="Arial" w:eastAsia="Arial" w:hAnsi="Arial"/>
          <w:sz w:val="17"/>
          <w:szCs w:val="17"/>
          <w:color w:val="582C83"/>
        </w:rPr>
      </w:pPr>
      <w:r>
        <w:rPr>
          <w:rFonts w:ascii="Arial" w:cs="Arial" w:eastAsia="Arial" w:hAnsi="Arial"/>
          <w:sz w:val="17"/>
          <w:szCs w:val="17"/>
          <w:color w:val="auto"/>
        </w:rPr>
        <w:t>weighting executive compensation heavily toward LTI to encourage sustainable shareholder value and accountability for long-term results;</w:t>
      </w:r>
    </w:p>
    <w:p>
      <w:pPr>
        <w:ind w:left="140" w:right="560" w:hanging="133"/>
        <w:spacing w:after="0" w:line="298" w:lineRule="auto"/>
        <w:tabs>
          <w:tab w:leader="none" w:pos="140" w:val="left"/>
        </w:tabs>
        <w:numPr>
          <w:ilvl w:val="0"/>
          <w:numId w:val="94"/>
        </w:numPr>
        <w:rPr>
          <w:rFonts w:ascii="Arial" w:cs="Arial" w:eastAsia="Arial" w:hAnsi="Arial"/>
          <w:sz w:val="17"/>
          <w:szCs w:val="17"/>
          <w:color w:val="582C83"/>
        </w:rPr>
      </w:pPr>
      <w:r>
        <w:rPr>
          <w:rFonts w:ascii="Arial" w:cs="Arial" w:eastAsia="Arial" w:hAnsi="Arial"/>
          <w:sz w:val="17"/>
          <w:szCs w:val="17"/>
          <w:color w:val="auto"/>
        </w:rPr>
        <w:t>using multiple relevant performance measures in our incentive plan designs, so executives do not place undue importance on one measure, which could distort the results that we want to incent;</w:t>
      </w:r>
    </w:p>
    <w:p>
      <w:pPr>
        <w:ind w:left="140" w:hanging="133"/>
        <w:spacing w:after="0"/>
        <w:tabs>
          <w:tab w:leader="none" w:pos="140" w:val="left"/>
        </w:tabs>
        <w:numPr>
          <w:ilvl w:val="0"/>
          <w:numId w:val="94"/>
        </w:numPr>
        <w:rPr>
          <w:rFonts w:ascii="Arial" w:cs="Arial" w:eastAsia="Arial" w:hAnsi="Arial"/>
          <w:sz w:val="17"/>
          <w:szCs w:val="17"/>
          <w:color w:val="582C83"/>
        </w:rPr>
      </w:pPr>
      <w:r>
        <w:rPr>
          <w:rFonts w:ascii="Arial" w:cs="Arial" w:eastAsia="Arial" w:hAnsi="Arial"/>
          <w:sz w:val="17"/>
          <w:szCs w:val="17"/>
          <w:color w:val="auto"/>
        </w:rPr>
        <w:t>weighting both business performance and SPIs in our AIP, so executives do not have too narrow a focus;</w:t>
      </w:r>
    </w:p>
    <w:p>
      <w:pPr>
        <w:spacing w:after="0" w:line="61" w:lineRule="exact"/>
        <w:rPr>
          <w:rFonts w:ascii="Arial" w:cs="Arial" w:eastAsia="Arial" w:hAnsi="Arial"/>
          <w:sz w:val="17"/>
          <w:szCs w:val="17"/>
          <w:color w:val="582C83"/>
        </w:rPr>
      </w:pPr>
    </w:p>
    <w:p>
      <w:pPr>
        <w:ind w:left="140" w:right="160" w:hanging="133"/>
        <w:spacing w:after="0" w:line="298" w:lineRule="auto"/>
        <w:tabs>
          <w:tab w:leader="none" w:pos="1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use of relative metrics in the LTI plan, as well as in certain SPIs in our AIP, to measure comparability of performance in addition to absolute performance;</w:t>
      </w:r>
    </w:p>
    <w:p>
      <w:pPr>
        <w:ind w:left="140" w:hanging="133"/>
        <w:spacing w:after="0"/>
        <w:tabs>
          <w:tab w:leader="none" w:pos="1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capping incentive award payouts;</w:t>
      </w:r>
    </w:p>
    <w:p>
      <w:pPr>
        <w:spacing w:after="0" w:line="61" w:lineRule="exact"/>
        <w:rPr>
          <w:rFonts w:ascii="Arial" w:cs="Arial" w:eastAsia="Arial" w:hAnsi="Arial"/>
          <w:sz w:val="17"/>
          <w:szCs w:val="17"/>
          <w:color w:val="auto"/>
        </w:rPr>
      </w:pPr>
    </w:p>
    <w:p>
      <w:pPr>
        <w:ind w:left="140" w:right="360" w:hanging="133"/>
        <w:spacing w:after="0" w:line="287" w:lineRule="auto"/>
        <w:tabs>
          <w:tab w:leader="none" w:pos="1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retaining discretion to reduce incentive awards based on unforeseen or unintended consequences and claw back compensation upon certain financial restatements or significant misconduct that could damage the reputation of the Company;</w:t>
      </w:r>
    </w:p>
    <w:p>
      <w:pPr>
        <w:ind w:left="140" w:hanging="133"/>
        <w:spacing w:after="0" w:line="290" w:lineRule="auto"/>
        <w:tabs>
          <w:tab w:leader="none" w:pos="140" w:val="left"/>
        </w:tabs>
        <w:numPr>
          <w:ilvl w:val="0"/>
          <w:numId w:val="94"/>
        </w:numPr>
        <w:rPr>
          <w:rFonts w:ascii="Arial" w:cs="Arial" w:eastAsia="Arial" w:hAnsi="Arial"/>
          <w:sz w:val="17"/>
          <w:szCs w:val="17"/>
          <w:color w:val="582C83"/>
        </w:rPr>
      </w:pPr>
      <w:r>
        <w:rPr>
          <w:rFonts w:ascii="Arial" w:cs="Arial" w:eastAsia="Arial" w:hAnsi="Arial"/>
          <w:sz w:val="17"/>
          <w:szCs w:val="17"/>
          <w:color w:val="auto"/>
        </w:rPr>
        <w:t>requiring our top executives to hold a significant amount of their compensation in Common Stock and prohibiting them from hedging, pledging, or engaging in short sales of their Common Stock;</w:t>
      </w:r>
    </w:p>
    <w:p>
      <w:pPr>
        <w:ind w:left="140" w:hanging="133"/>
        <w:spacing w:after="0"/>
        <w:tabs>
          <w:tab w:leader="none" w:pos="140" w:val="left"/>
        </w:tabs>
        <w:numPr>
          <w:ilvl w:val="0"/>
          <w:numId w:val="94"/>
        </w:numPr>
        <w:rPr>
          <w:rFonts w:ascii="Arial" w:cs="Arial" w:eastAsia="Arial" w:hAnsi="Arial"/>
          <w:sz w:val="17"/>
          <w:szCs w:val="17"/>
          <w:color w:val="582C83"/>
        </w:rPr>
      </w:pPr>
      <w:r>
        <w:rPr>
          <w:rFonts w:ascii="Arial" w:cs="Arial" w:eastAsia="Arial" w:hAnsi="Arial"/>
          <w:sz w:val="17"/>
          <w:szCs w:val="17"/>
          <w:color w:val="auto"/>
        </w:rPr>
        <w:t>minimizing use of employment contracts;</w:t>
      </w:r>
    </w:p>
    <w:p>
      <w:pPr>
        <w:spacing w:after="0" w:line="74" w:lineRule="exact"/>
        <w:rPr>
          <w:rFonts w:ascii="Arial" w:cs="Arial" w:eastAsia="Arial" w:hAnsi="Arial"/>
          <w:sz w:val="17"/>
          <w:szCs w:val="17"/>
          <w:color w:val="582C83"/>
        </w:rPr>
      </w:pPr>
    </w:p>
    <w:p>
      <w:pPr>
        <w:ind w:left="140" w:hanging="133"/>
        <w:spacing w:after="0"/>
        <w:tabs>
          <w:tab w:leader="none" w:pos="140" w:val="left"/>
        </w:tabs>
        <w:numPr>
          <w:ilvl w:val="0"/>
          <w:numId w:val="94"/>
        </w:numPr>
        <w:rPr>
          <w:rFonts w:ascii="Arial" w:cs="Arial" w:eastAsia="Arial" w:hAnsi="Arial"/>
          <w:sz w:val="17"/>
          <w:szCs w:val="17"/>
          <w:color w:val="582C83"/>
        </w:rPr>
      </w:pPr>
      <w:r>
        <w:rPr>
          <w:rFonts w:ascii="Arial" w:cs="Arial" w:eastAsia="Arial" w:hAnsi="Arial"/>
          <w:sz w:val="17"/>
          <w:szCs w:val="17"/>
          <w:color w:val="auto"/>
        </w:rPr>
        <w:t>not backdating or re-pricing option grants; and</w:t>
      </w:r>
    </w:p>
    <w:p>
      <w:pPr>
        <w:spacing w:after="0" w:line="61" w:lineRule="exact"/>
        <w:rPr>
          <w:rFonts w:ascii="Arial" w:cs="Arial" w:eastAsia="Arial" w:hAnsi="Arial"/>
          <w:sz w:val="17"/>
          <w:szCs w:val="17"/>
          <w:color w:val="582C83"/>
        </w:rPr>
      </w:pPr>
    </w:p>
    <w:p>
      <w:pPr>
        <w:ind w:left="140" w:right="360" w:hanging="133"/>
        <w:spacing w:after="0" w:line="301" w:lineRule="auto"/>
        <w:tabs>
          <w:tab w:leader="none" w:pos="140" w:val="left"/>
        </w:tabs>
        <w:numPr>
          <w:ilvl w:val="0"/>
          <w:numId w:val="94"/>
        </w:numPr>
        <w:rPr>
          <w:rFonts w:ascii="Arial" w:cs="Arial" w:eastAsia="Arial" w:hAnsi="Arial"/>
          <w:sz w:val="17"/>
          <w:szCs w:val="17"/>
          <w:color w:val="582C83"/>
        </w:rPr>
      </w:pPr>
      <w:r>
        <w:rPr>
          <w:rFonts w:ascii="Arial" w:cs="Arial" w:eastAsia="Arial" w:hAnsi="Arial"/>
          <w:sz w:val="17"/>
          <w:szCs w:val="17"/>
          <w:color w:val="auto"/>
        </w:rPr>
        <w:t>not paying severance benefits on CIC events unless the affected executive is first involuntarily terminated without cause or terminates due to good reason.</w:t>
      </w:r>
    </w:p>
    <w:p>
      <w:pPr>
        <w:spacing w:after="0" w:line="63"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color w:val="auto"/>
        </w:rPr>
        <w:t>The Audit Committee oversees our ethics and compliance programs that educate executives and other employees on appropriate behavior and the consequences of inappropriate actions. Additionally, the PCC reviews workplace</w:t>
      </w:r>
    </w:p>
    <w:p>
      <w:pPr>
        <w:sectPr>
          <w:pgSz w:w="11900" w:h="16846" w:orient="portrait"/>
          <w:cols w:equalWidth="0" w:num="1">
            <w:col w:w="9040"/>
          </w:cols>
          <w:pgMar w:left="1420" w:top="0" w:right="1439" w:bottom="0" w:gutter="0" w:footer="0" w:header="0"/>
        </w:sectPr>
      </w:pPr>
    </w:p>
    <w:bookmarkStart w:id="72" w:name="page73"/>
    <w:bookmarkEnd w:id="72"/>
    <w:p>
      <w:pPr>
        <w:ind w:right="260"/>
        <w:spacing w:after="0" w:line="221" w:lineRule="auto"/>
        <w:rPr>
          <w:sz w:val="20"/>
          <w:szCs w:val="20"/>
          <w:color w:val="auto"/>
        </w:rPr>
      </w:pPr>
      <w:r>
        <w:rPr>
          <w:rFonts w:ascii="Arial" w:cs="Arial" w:eastAsia="Arial" w:hAnsi="Arial"/>
          <w:sz w:val="17"/>
          <w:szCs w:val="17"/>
          <w:color w:val="auto"/>
        </w:rPr>
        <w:t>compliance on at least an annual basis. These programs not only drive compliance and integrity, but also encourage employees with knowledge of potential wrongdoing to report concerns by providing multiple reporting avenues while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-205105</wp:posOffset>
            </wp:positionV>
            <wp:extent cx="6810375" cy="27793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10375" cy="277939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protecting reporting employees against retaliation.</w:t>
      </w:r>
    </w:p>
    <w:p>
      <w:pPr>
        <w:spacing w:after="0" w:line="129"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In light of these considerations, the PCC believes that our compensation programs and processes do not encourage excessive risk taking, nor do they create risks that are reasonably likely to have a material adverse effect on the Company. Semler Brossy conducted a thorough annual review of our approach and reviewed the PCC’s risk analysis and agreed with this conclusion.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82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765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10375" cy="765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60"/>
        <w:spacing w:after="0"/>
        <w:rPr>
          <w:sz w:val="20"/>
          <w:szCs w:val="20"/>
          <w:color w:val="auto"/>
        </w:rPr>
      </w:pPr>
      <w:r>
        <w:rPr>
          <w:rFonts w:ascii="Arial" w:cs="Arial" w:eastAsia="Arial" w:hAnsi="Arial"/>
          <w:sz w:val="22"/>
          <w:szCs w:val="22"/>
          <w:b w:val="1"/>
          <w:bCs w:val="1"/>
          <w:color w:val="auto"/>
        </w:rPr>
        <w:t>COMPENSATION DISCUSSION AND ANALYSIS (CD&amp;A)</w:t>
      </w:r>
    </w:p>
    <w:p>
      <w:pPr>
        <w:spacing w:after="0" w:line="3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Compensation Governance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STOCK OWNERSHIP</w:t>
      </w:r>
    </w:p>
    <w:p>
      <w:pPr>
        <w:spacing w:after="0" w:line="118" w:lineRule="exact"/>
        <w:rPr>
          <w:sz w:val="20"/>
          <w:szCs w:val="20"/>
          <w:color w:val="auto"/>
        </w:rPr>
      </w:pPr>
    </w:p>
    <w:p>
      <w:pPr>
        <w:ind w:right="360"/>
        <w:spacing w:after="0" w:line="283" w:lineRule="auto"/>
        <w:rPr>
          <w:sz w:val="20"/>
          <w:szCs w:val="20"/>
          <w:color w:val="auto"/>
        </w:rPr>
      </w:pPr>
      <w:r>
        <w:rPr>
          <w:rFonts w:ascii="Arial" w:cs="Arial" w:eastAsia="Arial" w:hAnsi="Arial"/>
          <w:sz w:val="17"/>
          <w:szCs w:val="17"/>
          <w:color w:val="auto"/>
        </w:rPr>
        <w:t>To further align NEO and shareholder interests, the PCC requires all executives to hold a significant amount of Common Stock. The following chart summarizes our requirements, which are comparable to, or greater than, stock ownership requirements at the majority of companies in our Compensation Survey Peer Group.</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96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Key Provisions</w:t>
            </w:r>
          </w:p>
        </w:tc>
        <w:tc>
          <w:tcPr>
            <w:tcW w:w="7080" w:type="dxa"/>
            <w:vAlign w:val="bottom"/>
            <w:tcBorders>
              <w:bottom w:val="single" w:sz="8" w:color="582C83"/>
            </w:tcBorders>
            <w:gridSpan w:val="2"/>
          </w:tcPr>
          <w:p>
            <w:pPr>
              <w:ind w:left="60"/>
              <w:spacing w:after="0"/>
              <w:rPr>
                <w:sz w:val="20"/>
                <w:szCs w:val="20"/>
                <w:color w:val="auto"/>
              </w:rPr>
            </w:pPr>
            <w:r>
              <w:rPr>
                <w:rFonts w:ascii="Arial" w:cs="Arial" w:eastAsia="Arial" w:hAnsi="Arial"/>
                <w:sz w:val="14"/>
                <w:szCs w:val="14"/>
                <w:b w:val="1"/>
                <w:bCs w:val="1"/>
                <w:color w:val="auto"/>
              </w:rPr>
              <w:t>Explanation of Key Provisions</w:t>
            </w:r>
          </w:p>
        </w:tc>
      </w:tr>
      <w:tr>
        <w:trPr>
          <w:trHeight w:val="268"/>
        </w:trPr>
        <w:tc>
          <w:tcPr>
            <w:tcW w:w="196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Ownership expectation</w:t>
            </w:r>
          </w:p>
        </w:tc>
        <w:tc>
          <w:tcPr>
            <w:tcW w:w="14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6940" w:type="dxa"/>
            <w:vAlign w:val="bottom"/>
            <w:shd w:val="clear" w:color="auto" w:fill="E0DBEA"/>
          </w:tcPr>
          <w:p>
            <w:pPr>
              <w:ind w:left="40"/>
              <w:spacing w:after="0"/>
              <w:rPr>
                <w:sz w:val="20"/>
                <w:szCs w:val="20"/>
                <w:color w:val="auto"/>
              </w:rPr>
            </w:pPr>
            <w:r>
              <w:rPr>
                <w:rFonts w:ascii="Arial" w:cs="Arial" w:eastAsia="Arial" w:hAnsi="Arial"/>
                <w:sz w:val="14"/>
                <w:szCs w:val="14"/>
                <w:color w:val="auto"/>
              </w:rPr>
              <w:t>CEO: 8 times salary</w:t>
            </w:r>
          </w:p>
        </w:tc>
      </w:tr>
      <w:tr>
        <w:trPr>
          <w:trHeight w:val="214"/>
        </w:trPr>
        <w:tc>
          <w:tcPr>
            <w:tcW w:w="1960" w:type="dxa"/>
            <w:vAlign w:val="bottom"/>
            <w:tcBorders>
              <w:bottom w:val="single" w:sz="8" w:color="582C83"/>
            </w:tcBorders>
            <w:shd w:val="clear" w:color="auto" w:fill="E0DBEA"/>
          </w:tcPr>
          <w:p>
            <w:pPr>
              <w:spacing w:after="0"/>
              <w:rPr>
                <w:sz w:val="18"/>
                <w:szCs w:val="18"/>
                <w:color w:val="auto"/>
              </w:rPr>
            </w:pPr>
          </w:p>
        </w:tc>
        <w:tc>
          <w:tcPr>
            <w:tcW w:w="14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6940" w:type="dxa"/>
            <w:vAlign w:val="bottom"/>
            <w:tcBorders>
              <w:bottom w:val="single" w:sz="8" w:color="582C83"/>
            </w:tcBorders>
            <w:shd w:val="clear" w:color="auto" w:fill="E0DBEA"/>
          </w:tcPr>
          <w:p>
            <w:pPr>
              <w:ind w:left="40"/>
              <w:spacing w:after="0"/>
              <w:rPr>
                <w:sz w:val="20"/>
                <w:szCs w:val="20"/>
                <w:color w:val="auto"/>
              </w:rPr>
            </w:pPr>
            <w:r>
              <w:rPr>
                <w:rFonts w:ascii="Arial" w:cs="Arial" w:eastAsia="Arial" w:hAnsi="Arial"/>
                <w:sz w:val="14"/>
                <w:szCs w:val="14"/>
                <w:color w:val="auto"/>
              </w:rPr>
              <w:t>Other NEOs: 4 times salary</w:t>
            </w:r>
          </w:p>
        </w:tc>
      </w:tr>
      <w:tr>
        <w:trPr>
          <w:trHeight w:val="200"/>
        </w:trPr>
        <w:tc>
          <w:tcPr>
            <w:tcW w:w="196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Time to meet expectation</w:t>
            </w:r>
          </w:p>
        </w:tc>
        <w:tc>
          <w:tcPr>
            <w:tcW w:w="140" w:type="dxa"/>
            <w:vAlign w:val="bottom"/>
            <w:tcBorders>
              <w:bottom w:val="single" w:sz="8" w:color="582C83"/>
            </w:tcBorders>
          </w:tcPr>
          <w:p>
            <w:pPr>
              <w:ind w:left="60"/>
              <w:spacing w:after="0"/>
              <w:rPr>
                <w:sz w:val="20"/>
                <w:szCs w:val="20"/>
                <w:color w:val="auto"/>
              </w:rPr>
            </w:pPr>
            <w:r>
              <w:rPr>
                <w:rFonts w:ascii="Arial" w:cs="Arial" w:eastAsia="Arial" w:hAnsi="Arial"/>
                <w:sz w:val="14"/>
                <w:szCs w:val="14"/>
                <w:color w:val="582C83"/>
              </w:rPr>
              <w:t>•</w:t>
            </w:r>
          </w:p>
        </w:tc>
        <w:tc>
          <w:tcPr>
            <w:tcW w:w="6940" w:type="dxa"/>
            <w:vAlign w:val="bottom"/>
            <w:tcBorders>
              <w:bottom w:val="single" w:sz="8" w:color="582C83"/>
            </w:tcBorders>
          </w:tcPr>
          <w:p>
            <w:pPr>
              <w:ind w:left="40"/>
              <w:spacing w:after="0"/>
              <w:rPr>
                <w:sz w:val="20"/>
                <w:szCs w:val="20"/>
                <w:color w:val="auto"/>
              </w:rPr>
            </w:pPr>
            <w:r>
              <w:rPr>
                <w:rFonts w:ascii="Arial" w:cs="Arial" w:eastAsia="Arial" w:hAnsi="Arial"/>
                <w:sz w:val="14"/>
                <w:szCs w:val="14"/>
                <w:color w:val="auto"/>
              </w:rPr>
              <w:t>5 years from employment date or 3 years following a promotion</w:t>
            </w:r>
          </w:p>
        </w:tc>
      </w:tr>
      <w:tr>
        <w:trPr>
          <w:trHeight w:val="187"/>
        </w:trPr>
        <w:tc>
          <w:tcPr>
            <w:tcW w:w="196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Shares counted toward</w:t>
            </w:r>
          </w:p>
        </w:tc>
        <w:tc>
          <w:tcPr>
            <w:tcW w:w="14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6940" w:type="dxa"/>
            <w:vAlign w:val="bottom"/>
            <w:shd w:val="clear" w:color="auto" w:fill="E0DBEA"/>
          </w:tcPr>
          <w:p>
            <w:pPr>
              <w:ind w:left="40"/>
              <w:spacing w:after="0"/>
              <w:rPr>
                <w:sz w:val="20"/>
                <w:szCs w:val="20"/>
                <w:color w:val="auto"/>
              </w:rPr>
            </w:pPr>
            <w:r>
              <w:rPr>
                <w:rFonts w:ascii="Arial" w:cs="Arial" w:eastAsia="Arial" w:hAnsi="Arial"/>
                <w:sz w:val="14"/>
                <w:szCs w:val="14"/>
                <w:color w:val="auto"/>
              </w:rPr>
              <w:t>Common Stock, including shares owned outright, direct purchase plan shares, unvested DSUs, and</w:t>
            </w:r>
          </w:p>
        </w:tc>
      </w:tr>
      <w:tr>
        <w:trPr>
          <w:trHeight w:val="204"/>
        </w:trPr>
        <w:tc>
          <w:tcPr>
            <w:tcW w:w="196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ownership</w:t>
            </w:r>
          </w:p>
        </w:tc>
        <w:tc>
          <w:tcPr>
            <w:tcW w:w="140" w:type="dxa"/>
            <w:vAlign w:val="bottom"/>
            <w:shd w:val="clear" w:color="auto" w:fill="E0DBEA"/>
          </w:tcPr>
          <w:p>
            <w:pPr>
              <w:spacing w:after="0"/>
              <w:rPr>
                <w:sz w:val="17"/>
                <w:szCs w:val="17"/>
                <w:color w:val="auto"/>
              </w:rPr>
            </w:pPr>
          </w:p>
        </w:tc>
        <w:tc>
          <w:tcPr>
            <w:tcW w:w="6940" w:type="dxa"/>
            <w:vAlign w:val="bottom"/>
            <w:shd w:val="clear" w:color="auto" w:fill="E0DBEA"/>
          </w:tcPr>
          <w:p>
            <w:pPr>
              <w:ind w:left="40"/>
              <w:spacing w:after="0"/>
              <w:rPr>
                <w:sz w:val="20"/>
                <w:szCs w:val="20"/>
                <w:color w:val="auto"/>
              </w:rPr>
            </w:pPr>
            <w:r>
              <w:rPr>
                <w:rFonts w:ascii="Arial" w:cs="Arial" w:eastAsia="Arial" w:hAnsi="Arial"/>
                <w:sz w:val="14"/>
                <w:szCs w:val="14"/>
                <w:color w:val="auto"/>
              </w:rPr>
              <w:t>accounts over which the executive has direct or indirect ownership or control</w:t>
            </w:r>
          </w:p>
        </w:tc>
      </w:tr>
      <w:tr>
        <w:trPr>
          <w:trHeight w:val="220"/>
        </w:trPr>
        <w:tc>
          <w:tcPr>
            <w:tcW w:w="1960" w:type="dxa"/>
            <w:vAlign w:val="bottom"/>
            <w:tcBorders>
              <w:bottom w:val="single" w:sz="8" w:color="582C83"/>
            </w:tcBorders>
            <w:shd w:val="clear" w:color="auto" w:fill="E0DBEA"/>
          </w:tcPr>
          <w:p>
            <w:pPr>
              <w:spacing w:after="0"/>
              <w:rPr>
                <w:sz w:val="19"/>
                <w:szCs w:val="19"/>
                <w:color w:val="auto"/>
              </w:rPr>
            </w:pPr>
          </w:p>
        </w:tc>
        <w:tc>
          <w:tcPr>
            <w:tcW w:w="14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6940" w:type="dxa"/>
            <w:vAlign w:val="bottom"/>
            <w:tcBorders>
              <w:bottom w:val="single" w:sz="8" w:color="582C83"/>
            </w:tcBorders>
            <w:shd w:val="clear" w:color="auto" w:fill="E0DBEA"/>
          </w:tcPr>
          <w:p>
            <w:pPr>
              <w:ind w:left="40"/>
              <w:spacing w:after="0"/>
              <w:rPr>
                <w:sz w:val="20"/>
                <w:szCs w:val="20"/>
                <w:color w:val="auto"/>
              </w:rPr>
            </w:pPr>
            <w:r>
              <w:rPr>
                <w:rFonts w:ascii="Arial" w:cs="Arial" w:eastAsia="Arial" w:hAnsi="Arial"/>
                <w:sz w:val="14"/>
                <w:szCs w:val="14"/>
                <w:color w:val="auto"/>
              </w:rPr>
              <w:t>Excludes unexercised Mondelēz International stock options and unvested PSUs</w:t>
            </w:r>
          </w:p>
        </w:tc>
      </w:tr>
    </w:tbl>
    <w:p>
      <w:pPr>
        <w:spacing w:after="0" w:line="18" w:lineRule="exact"/>
        <w:rPr>
          <w:sz w:val="20"/>
          <w:szCs w:val="20"/>
          <w:color w:val="auto"/>
        </w:rPr>
      </w:pPr>
    </w:p>
    <w:p>
      <w:pPr>
        <w:sectPr>
          <w:pgSz w:w="11900" w:h="16838" w:orient="portrait"/>
          <w:cols w:equalWidth="0" w:num="1">
            <w:col w:w="9040"/>
          </w:cols>
          <w:pgMar w:left="1420" w:top="104" w:right="1439" w:bottom="0" w:gutter="0" w:footer="0" w:header="0"/>
        </w:sectPr>
      </w:pPr>
    </w:p>
    <w:p>
      <w:pPr>
        <w:ind w:left="60"/>
        <w:spacing w:after="0" w:line="314" w:lineRule="auto"/>
        <w:rPr>
          <w:sz w:val="20"/>
          <w:szCs w:val="20"/>
          <w:color w:val="auto"/>
        </w:rPr>
      </w:pPr>
      <w:r>
        <w:rPr>
          <w:rFonts w:ascii="Arial" w:cs="Arial" w:eastAsia="Arial" w:hAnsi="Arial"/>
          <w:sz w:val="14"/>
          <w:szCs w:val="14"/>
          <w:b w:val="1"/>
          <w:bCs w:val="1"/>
          <w:color w:val="auto"/>
        </w:rPr>
        <w:t>Additional holding requirements</w:t>
      </w:r>
    </w:p>
    <w:p>
      <w:pPr>
        <w:spacing w:after="0" w:line="20" w:lineRule="exact"/>
        <w:rPr>
          <w:sz w:val="20"/>
          <w:szCs w:val="20"/>
          <w:color w:val="auto"/>
        </w:rPr>
      </w:pPr>
      <w:r>
        <w:rPr>
          <w:sz w:val="20"/>
          <w:szCs w:val="20"/>
          <w:color w:val="auto"/>
        </w:rPr>
        <w:br w:type="column"/>
      </w:r>
    </w:p>
    <w:p>
      <w:pPr>
        <w:ind w:left="128" w:right="100" w:hanging="128"/>
        <w:spacing w:after="0" w:line="295" w:lineRule="auto"/>
        <w:tabs>
          <w:tab w:leader="none" w:pos="128" w:val="left"/>
        </w:tabs>
        <w:numPr>
          <w:ilvl w:val="0"/>
          <w:numId w:val="95"/>
        </w:numPr>
        <w:rPr>
          <w:rFonts w:ascii="Arial" w:cs="Arial" w:eastAsia="Arial" w:hAnsi="Arial"/>
          <w:sz w:val="14"/>
          <w:szCs w:val="14"/>
          <w:color w:val="582C83"/>
        </w:rPr>
      </w:pPr>
      <w:r>
        <w:rPr>
          <w:rFonts w:ascii="Arial" w:cs="Arial" w:eastAsia="Arial" w:hAnsi="Arial"/>
          <w:sz w:val="14"/>
          <w:szCs w:val="14"/>
          <w:color w:val="auto"/>
        </w:rPr>
        <w:t>Until an NEO satisfies our stock ownership requirements, the NEO must hold 100% of all shares acquired under our equity program (including stock after the restrictions have lapsed, shares acquired upon exercise of a stock option, and shares awarded for PSUs), net of shares withheld for taxes or payment of exercise price</w:t>
      </w:r>
    </w:p>
    <w:p>
      <w:pPr>
        <w:spacing w:after="0" w:line="200" w:lineRule="exact"/>
        <w:rPr>
          <w:sz w:val="20"/>
          <w:szCs w:val="20"/>
          <w:color w:val="auto"/>
        </w:rPr>
      </w:pPr>
    </w:p>
    <w:p>
      <w:pPr>
        <w:sectPr>
          <w:pgSz w:w="11900" w:h="16838" w:orient="portrait"/>
          <w:cols w:equalWidth="0" w:num="2">
            <w:col w:w="1340" w:space="672"/>
            <w:col w:w="7028"/>
          </w:cols>
          <w:pgMar w:left="1420" w:top="104" w:right="1439" w:bottom="0" w:gutter="0" w:footer="0" w:header="0"/>
          <w:type w:val="continuous"/>
        </w:sectPr>
      </w:pPr>
    </w:p>
    <w:p>
      <w:pPr>
        <w:spacing w:after="0" w:line="192"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color w:val="auto"/>
        </w:rPr>
        <w:t>The PCC monitors our executives’ compliance with these requirements. As of March 11, 2026, all NEOs have satisfied, exceeded, or were on track to meet their stock ownership requirements and adhered to the holding requirements.</w:t>
      </w:r>
    </w:p>
    <w:p>
      <w:pPr>
        <w:spacing w:after="0" w:line="138" w:lineRule="exact"/>
        <w:rPr>
          <w:sz w:val="20"/>
          <w:szCs w:val="20"/>
          <w:color w:val="auto"/>
        </w:rPr>
      </w:pPr>
    </w:p>
    <w:p>
      <w:pPr>
        <w:ind w:right="280"/>
        <w:spacing w:after="0" w:line="298" w:lineRule="auto"/>
        <w:rPr>
          <w:sz w:val="20"/>
          <w:szCs w:val="20"/>
          <w:color w:val="auto"/>
        </w:rPr>
      </w:pPr>
      <w:r>
        <w:rPr>
          <w:rFonts w:ascii="Arial" w:cs="Arial" w:eastAsia="Arial" w:hAnsi="Arial"/>
          <w:sz w:val="22"/>
          <w:szCs w:val="22"/>
          <w:b w:val="1"/>
          <w:bCs w:val="1"/>
          <w:color w:val="582C83"/>
        </w:rPr>
        <w:t>GOVERNANCE FRAMEWORK AROUND THE USE OF EARNINGS PER SHARE IN OUR INCENTIVE PROGRAMS</w:t>
      </w:r>
    </w:p>
    <w:p>
      <w:pPr>
        <w:spacing w:after="0" w:line="13"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The PCC believes it is appropriate to base executive compensation on performance metrics that align with our external reporting framework and the means by which shareholders and other stakeholders measure our performance. Accordingly, the EPS metric we use in our LTI program, like our external targets, accounts for our capital allocation plans for the year, including expected share repurchases. The PCC recognizes there are differing views among investors regarding whether share repurchases should be factored into EPS targets in executive compensation programs, but believes our robust governance and compensation practices mitigate the risk that an executive would act imprudently. Specifically:</w:t>
      </w:r>
    </w:p>
    <w:p>
      <w:pPr>
        <w:spacing w:after="0" w:line="82" w:lineRule="exact"/>
        <w:rPr>
          <w:sz w:val="20"/>
          <w:szCs w:val="20"/>
          <w:color w:val="auto"/>
        </w:rPr>
      </w:pPr>
    </w:p>
    <w:p>
      <w:pPr>
        <w:ind w:left="140" w:hanging="133"/>
        <w:spacing w:after="0"/>
        <w:tabs>
          <w:tab w:leader="none" w:pos="140" w:val="left"/>
        </w:tabs>
        <w:numPr>
          <w:ilvl w:val="0"/>
          <w:numId w:val="96"/>
        </w:numPr>
        <w:rPr>
          <w:rFonts w:ascii="Arial" w:cs="Arial" w:eastAsia="Arial" w:hAnsi="Arial"/>
          <w:sz w:val="17"/>
          <w:szCs w:val="17"/>
          <w:color w:val="582C83"/>
        </w:rPr>
      </w:pPr>
      <w:r>
        <w:rPr>
          <w:rFonts w:ascii="Arial" w:cs="Arial" w:eastAsia="Arial" w:hAnsi="Arial"/>
          <w:sz w:val="17"/>
          <w:szCs w:val="17"/>
          <w:color w:val="auto"/>
        </w:rPr>
        <w:t>the PCC establishes the performance metrics and targets for both the annual and LTI programs;</w:t>
      </w:r>
    </w:p>
    <w:p>
      <w:pPr>
        <w:spacing w:after="0" w:line="47" w:lineRule="exact"/>
        <w:rPr>
          <w:rFonts w:ascii="Arial" w:cs="Arial" w:eastAsia="Arial" w:hAnsi="Arial"/>
          <w:sz w:val="17"/>
          <w:szCs w:val="17"/>
          <w:color w:val="582C83"/>
        </w:rPr>
      </w:pPr>
    </w:p>
    <w:p>
      <w:pPr>
        <w:ind w:left="140" w:right="220" w:hanging="133"/>
        <w:spacing w:after="0" w:line="276" w:lineRule="auto"/>
        <w:tabs>
          <w:tab w:leader="none" w:pos="140" w:val="left"/>
        </w:tabs>
        <w:numPr>
          <w:ilvl w:val="0"/>
          <w:numId w:val="96"/>
        </w:numPr>
        <w:rPr>
          <w:rFonts w:ascii="Arial" w:cs="Arial" w:eastAsia="Arial" w:hAnsi="Arial"/>
          <w:sz w:val="17"/>
          <w:szCs w:val="17"/>
          <w:color w:val="582C83"/>
        </w:rPr>
      </w:pPr>
      <w:r>
        <w:rPr>
          <w:rFonts w:ascii="Arial" w:cs="Arial" w:eastAsia="Arial" w:hAnsi="Arial"/>
          <w:sz w:val="17"/>
          <w:szCs w:val="17"/>
          <w:color w:val="auto"/>
        </w:rPr>
        <w:t>the Board oversees our capital allocation process and reviews a budget each year for capital deployment, including share repurchases, with the goal of balancing investment in growth and returning cash to shareholders (as demonstrated through our historical investments in capital expenditures and research and development);</w:t>
      </w:r>
    </w:p>
    <w:p>
      <w:pPr>
        <w:jc w:val="both"/>
        <w:ind w:left="140" w:right="60" w:hanging="133"/>
        <w:spacing w:after="0" w:line="274" w:lineRule="auto"/>
        <w:tabs>
          <w:tab w:leader="none" w:pos="140" w:val="left"/>
        </w:tabs>
        <w:numPr>
          <w:ilvl w:val="0"/>
          <w:numId w:val="96"/>
        </w:numPr>
        <w:rPr>
          <w:rFonts w:ascii="Arial" w:cs="Arial" w:eastAsia="Arial" w:hAnsi="Arial"/>
          <w:sz w:val="17"/>
          <w:szCs w:val="17"/>
          <w:color w:val="582C83"/>
        </w:rPr>
      </w:pPr>
      <w:r>
        <w:rPr>
          <w:rFonts w:ascii="Arial" w:cs="Arial" w:eastAsia="Arial" w:hAnsi="Arial"/>
          <w:sz w:val="17"/>
          <w:szCs w:val="17"/>
          <w:color w:val="auto"/>
        </w:rPr>
        <w:t>the PCC designs the LTI program with a mix of performance metrics such that even if executives were able to deploy an excessive amount of cash towards share repurchases to maximize EPS, there would be offsetting impact on other performance metrics, with no clear visibility towards increasing payouts; and</w:t>
      </w:r>
    </w:p>
    <w:p>
      <w:pPr>
        <w:spacing w:after="0" w:line="5" w:lineRule="exact"/>
        <w:rPr>
          <w:rFonts w:ascii="Arial" w:cs="Arial" w:eastAsia="Arial" w:hAnsi="Arial"/>
          <w:sz w:val="17"/>
          <w:szCs w:val="17"/>
          <w:color w:val="582C83"/>
        </w:rPr>
      </w:pPr>
    </w:p>
    <w:p>
      <w:pPr>
        <w:ind w:left="140" w:right="540" w:hanging="133"/>
        <w:spacing w:after="0" w:line="284" w:lineRule="auto"/>
        <w:tabs>
          <w:tab w:leader="none" w:pos="140" w:val="left"/>
        </w:tabs>
        <w:numPr>
          <w:ilvl w:val="0"/>
          <w:numId w:val="96"/>
        </w:numPr>
        <w:rPr>
          <w:rFonts w:ascii="Arial" w:cs="Arial" w:eastAsia="Arial" w:hAnsi="Arial"/>
          <w:sz w:val="17"/>
          <w:szCs w:val="17"/>
          <w:color w:val="582C83"/>
        </w:rPr>
      </w:pPr>
      <w:r>
        <w:rPr>
          <w:rFonts w:ascii="Arial" w:cs="Arial" w:eastAsia="Arial" w:hAnsi="Arial"/>
          <w:sz w:val="17"/>
          <w:szCs w:val="17"/>
          <w:color w:val="auto"/>
        </w:rPr>
        <w:t>EPS is only one of three measures in the LTI program, which also includes Organic Net Revenue Growth (50% weighting) and the Relative TSR Modifier.</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CLAWBACK POLICIES</w:t>
      </w:r>
    </w:p>
    <w:p>
      <w:pPr>
        <w:spacing w:after="0" w:line="11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maintain two clawback policies: (i) the Dodd-Frank Clawback Policy, which provides for the recoupment of certain compensation as required by Rule 10D-1 under the Securities Exchange Act of 1934 and associated Nasdaq listing standards (collectively, “Rule 10D-1”), and (ii) the Compensation Recoupment Policy, which allows the PCC discretion to recoup certain compensation for situations outside the scope of, or in addition to the amounts recoverable under, the Dodd-Frank Clawback Policy.</w:t>
      </w:r>
    </w:p>
    <w:p>
      <w:pPr>
        <w:sectPr>
          <w:pgSz w:w="11900" w:h="16838" w:orient="portrait"/>
          <w:cols w:equalWidth="0" w:num="1">
            <w:col w:w="9040"/>
          </w:cols>
          <w:pgMar w:left="1420" w:top="104" w:right="1439" w:bottom="0" w:gutter="0" w:footer="0" w:header="0"/>
          <w:type w:val="continuous"/>
        </w:sectPr>
      </w:pPr>
    </w:p>
    <w:bookmarkStart w:id="73" w:name="page74"/>
    <w:bookmarkEnd w:id="73"/>
    <w:p>
      <w:pPr>
        <w:ind w:right="60"/>
        <w:spacing w:after="0" w:line="217" w:lineRule="auto"/>
        <w:rPr>
          <w:sz w:val="20"/>
          <w:szCs w:val="20"/>
          <w:color w:val="auto"/>
        </w:rPr>
      </w:pPr>
      <w:r>
        <w:rPr>
          <w:rFonts w:ascii="Arial" w:cs="Arial" w:eastAsia="Arial" w:hAnsi="Arial"/>
          <w:sz w:val="17"/>
          <w:szCs w:val="17"/>
          <w:color w:val="auto"/>
        </w:rPr>
        <w:t>Under our Dodd-Frank Clawback Policy, in the event we are required to prepare certain accounting restatements of our financial statements, we will recover, on a reasonably prompt basis, the amount of any incentive-based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-200660</wp:posOffset>
            </wp:positionV>
            <wp:extent cx="6810375" cy="12020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10375" cy="1202055"/>
                    </a:xfrm>
                    <a:prstGeom prst="rect">
                      <a:avLst/>
                    </a:prstGeom>
                    <a:noFill/>
                  </pic:spPr>
                </pic:pic>
              </a:graphicData>
            </a:graphic>
          </wp:anchor>
        </w:drawing>
      </w:r>
    </w:p>
    <w:p>
      <w:pPr>
        <w:ind w:right="20"/>
        <w:spacing w:after="0" w:line="273" w:lineRule="auto"/>
        <w:rPr>
          <w:sz w:val="20"/>
          <w:szCs w:val="20"/>
          <w:color w:val="auto"/>
        </w:rPr>
      </w:pPr>
      <w:r>
        <w:rPr>
          <w:rFonts w:ascii="Arial" w:cs="Arial" w:eastAsia="Arial" w:hAnsi="Arial"/>
          <w:sz w:val="17"/>
          <w:szCs w:val="17"/>
          <w:color w:val="auto"/>
        </w:rPr>
        <w:t>received by a covered executive during the three completed fiscal years prior to the date we are required to prepare the restatement that exceeds the amount that otherwise would have been received by the covered executive had it been determined based on the restated financial statements.</w:t>
      </w:r>
    </w:p>
    <w:p>
      <w:pPr>
        <w:spacing w:after="0" w:line="329"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8677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COMPENSATION DISCUSSION AND ANALYSIS (CD&amp;A)</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Compensation Governance</w:t>
      </w:r>
    </w:p>
    <w:p>
      <w:pPr>
        <w:spacing w:after="0" w:line="200" w:lineRule="exact"/>
        <w:rPr>
          <w:sz w:val="20"/>
          <w:szCs w:val="20"/>
          <w:color w:val="auto"/>
        </w:rPr>
      </w:pPr>
    </w:p>
    <w:p>
      <w:pPr>
        <w:spacing w:after="0" w:line="27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Under our Compensation Recoupment Policy, the PCC may determine the extent to which the Company should recoup the incentive-based compensation of any covered executive officer whose act or omission necessitated a restatement or who participated in significant misconduct. The PCC, in its discretion, may then take the actions it deems necessary or appropriate to recoup incentive-based compensation and address the events that gave rise to the restatement or misconduct and to prevent a recurrence. For the avoidance of doubt, recoupment under the Compensation Recoupment Policy would be in addition to, and not in lieu of, any mandatory recovery of compensation under the Dodd-Frank Clawback Policy.</w:t>
      </w:r>
    </w:p>
    <w:p>
      <w:pPr>
        <w:spacing w:after="0" w:line="79" w:lineRule="exact"/>
        <w:rPr>
          <w:sz w:val="20"/>
          <w:szCs w:val="20"/>
          <w:color w:val="auto"/>
        </w:rPr>
      </w:pPr>
    </w:p>
    <w:p>
      <w:pPr>
        <w:ind w:right="640"/>
        <w:spacing w:after="0" w:line="301" w:lineRule="auto"/>
        <w:rPr>
          <w:sz w:val="20"/>
          <w:szCs w:val="20"/>
          <w:color w:val="auto"/>
        </w:rPr>
      </w:pPr>
      <w:r>
        <w:rPr>
          <w:rFonts w:ascii="Arial" w:cs="Arial" w:eastAsia="Arial" w:hAnsi="Arial"/>
          <w:sz w:val="17"/>
          <w:szCs w:val="17"/>
          <w:color w:val="auto"/>
        </w:rPr>
        <w:t>We may recoup incentive-based compensation under our clawback policies using the methods the PCC deems appropriate, which may include, to the extent permitted by applicable law:</w:t>
      </w:r>
    </w:p>
    <w:p>
      <w:pPr>
        <w:spacing w:after="0" w:line="63" w:lineRule="exact"/>
        <w:rPr>
          <w:sz w:val="20"/>
          <w:szCs w:val="20"/>
          <w:color w:val="auto"/>
        </w:rPr>
      </w:pPr>
    </w:p>
    <w:p>
      <w:pPr>
        <w:ind w:left="140" w:right="280" w:hanging="133"/>
        <w:spacing w:after="0" w:line="290" w:lineRule="auto"/>
        <w:tabs>
          <w:tab w:leader="none" w:pos="140" w:val="left"/>
        </w:tabs>
        <w:numPr>
          <w:ilvl w:val="0"/>
          <w:numId w:val="97"/>
        </w:numPr>
        <w:rPr>
          <w:rFonts w:ascii="Arial" w:cs="Arial" w:eastAsia="Arial" w:hAnsi="Arial"/>
          <w:sz w:val="17"/>
          <w:szCs w:val="17"/>
          <w:color w:val="582C83"/>
        </w:rPr>
      </w:pPr>
      <w:r>
        <w:rPr>
          <w:rFonts w:ascii="Arial" w:cs="Arial" w:eastAsia="Arial" w:hAnsi="Arial"/>
          <w:sz w:val="17"/>
          <w:szCs w:val="17"/>
          <w:color w:val="auto"/>
        </w:rPr>
        <w:t>requiring a covered executive to repay some or all of the incentive compensation granted or paid, including annual incentive bonuses and LTI grants;</w:t>
      </w:r>
    </w:p>
    <w:p>
      <w:pPr>
        <w:ind w:left="140" w:right="60" w:hanging="133"/>
        <w:spacing w:after="0" w:line="298" w:lineRule="auto"/>
        <w:tabs>
          <w:tab w:leader="none" w:pos="140" w:val="left"/>
        </w:tabs>
        <w:numPr>
          <w:ilvl w:val="0"/>
          <w:numId w:val="97"/>
        </w:numPr>
        <w:rPr>
          <w:rFonts w:ascii="Arial" w:cs="Arial" w:eastAsia="Arial" w:hAnsi="Arial"/>
          <w:sz w:val="17"/>
          <w:szCs w:val="17"/>
          <w:color w:val="582C83"/>
        </w:rPr>
      </w:pPr>
      <w:r>
        <w:rPr>
          <w:rFonts w:ascii="Arial" w:cs="Arial" w:eastAsia="Arial" w:hAnsi="Arial"/>
          <w:sz w:val="17"/>
          <w:szCs w:val="17"/>
          <w:color w:val="auto"/>
        </w:rPr>
        <w:t>requiring a covered executive to repay any gains realized on the exercise of stock options or on the open-market sale of vested shares;</w:t>
      </w:r>
    </w:p>
    <w:p>
      <w:pPr>
        <w:ind w:left="140" w:right="340" w:hanging="133"/>
        <w:spacing w:after="0" w:line="298" w:lineRule="auto"/>
        <w:tabs>
          <w:tab w:leader="none" w:pos="140" w:val="left"/>
        </w:tabs>
        <w:numPr>
          <w:ilvl w:val="0"/>
          <w:numId w:val="97"/>
        </w:numPr>
        <w:rPr>
          <w:rFonts w:ascii="Arial" w:cs="Arial" w:eastAsia="Arial" w:hAnsi="Arial"/>
          <w:sz w:val="17"/>
          <w:szCs w:val="17"/>
          <w:color w:val="582C83"/>
        </w:rPr>
      </w:pPr>
      <w:r>
        <w:rPr>
          <w:rFonts w:ascii="Arial" w:cs="Arial" w:eastAsia="Arial" w:hAnsi="Arial"/>
          <w:sz w:val="17"/>
          <w:szCs w:val="17"/>
          <w:color w:val="auto"/>
        </w:rPr>
        <w:t>canceling some, or all, of a covered executive’s restricted stock, DSUs, PSUs, outstanding stock options, or other equity awards; and/or</w:t>
      </w:r>
    </w:p>
    <w:p>
      <w:pPr>
        <w:ind w:left="140" w:hanging="133"/>
        <w:spacing w:after="0"/>
        <w:tabs>
          <w:tab w:leader="none" w:pos="140" w:val="left"/>
        </w:tabs>
        <w:numPr>
          <w:ilvl w:val="0"/>
          <w:numId w:val="97"/>
        </w:numPr>
        <w:rPr>
          <w:rFonts w:ascii="Arial" w:cs="Arial" w:eastAsia="Arial" w:hAnsi="Arial"/>
          <w:sz w:val="17"/>
          <w:szCs w:val="17"/>
          <w:color w:val="582C83"/>
        </w:rPr>
      </w:pPr>
      <w:r>
        <w:rPr>
          <w:rFonts w:ascii="Arial" w:cs="Arial" w:eastAsia="Arial" w:hAnsi="Arial"/>
          <w:sz w:val="17"/>
          <w:szCs w:val="17"/>
          <w:color w:val="auto"/>
        </w:rPr>
        <w:t>adjusting a covered executive’s future compensation.</w:t>
      </w:r>
    </w:p>
    <w:p>
      <w:pPr>
        <w:spacing w:after="0" w:line="129"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In the event of any overlap, our Dodd-Frank Clawback Policy will provide the minimum amount we will recoup from a covered executive and the PCC may, in its discretion, recoup additional amounts, if appropriate, under our Compensation Recoupment Policy.</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TRADING RESTRICTIONS, ANTI-HEDGING, AND ANTI-PLEDGING POLICY</w:t>
      </w:r>
    </w:p>
    <w:p>
      <w:pPr>
        <w:spacing w:after="0" w:line="13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Insider Trading Policy prohibits our employees, including our executive officers and our directors (together, “Mondelēz International Personnel”) from engaging in transactions involving Mondelēz International, Inc.-based or Mondelēz International, Inc. subsidiary-based derivative securities, short-selling, or hedging transactions that create an actual or potential bet against Mondelēz International, Inc. or one of its subsidiaries. Derivative securities include options, warrants, convertible securities, stock appreciation rights, or similar rights whose value is derived from the value of an equity security, such as Mondelēz International, Inc. stock. This prohibition includes, but is not limited to, trading in Mondelēz International, Inc.-based or Mondelēz International, Inc. subsidiary-based option contracts (for example, buying and/or writing puts and calls or transacting in straddles). This prohibition also applies to family members who reside with Mondelēz International Personnel, others who live in their households (except tenants or staff), any family members who do not live in their households but whose transactions in securities they direct or are subject to their influence or control, any corporations or other business entities controlled or managed by Mondelēz International Personnel, and any trusts of which Mondelēz International Personnel are the trustee or over which they otherwise have investment control.</w:t>
      </w:r>
    </w:p>
    <w:p>
      <w:pPr>
        <w:spacing w:after="0" w:line="85"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In addition, our insider trading policy allows Section 16 officers to trade company securities only during open window periods and, among other requirements, only after they have pre-cleared transactions with the Corporate Secretary and prohibits our directors, executive officers, and certain additional executives from holding Mondelēz International securities in a margin account or pledging Mondelēz International securities as collateral for a loan.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EQUITY GRANT TIMING</w:t>
      </w:r>
    </w:p>
    <w:p>
      <w:pPr>
        <w:spacing w:after="0" w:line="11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PCC has generally granted annual equity awards, including stock option grants to the NEOs, each year on the date of a regularly scheduled PCC meeting in the first quarter of the year after the release of our annual financial results. During 2025, the PCC did not take into account any material nonpublic information when determining the timing and terms of equity incentive awards, and we did not time the disclosure of material nonpublic information for the purpose of affecting the value of executive compensation. During 2025, we did not grant stock options to the NEOs during any period beginning four business days before and ending one business day after the filing or furnishing of a Form 10-Q, 10-K, or 8-K that discloses material nonpublic information.</w:t>
      </w:r>
    </w:p>
    <w:p>
      <w:pPr>
        <w:spacing w:after="0" w:line="200" w:lineRule="exact"/>
        <w:rPr>
          <w:sz w:val="20"/>
          <w:szCs w:val="20"/>
          <w:color w:val="auto"/>
        </w:rPr>
      </w:pPr>
    </w:p>
    <w:p>
      <w:pPr>
        <w:spacing w:after="0" w:line="34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84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281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10375" cy="281940"/>
                    </a:xfrm>
                    <a:prstGeom prst="rect">
                      <a:avLst/>
                    </a:prstGeom>
                    <a:noFill/>
                  </pic:spPr>
                </pic:pic>
              </a:graphicData>
            </a:graphic>
          </wp:anchor>
        </w:drawing>
      </w:r>
    </w:p>
    <w:p>
      <w:pPr>
        <w:sectPr>
          <w:pgSz w:w="11900" w:h="16838" w:orient="portrait"/>
          <w:cols w:equalWidth="0" w:num="1">
            <w:col w:w="9040"/>
          </w:cols>
          <w:pgMar w:left="1420" w:top="104" w:right="1439" w:bottom="565" w:gutter="0" w:footer="0" w:header="0"/>
        </w:sectPr>
      </w:pPr>
    </w:p>
    <w:bookmarkStart w:id="74" w:name="page75"/>
    <w:bookmarkEnd w:id="74"/>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5744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10375" cy="8574405"/>
                    </a:xfrm>
                    <a:prstGeom prst="rect">
                      <a:avLst/>
                    </a:prstGeom>
                    <a:noFill/>
                  </pic:spPr>
                </pic:pic>
              </a:graphicData>
            </a:graphic>
          </wp:anchor>
        </w:drawing>
      </w:r>
    </w:p>
    <w:p>
      <w:pPr>
        <w:spacing w:after="0"/>
        <w:rPr>
          <w:sz w:val="20"/>
          <w:szCs w:val="20"/>
          <w:color w:val="auto"/>
        </w:rPr>
      </w:pPr>
      <w:r>
        <w:rPr>
          <w:rFonts w:ascii="Arial" w:cs="Arial" w:eastAsia="Arial" w:hAnsi="Arial"/>
          <w:sz w:val="45"/>
          <w:szCs w:val="45"/>
          <w:b w:val="1"/>
          <w:bCs w:val="1"/>
          <w:color w:val="582C83"/>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2025 SUMMARY COMPENSATION TABLE</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Non-Equity</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Incentive Plan</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Annual</w:t>
            </w: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auto"/>
              </w:rPr>
              <w:t>Change in</w:t>
            </w: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b w:val="1"/>
                <w:bCs w:val="1"/>
                <w:color w:val="auto"/>
              </w:rPr>
              <w:t>Stock</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Option</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Incentive</w:t>
            </w: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auto"/>
              </w:rPr>
              <w:t>Pension</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All Other</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060" w:type="dxa"/>
            <w:vAlign w:val="bottom"/>
          </w:tcPr>
          <w:p>
            <w:pPr>
              <w:ind w:left="60"/>
              <w:spacing w:after="0"/>
              <w:rPr>
                <w:sz w:val="20"/>
                <w:szCs w:val="20"/>
                <w:color w:val="auto"/>
              </w:rPr>
            </w:pPr>
            <w:r>
              <w:rPr>
                <w:rFonts w:ascii="Arial" w:cs="Arial" w:eastAsia="Arial" w:hAnsi="Arial"/>
                <w:sz w:val="13"/>
                <w:szCs w:val="13"/>
                <w:b w:val="1"/>
                <w:bCs w:val="1"/>
                <w:color w:val="auto"/>
              </w:rPr>
              <w:t>Name and Principal</w:t>
            </w:r>
          </w:p>
        </w:tc>
        <w:tc>
          <w:tcPr>
            <w:tcW w:w="4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3"/>
                <w:szCs w:val="13"/>
                <w:b w:val="1"/>
                <w:bCs w:val="1"/>
                <w:color w:val="auto"/>
              </w:rPr>
              <w:t>Salary</w:t>
            </w:r>
            <w:r>
              <w:rPr>
                <w:rFonts w:ascii="Arial" w:cs="Arial" w:eastAsia="Arial" w:hAnsi="Arial"/>
                <w:sz w:val="16"/>
                <w:szCs w:val="16"/>
                <w:b w:val="1"/>
                <w:bCs w:val="1"/>
                <w:color w:val="auto"/>
                <w:vertAlign w:val="superscript"/>
              </w:rPr>
              <w:t>(1)</w:t>
            </w:r>
          </w:p>
        </w:tc>
        <w:tc>
          <w:tcPr>
            <w:tcW w:w="680" w:type="dxa"/>
            <w:vAlign w:val="bottom"/>
          </w:tcPr>
          <w:p>
            <w:pPr>
              <w:jc w:val="right"/>
              <w:spacing w:after="0" w:line="162" w:lineRule="exact"/>
              <w:rPr>
                <w:sz w:val="20"/>
                <w:szCs w:val="20"/>
                <w:color w:val="auto"/>
              </w:rPr>
            </w:pPr>
            <w:r>
              <w:rPr>
                <w:rFonts w:ascii="Arial" w:cs="Arial" w:eastAsia="Arial" w:hAnsi="Arial"/>
                <w:sz w:val="13"/>
                <w:szCs w:val="13"/>
                <w:b w:val="1"/>
                <w:bCs w:val="1"/>
                <w:color w:val="auto"/>
              </w:rPr>
              <w:t>Bonus</w:t>
            </w:r>
            <w:r>
              <w:rPr>
                <w:rFonts w:ascii="Arial" w:cs="Arial" w:eastAsia="Arial" w:hAnsi="Arial"/>
                <w:sz w:val="16"/>
                <w:szCs w:val="16"/>
                <w:b w:val="1"/>
                <w:bCs w:val="1"/>
                <w:color w:val="auto"/>
                <w:vertAlign w:val="superscript"/>
              </w:rPr>
              <w:t>(2)</w:t>
            </w:r>
          </w:p>
        </w:tc>
        <w:tc>
          <w:tcPr>
            <w:tcW w:w="800" w:type="dxa"/>
            <w:vAlign w:val="bottom"/>
          </w:tcPr>
          <w:p>
            <w:pPr>
              <w:jc w:val="right"/>
              <w:ind w:right="37"/>
              <w:spacing w:after="0" w:line="162"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16"/>
                <w:szCs w:val="16"/>
                <w:b w:val="1"/>
                <w:bCs w:val="1"/>
                <w:color w:val="auto"/>
                <w:vertAlign w:val="superscript"/>
              </w:rPr>
              <w:t>(3)</w:t>
            </w:r>
          </w:p>
        </w:tc>
        <w:tc>
          <w:tcPr>
            <w:tcW w:w="700" w:type="dxa"/>
            <w:vAlign w:val="bottom"/>
          </w:tcPr>
          <w:p>
            <w:pPr>
              <w:jc w:val="right"/>
              <w:spacing w:after="0" w:line="162"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16"/>
                <w:szCs w:val="16"/>
                <w:b w:val="1"/>
                <w:bCs w:val="1"/>
                <w:color w:val="auto"/>
                <w:vertAlign w:val="superscript"/>
              </w:rPr>
              <w:t>(4)</w:t>
            </w:r>
          </w:p>
        </w:tc>
        <w:tc>
          <w:tcPr>
            <w:tcW w:w="980" w:type="dxa"/>
            <w:vAlign w:val="bottom"/>
          </w:tcPr>
          <w:p>
            <w:pPr>
              <w:jc w:val="right"/>
              <w:spacing w:after="0" w:line="162"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16"/>
                <w:szCs w:val="16"/>
                <w:b w:val="1"/>
                <w:bCs w:val="1"/>
                <w:color w:val="auto"/>
                <w:vertAlign w:val="superscript"/>
              </w:rPr>
              <w:t>(5)</w:t>
            </w:r>
          </w:p>
        </w:tc>
        <w:tc>
          <w:tcPr>
            <w:tcW w:w="740" w:type="dxa"/>
            <w:vAlign w:val="bottom"/>
          </w:tcPr>
          <w:p>
            <w:pPr>
              <w:jc w:val="right"/>
              <w:ind w:right="17"/>
              <w:spacing w:after="0" w:line="162"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16"/>
                <w:szCs w:val="16"/>
                <w:b w:val="1"/>
                <w:bCs w:val="1"/>
                <w:color w:val="auto"/>
                <w:vertAlign w:val="superscript"/>
              </w:rPr>
              <w:t>(6)</w:t>
            </w:r>
          </w:p>
        </w:tc>
        <w:tc>
          <w:tcPr>
            <w:tcW w:w="1100" w:type="dxa"/>
            <w:vAlign w:val="bottom"/>
          </w:tcPr>
          <w:p>
            <w:pPr>
              <w:jc w:val="right"/>
              <w:spacing w:after="0" w:line="162" w:lineRule="exact"/>
              <w:rPr>
                <w:sz w:val="20"/>
                <w:szCs w:val="20"/>
                <w:color w:val="auto"/>
              </w:rPr>
            </w:pPr>
            <w:r>
              <w:rPr>
                <w:rFonts w:ascii="Arial" w:cs="Arial" w:eastAsia="Arial" w:hAnsi="Arial"/>
                <w:sz w:val="13"/>
                <w:szCs w:val="13"/>
                <w:b w:val="1"/>
                <w:bCs w:val="1"/>
                <w:color w:val="auto"/>
                <w:w w:val="98"/>
              </w:rPr>
              <w:t>Compensation</w:t>
            </w:r>
            <w:r>
              <w:rPr>
                <w:rFonts w:ascii="Arial" w:cs="Arial" w:eastAsia="Arial" w:hAnsi="Arial"/>
                <w:sz w:val="16"/>
                <w:szCs w:val="16"/>
                <w:b w:val="1"/>
                <w:bCs w:val="1"/>
                <w:color w:val="auto"/>
                <w:w w:val="98"/>
                <w:vertAlign w:val="superscript"/>
              </w:rPr>
              <w:t>(7)</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c>
          <w:tcPr>
            <w:tcW w:w="0" w:type="dxa"/>
            <w:vAlign w:val="bottom"/>
          </w:tcPr>
          <w:p>
            <w:pPr>
              <w:spacing w:after="0"/>
              <w:rPr>
                <w:sz w:val="1"/>
                <w:szCs w:val="1"/>
                <w:color w:val="auto"/>
              </w:rPr>
            </w:pPr>
          </w:p>
        </w:tc>
      </w:tr>
      <w:tr>
        <w:trPr>
          <w:trHeight w:val="146"/>
        </w:trPr>
        <w:tc>
          <w:tcPr>
            <w:tcW w:w="2060" w:type="dxa"/>
            <w:vAlign w:val="bottom"/>
            <w:tcBorders>
              <w:bottom w:val="single" w:sz="8" w:color="582C83"/>
            </w:tcBorders>
          </w:tcPr>
          <w:p>
            <w:pPr>
              <w:ind w:left="60"/>
              <w:spacing w:after="0" w:line="139" w:lineRule="exact"/>
              <w:rPr>
                <w:sz w:val="20"/>
                <w:szCs w:val="20"/>
                <w:color w:val="auto"/>
              </w:rPr>
            </w:pPr>
            <w:r>
              <w:rPr>
                <w:rFonts w:ascii="Arial" w:cs="Arial" w:eastAsia="Arial" w:hAnsi="Arial"/>
                <w:sz w:val="13"/>
                <w:szCs w:val="13"/>
                <w:b w:val="1"/>
                <w:bCs w:val="1"/>
                <w:color w:val="auto"/>
              </w:rPr>
              <w:t>Position</w:t>
            </w:r>
          </w:p>
        </w:tc>
        <w:tc>
          <w:tcPr>
            <w:tcW w:w="440" w:type="dxa"/>
            <w:vAlign w:val="bottom"/>
            <w:tcBorders>
              <w:bottom w:val="single" w:sz="8" w:color="582C83"/>
            </w:tcBorders>
          </w:tcPr>
          <w:p>
            <w:pPr>
              <w:jc w:val="right"/>
              <w:ind w:right="17"/>
              <w:spacing w:after="0" w:line="139" w:lineRule="exact"/>
              <w:rPr>
                <w:sz w:val="20"/>
                <w:szCs w:val="20"/>
                <w:color w:val="auto"/>
              </w:rPr>
            </w:pPr>
            <w:r>
              <w:rPr>
                <w:rFonts w:ascii="Arial" w:cs="Arial" w:eastAsia="Arial" w:hAnsi="Arial"/>
                <w:sz w:val="13"/>
                <w:szCs w:val="13"/>
                <w:b w:val="1"/>
                <w:bCs w:val="1"/>
                <w:color w:val="auto"/>
              </w:rPr>
              <w:t>Year</w:t>
            </w:r>
          </w:p>
        </w:tc>
        <w:tc>
          <w:tcPr>
            <w:tcW w:w="680" w:type="dxa"/>
            <w:vAlign w:val="bottom"/>
            <w:tcBorders>
              <w:bottom w:val="single" w:sz="8" w:color="582C83"/>
            </w:tcBorders>
          </w:tcPr>
          <w:p>
            <w:pPr>
              <w:jc w:val="right"/>
              <w:spacing w:after="0" w:line="139" w:lineRule="exact"/>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582C83"/>
            </w:tcBorders>
          </w:tcPr>
          <w:p>
            <w:pPr>
              <w:jc w:val="right"/>
              <w:spacing w:after="0" w:line="139" w:lineRule="exact"/>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582C83"/>
            </w:tcBorders>
          </w:tcPr>
          <w:p>
            <w:pPr>
              <w:jc w:val="right"/>
              <w:ind w:right="37"/>
              <w:spacing w:after="0" w:line="139"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582C83"/>
            </w:tcBorders>
          </w:tcPr>
          <w:p>
            <w:pPr>
              <w:jc w:val="right"/>
              <w:spacing w:after="0" w:line="139" w:lineRule="exact"/>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582C83"/>
            </w:tcBorders>
          </w:tcPr>
          <w:p>
            <w:pPr>
              <w:jc w:val="right"/>
              <w:spacing w:after="0" w:line="139" w:lineRule="exact"/>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582C83"/>
            </w:tcBorders>
          </w:tcPr>
          <w:p>
            <w:pPr>
              <w:jc w:val="right"/>
              <w:ind w:right="17"/>
              <w:spacing w:after="0" w:line="139" w:lineRule="exact"/>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582C83"/>
            </w:tcBorders>
          </w:tcPr>
          <w:p>
            <w:pPr>
              <w:jc w:val="right"/>
              <w:spacing w:after="0" w:line="139" w:lineRule="exact"/>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582C83"/>
            </w:tcBorders>
          </w:tcPr>
          <w:p>
            <w:pPr>
              <w:jc w:val="right"/>
              <w:spacing w:after="0" w:line="13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21"/>
        </w:trPr>
        <w:tc>
          <w:tcPr>
            <w:tcW w:w="2060" w:type="dxa"/>
            <w:vAlign w:val="bottom"/>
            <w:tcBorders>
              <w:bottom w:val="single" w:sz="8" w:color="E0DBEA"/>
            </w:tcBorders>
            <w:shd w:val="clear" w:color="auto" w:fill="E0DBEA"/>
          </w:tcPr>
          <w:p>
            <w:pPr>
              <w:ind w:left="60"/>
              <w:spacing w:after="0"/>
              <w:rPr>
                <w:sz w:val="20"/>
                <w:szCs w:val="20"/>
                <w:color w:val="auto"/>
              </w:rPr>
            </w:pPr>
            <w:r>
              <w:rPr>
                <w:rFonts w:ascii="Arial" w:cs="Arial" w:eastAsia="Arial" w:hAnsi="Arial"/>
                <w:sz w:val="13"/>
                <w:szCs w:val="13"/>
                <w:b w:val="1"/>
                <w:bCs w:val="1"/>
                <w:color w:val="auto"/>
              </w:rPr>
              <w:t>Van de Put, Dirk</w:t>
            </w:r>
          </w:p>
        </w:tc>
        <w:tc>
          <w:tcPr>
            <w:tcW w:w="440" w:type="dxa"/>
            <w:vAlign w:val="bottom"/>
            <w:tcBorders>
              <w:bottom w:val="single" w:sz="8" w:color="E0DBEA"/>
            </w:tcBorders>
            <w:shd w:val="clear" w:color="auto" w:fill="E0DBEA"/>
          </w:tcPr>
          <w:p>
            <w:pPr>
              <w:jc w:val="right"/>
              <w:ind w:right="37"/>
              <w:spacing w:after="0"/>
              <w:rPr>
                <w:sz w:val="20"/>
                <w:szCs w:val="20"/>
                <w:color w:val="auto"/>
              </w:rPr>
            </w:pPr>
            <w:r>
              <w:rPr>
                <w:rFonts w:ascii="Arial" w:cs="Arial" w:eastAsia="Arial" w:hAnsi="Arial"/>
                <w:sz w:val="13"/>
                <w:szCs w:val="13"/>
                <w:color w:val="auto"/>
              </w:rPr>
              <w:t>2025</w:t>
            </w:r>
          </w:p>
        </w:tc>
        <w:tc>
          <w:tcPr>
            <w:tcW w:w="680" w:type="dxa"/>
            <w:vAlign w:val="bottom"/>
            <w:tcBorders>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1,624,615</w:t>
            </w:r>
          </w:p>
        </w:tc>
        <w:tc>
          <w:tcPr>
            <w:tcW w:w="680" w:type="dxa"/>
            <w:vAlign w:val="bottom"/>
            <w:tcBorders>
              <w:bottom w:val="single" w:sz="8" w:color="E0DBEA"/>
            </w:tcBorders>
            <w:shd w:val="clear" w:color="auto" w:fill="E0DBEA"/>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0DBEA"/>
            </w:tcBorders>
            <w:shd w:val="clear" w:color="auto" w:fill="E0DBEA"/>
          </w:tcPr>
          <w:p>
            <w:pPr>
              <w:jc w:val="right"/>
              <w:ind w:right="37"/>
              <w:spacing w:after="0"/>
              <w:rPr>
                <w:sz w:val="20"/>
                <w:szCs w:val="20"/>
                <w:color w:val="auto"/>
              </w:rPr>
            </w:pPr>
            <w:r>
              <w:rPr>
                <w:rFonts w:ascii="Arial" w:cs="Arial" w:eastAsia="Arial" w:hAnsi="Arial"/>
                <w:sz w:val="13"/>
                <w:szCs w:val="13"/>
                <w:color w:val="auto"/>
              </w:rPr>
              <w:t>14,530,359</w:t>
            </w:r>
          </w:p>
        </w:tc>
        <w:tc>
          <w:tcPr>
            <w:tcW w:w="700" w:type="dxa"/>
            <w:vAlign w:val="bottom"/>
            <w:tcBorders>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4,401,555</w:t>
            </w:r>
          </w:p>
        </w:tc>
        <w:tc>
          <w:tcPr>
            <w:tcW w:w="980" w:type="dxa"/>
            <w:vAlign w:val="bottom"/>
            <w:tcBorders>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3,234,000</w:t>
            </w:r>
          </w:p>
        </w:tc>
        <w:tc>
          <w:tcPr>
            <w:tcW w:w="740" w:type="dxa"/>
            <w:vAlign w:val="bottom"/>
            <w:tcBorders>
              <w:bottom w:val="single" w:sz="8" w:color="E0DBEA"/>
            </w:tcBorders>
            <w:shd w:val="clear" w:color="auto" w:fill="E0DBEA"/>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725,585</w:t>
            </w:r>
          </w:p>
        </w:tc>
        <w:tc>
          <w:tcPr>
            <w:tcW w:w="980" w:type="dxa"/>
            <w:vAlign w:val="bottom"/>
            <w:tcBorders>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24,516,114</w:t>
            </w:r>
          </w:p>
        </w:tc>
        <w:tc>
          <w:tcPr>
            <w:tcW w:w="0" w:type="dxa"/>
            <w:vAlign w:val="bottom"/>
          </w:tcPr>
          <w:p>
            <w:pPr>
              <w:spacing w:after="0"/>
              <w:rPr>
                <w:sz w:val="1"/>
                <w:szCs w:val="1"/>
                <w:color w:val="auto"/>
              </w:rPr>
            </w:pPr>
          </w:p>
        </w:tc>
      </w:tr>
      <w:tr>
        <w:trPr>
          <w:trHeight w:val="88"/>
        </w:trPr>
        <w:tc>
          <w:tcPr>
            <w:tcW w:w="2060" w:type="dxa"/>
            <w:vAlign w:val="bottom"/>
            <w:tcBorders>
              <w:top w:val="single" w:sz="8" w:color="E0DBEA"/>
            </w:tcBorders>
            <w:shd w:val="clear" w:color="auto" w:fill="E0DBEA"/>
          </w:tcPr>
          <w:p>
            <w:pPr>
              <w:ind w:left="220"/>
              <w:spacing w:after="0" w:line="88" w:lineRule="exact"/>
              <w:rPr>
                <w:sz w:val="20"/>
                <w:szCs w:val="20"/>
                <w:color w:val="auto"/>
              </w:rPr>
            </w:pPr>
            <w:r>
              <w:rPr>
                <w:rFonts w:ascii="Arial" w:cs="Arial" w:eastAsia="Arial" w:hAnsi="Arial"/>
                <w:sz w:val="10"/>
                <w:szCs w:val="10"/>
                <w:color w:val="auto"/>
              </w:rPr>
              <w:t>Chair &amp; CEO</w:t>
            </w:r>
          </w:p>
        </w:tc>
        <w:tc>
          <w:tcPr>
            <w:tcW w:w="440" w:type="dxa"/>
            <w:vAlign w:val="bottom"/>
            <w:tcBorders>
              <w:top w:val="single" w:sz="8" w:color="582C83"/>
            </w:tcBorders>
            <w:vMerge w:val="restart"/>
            <w:shd w:val="clear" w:color="auto" w:fill="E0DBEA"/>
          </w:tcPr>
          <w:p>
            <w:pPr>
              <w:jc w:val="right"/>
              <w:ind w:right="37"/>
              <w:spacing w:after="0"/>
              <w:rPr>
                <w:sz w:val="20"/>
                <w:szCs w:val="20"/>
                <w:color w:val="auto"/>
              </w:rPr>
            </w:pPr>
            <w:r>
              <w:rPr>
                <w:rFonts w:ascii="Arial" w:cs="Arial" w:eastAsia="Arial" w:hAnsi="Arial"/>
                <w:sz w:val="13"/>
                <w:szCs w:val="13"/>
                <w:color w:val="auto"/>
              </w:rPr>
              <w:t>2024</w:t>
            </w:r>
          </w:p>
        </w:tc>
        <w:tc>
          <w:tcPr>
            <w:tcW w:w="680" w:type="dxa"/>
            <w:vAlign w:val="bottom"/>
            <w:tcBorders>
              <w:top w:val="single" w:sz="8" w:color="582C83"/>
            </w:tcBorders>
            <w:vMerge w:val="restart"/>
            <w:shd w:val="clear" w:color="auto" w:fill="E0DBEA"/>
          </w:tcPr>
          <w:p>
            <w:pPr>
              <w:jc w:val="right"/>
              <w:spacing w:after="0"/>
              <w:rPr>
                <w:sz w:val="20"/>
                <w:szCs w:val="20"/>
                <w:color w:val="auto"/>
              </w:rPr>
            </w:pPr>
            <w:r>
              <w:rPr>
                <w:rFonts w:ascii="Arial" w:cs="Arial" w:eastAsia="Arial" w:hAnsi="Arial"/>
                <w:sz w:val="13"/>
                <w:szCs w:val="13"/>
                <w:color w:val="auto"/>
              </w:rPr>
              <w:t>1,550,000</w:t>
            </w:r>
          </w:p>
        </w:tc>
        <w:tc>
          <w:tcPr>
            <w:tcW w:w="680" w:type="dxa"/>
            <w:vAlign w:val="bottom"/>
            <w:tcBorders>
              <w:top w:val="single" w:sz="8" w:color="582C83"/>
            </w:tcBorders>
            <w:vMerge w:val="restart"/>
            <w:shd w:val="clear" w:color="auto" w:fill="E0DBEA"/>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582C83"/>
            </w:tcBorders>
            <w:vMerge w:val="restart"/>
            <w:shd w:val="clear" w:color="auto" w:fill="E0DBEA"/>
          </w:tcPr>
          <w:p>
            <w:pPr>
              <w:jc w:val="right"/>
              <w:ind w:right="57"/>
              <w:spacing w:after="0"/>
              <w:rPr>
                <w:sz w:val="20"/>
                <w:szCs w:val="20"/>
                <w:color w:val="auto"/>
              </w:rPr>
            </w:pPr>
            <w:r>
              <w:rPr>
                <w:rFonts w:ascii="Arial" w:cs="Arial" w:eastAsia="Arial" w:hAnsi="Arial"/>
                <w:sz w:val="13"/>
                <w:szCs w:val="13"/>
                <w:color w:val="auto"/>
              </w:rPr>
              <w:t>12,931,115</w:t>
            </w:r>
          </w:p>
        </w:tc>
        <w:tc>
          <w:tcPr>
            <w:tcW w:w="700" w:type="dxa"/>
            <w:vAlign w:val="bottom"/>
            <w:tcBorders>
              <w:top w:val="single" w:sz="8" w:color="582C83"/>
            </w:tcBorders>
            <w:vMerge w:val="restart"/>
            <w:shd w:val="clear" w:color="auto" w:fill="E0DBEA"/>
          </w:tcPr>
          <w:p>
            <w:pPr>
              <w:jc w:val="right"/>
              <w:spacing w:after="0"/>
              <w:rPr>
                <w:sz w:val="20"/>
                <w:szCs w:val="20"/>
                <w:color w:val="auto"/>
              </w:rPr>
            </w:pPr>
            <w:r>
              <w:rPr>
                <w:rFonts w:ascii="Arial" w:cs="Arial" w:eastAsia="Arial" w:hAnsi="Arial"/>
                <w:sz w:val="13"/>
                <w:szCs w:val="13"/>
                <w:color w:val="auto"/>
              </w:rPr>
              <w:t>4,382,062</w:t>
            </w:r>
          </w:p>
        </w:tc>
        <w:tc>
          <w:tcPr>
            <w:tcW w:w="980" w:type="dxa"/>
            <w:vAlign w:val="bottom"/>
            <w:tcBorders>
              <w:top w:val="single" w:sz="8" w:color="582C83"/>
            </w:tcBorders>
            <w:vMerge w:val="restart"/>
            <w:shd w:val="clear" w:color="auto" w:fill="E0DBEA"/>
          </w:tcPr>
          <w:p>
            <w:pPr>
              <w:jc w:val="right"/>
              <w:spacing w:after="0"/>
              <w:rPr>
                <w:sz w:val="20"/>
                <w:szCs w:val="20"/>
                <w:color w:val="auto"/>
              </w:rPr>
            </w:pPr>
            <w:r>
              <w:rPr>
                <w:rFonts w:ascii="Arial" w:cs="Arial" w:eastAsia="Arial" w:hAnsi="Arial"/>
                <w:sz w:val="13"/>
                <w:szCs w:val="13"/>
                <w:color w:val="auto"/>
              </w:rPr>
              <w:t>2,480,000</w:t>
            </w:r>
          </w:p>
        </w:tc>
        <w:tc>
          <w:tcPr>
            <w:tcW w:w="740" w:type="dxa"/>
            <w:vAlign w:val="bottom"/>
            <w:tcBorders>
              <w:top w:val="single" w:sz="8" w:color="582C83"/>
            </w:tcBorders>
            <w:vMerge w:val="restart"/>
            <w:shd w:val="clear" w:color="auto" w:fill="E0DBEA"/>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582C83"/>
            </w:tcBorders>
            <w:vMerge w:val="restart"/>
            <w:shd w:val="clear" w:color="auto" w:fill="E0DBEA"/>
          </w:tcPr>
          <w:p>
            <w:pPr>
              <w:jc w:val="right"/>
              <w:spacing w:after="0"/>
              <w:rPr>
                <w:sz w:val="20"/>
                <w:szCs w:val="20"/>
                <w:color w:val="auto"/>
              </w:rPr>
            </w:pPr>
            <w:r>
              <w:rPr>
                <w:rFonts w:ascii="Arial" w:cs="Arial" w:eastAsia="Arial" w:hAnsi="Arial"/>
                <w:sz w:val="13"/>
                <w:szCs w:val="13"/>
                <w:color w:val="auto"/>
              </w:rPr>
              <w:t>961,546</w:t>
            </w:r>
          </w:p>
        </w:tc>
        <w:tc>
          <w:tcPr>
            <w:tcW w:w="980" w:type="dxa"/>
            <w:vAlign w:val="bottom"/>
            <w:tcBorders>
              <w:top w:val="single" w:sz="8" w:color="582C83"/>
            </w:tcBorders>
            <w:vMerge w:val="restart"/>
            <w:shd w:val="clear" w:color="auto" w:fill="E0DBEA"/>
          </w:tcPr>
          <w:p>
            <w:pPr>
              <w:jc w:val="right"/>
              <w:spacing w:after="0"/>
              <w:rPr>
                <w:sz w:val="20"/>
                <w:szCs w:val="20"/>
                <w:color w:val="auto"/>
              </w:rPr>
            </w:pPr>
            <w:r>
              <w:rPr>
                <w:rFonts w:ascii="Arial" w:cs="Arial" w:eastAsia="Arial" w:hAnsi="Arial"/>
                <w:sz w:val="13"/>
                <w:szCs w:val="13"/>
                <w:color w:val="auto"/>
              </w:rPr>
              <w:t>22,304,723</w:t>
            </w:r>
          </w:p>
        </w:tc>
        <w:tc>
          <w:tcPr>
            <w:tcW w:w="0" w:type="dxa"/>
            <w:vAlign w:val="bottom"/>
          </w:tcPr>
          <w:p>
            <w:pPr>
              <w:spacing w:after="0"/>
              <w:rPr>
                <w:sz w:val="1"/>
                <w:szCs w:val="1"/>
                <w:color w:val="auto"/>
              </w:rPr>
            </w:pPr>
          </w:p>
        </w:tc>
      </w:tr>
      <w:tr>
        <w:trPr>
          <w:trHeight w:val="122"/>
        </w:trPr>
        <w:tc>
          <w:tcPr>
            <w:tcW w:w="2060" w:type="dxa"/>
            <w:vAlign w:val="bottom"/>
            <w:tcBorders>
              <w:bottom w:val="single" w:sz="8" w:color="E0DBEA"/>
            </w:tcBorders>
            <w:shd w:val="clear" w:color="auto" w:fill="E0DBEA"/>
          </w:tcPr>
          <w:p>
            <w:pPr>
              <w:spacing w:after="0"/>
              <w:rPr>
                <w:sz w:val="10"/>
                <w:szCs w:val="10"/>
                <w:color w:val="auto"/>
              </w:rPr>
            </w:pPr>
          </w:p>
        </w:tc>
        <w:tc>
          <w:tcPr>
            <w:tcW w:w="440" w:type="dxa"/>
            <w:vAlign w:val="bottom"/>
            <w:tcBorders>
              <w:bottom w:val="single" w:sz="8" w:color="E0DBEA"/>
            </w:tcBorders>
            <w:vMerge w:val="continue"/>
            <w:shd w:val="clear" w:color="auto" w:fill="E0DBEA"/>
          </w:tcPr>
          <w:p>
            <w:pPr>
              <w:spacing w:after="0"/>
              <w:rPr>
                <w:sz w:val="10"/>
                <w:szCs w:val="10"/>
                <w:color w:val="auto"/>
              </w:rPr>
            </w:pPr>
          </w:p>
        </w:tc>
        <w:tc>
          <w:tcPr>
            <w:tcW w:w="680" w:type="dxa"/>
            <w:vAlign w:val="bottom"/>
            <w:tcBorders>
              <w:bottom w:val="single" w:sz="8" w:color="E0DBEA"/>
            </w:tcBorders>
            <w:vMerge w:val="continue"/>
            <w:shd w:val="clear" w:color="auto" w:fill="E0DBEA"/>
          </w:tcPr>
          <w:p>
            <w:pPr>
              <w:spacing w:after="0"/>
              <w:rPr>
                <w:sz w:val="10"/>
                <w:szCs w:val="10"/>
                <w:color w:val="auto"/>
              </w:rPr>
            </w:pPr>
          </w:p>
        </w:tc>
        <w:tc>
          <w:tcPr>
            <w:tcW w:w="680" w:type="dxa"/>
            <w:vAlign w:val="bottom"/>
            <w:tcBorders>
              <w:bottom w:val="single" w:sz="8" w:color="E0DBEA"/>
            </w:tcBorders>
            <w:vMerge w:val="continue"/>
            <w:shd w:val="clear" w:color="auto" w:fill="E0DBEA"/>
          </w:tcPr>
          <w:p>
            <w:pPr>
              <w:spacing w:after="0"/>
              <w:rPr>
                <w:sz w:val="10"/>
                <w:szCs w:val="10"/>
                <w:color w:val="auto"/>
              </w:rPr>
            </w:pPr>
          </w:p>
        </w:tc>
        <w:tc>
          <w:tcPr>
            <w:tcW w:w="800" w:type="dxa"/>
            <w:vAlign w:val="bottom"/>
            <w:tcBorders>
              <w:bottom w:val="single" w:sz="8" w:color="E0DBEA"/>
            </w:tcBorders>
            <w:vMerge w:val="continue"/>
            <w:shd w:val="clear" w:color="auto" w:fill="E0DBEA"/>
          </w:tcPr>
          <w:p>
            <w:pPr>
              <w:spacing w:after="0"/>
              <w:rPr>
                <w:sz w:val="10"/>
                <w:szCs w:val="10"/>
                <w:color w:val="auto"/>
              </w:rPr>
            </w:pPr>
          </w:p>
        </w:tc>
        <w:tc>
          <w:tcPr>
            <w:tcW w:w="700" w:type="dxa"/>
            <w:vAlign w:val="bottom"/>
            <w:tcBorders>
              <w:bottom w:val="single" w:sz="8" w:color="E0DBEA"/>
            </w:tcBorders>
            <w:vMerge w:val="continue"/>
            <w:shd w:val="clear" w:color="auto" w:fill="E0DBEA"/>
          </w:tcPr>
          <w:p>
            <w:pPr>
              <w:spacing w:after="0"/>
              <w:rPr>
                <w:sz w:val="10"/>
                <w:szCs w:val="10"/>
                <w:color w:val="auto"/>
              </w:rPr>
            </w:pPr>
          </w:p>
        </w:tc>
        <w:tc>
          <w:tcPr>
            <w:tcW w:w="980" w:type="dxa"/>
            <w:vAlign w:val="bottom"/>
            <w:tcBorders>
              <w:bottom w:val="single" w:sz="8" w:color="E0DBEA"/>
            </w:tcBorders>
            <w:vMerge w:val="continue"/>
            <w:shd w:val="clear" w:color="auto" w:fill="E0DBEA"/>
          </w:tcPr>
          <w:p>
            <w:pPr>
              <w:spacing w:after="0"/>
              <w:rPr>
                <w:sz w:val="10"/>
                <w:szCs w:val="10"/>
                <w:color w:val="auto"/>
              </w:rPr>
            </w:pPr>
          </w:p>
        </w:tc>
        <w:tc>
          <w:tcPr>
            <w:tcW w:w="740" w:type="dxa"/>
            <w:vAlign w:val="bottom"/>
            <w:tcBorders>
              <w:bottom w:val="single" w:sz="8" w:color="E0DBEA"/>
            </w:tcBorders>
            <w:vMerge w:val="continue"/>
            <w:shd w:val="clear" w:color="auto" w:fill="E0DBEA"/>
          </w:tcPr>
          <w:p>
            <w:pPr>
              <w:spacing w:after="0"/>
              <w:rPr>
                <w:sz w:val="10"/>
                <w:szCs w:val="10"/>
                <w:color w:val="auto"/>
              </w:rPr>
            </w:pPr>
          </w:p>
        </w:tc>
        <w:tc>
          <w:tcPr>
            <w:tcW w:w="1100" w:type="dxa"/>
            <w:vAlign w:val="bottom"/>
            <w:tcBorders>
              <w:bottom w:val="single" w:sz="8" w:color="E0DBEA"/>
            </w:tcBorders>
            <w:vMerge w:val="continue"/>
            <w:shd w:val="clear" w:color="auto" w:fill="E0DBEA"/>
          </w:tcPr>
          <w:p>
            <w:pPr>
              <w:spacing w:after="0"/>
              <w:rPr>
                <w:sz w:val="10"/>
                <w:szCs w:val="10"/>
                <w:color w:val="auto"/>
              </w:rPr>
            </w:pPr>
          </w:p>
        </w:tc>
        <w:tc>
          <w:tcPr>
            <w:tcW w:w="980" w:type="dxa"/>
            <w:vAlign w:val="bottom"/>
            <w:tcBorders>
              <w:bottom w:val="single" w:sz="8" w:color="E0DBEA"/>
            </w:tcBorders>
            <w:vMerge w:val="continue"/>
            <w:shd w:val="clear" w:color="auto" w:fill="E0DBEA"/>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60" w:type="dxa"/>
            <w:vAlign w:val="bottom"/>
            <w:tcBorders>
              <w:top w:val="single" w:sz="8" w:color="E0DBEA"/>
              <w:bottom w:val="single" w:sz="8" w:color="E0DBEA"/>
            </w:tcBorders>
            <w:shd w:val="clear" w:color="auto" w:fill="E0DBEA"/>
          </w:tcPr>
          <w:p>
            <w:pPr>
              <w:spacing w:after="0"/>
              <w:rPr>
                <w:sz w:val="18"/>
                <w:szCs w:val="18"/>
                <w:color w:val="auto"/>
              </w:rPr>
            </w:pPr>
          </w:p>
        </w:tc>
        <w:tc>
          <w:tcPr>
            <w:tcW w:w="440" w:type="dxa"/>
            <w:vAlign w:val="bottom"/>
            <w:tcBorders>
              <w:top w:val="single" w:sz="8" w:color="582C83"/>
              <w:bottom w:val="single" w:sz="8" w:color="E0DBEA"/>
            </w:tcBorders>
            <w:shd w:val="clear" w:color="auto" w:fill="E0DBEA"/>
          </w:tcPr>
          <w:p>
            <w:pPr>
              <w:jc w:val="right"/>
              <w:ind w:right="37"/>
              <w:spacing w:after="0"/>
              <w:rPr>
                <w:sz w:val="20"/>
                <w:szCs w:val="20"/>
                <w:color w:val="auto"/>
              </w:rPr>
            </w:pPr>
            <w:r>
              <w:rPr>
                <w:rFonts w:ascii="Arial" w:cs="Arial" w:eastAsia="Arial" w:hAnsi="Arial"/>
                <w:sz w:val="13"/>
                <w:szCs w:val="13"/>
                <w:color w:val="auto"/>
              </w:rPr>
              <w:t>2023</w:t>
            </w:r>
          </w:p>
        </w:tc>
        <w:tc>
          <w:tcPr>
            <w:tcW w:w="68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1,550,000</w:t>
            </w:r>
          </w:p>
        </w:tc>
        <w:tc>
          <w:tcPr>
            <w:tcW w:w="680" w:type="dxa"/>
            <w:vAlign w:val="bottom"/>
            <w:tcBorders>
              <w:top w:val="single" w:sz="8" w:color="582C83"/>
              <w:bottom w:val="single" w:sz="8" w:color="E0DBEA"/>
            </w:tcBorders>
            <w:shd w:val="clear" w:color="auto" w:fill="E0DBEA"/>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582C83"/>
              <w:bottom w:val="single" w:sz="8" w:color="E0DBEA"/>
            </w:tcBorders>
            <w:shd w:val="clear" w:color="auto" w:fill="E0DBEA"/>
          </w:tcPr>
          <w:p>
            <w:pPr>
              <w:jc w:val="right"/>
              <w:ind w:right="37"/>
              <w:spacing w:after="0"/>
              <w:rPr>
                <w:sz w:val="20"/>
                <w:szCs w:val="20"/>
                <w:color w:val="auto"/>
              </w:rPr>
            </w:pPr>
            <w:r>
              <w:rPr>
                <w:rFonts w:ascii="Arial" w:cs="Arial" w:eastAsia="Arial" w:hAnsi="Arial"/>
                <w:sz w:val="13"/>
                <w:szCs w:val="13"/>
                <w:color w:val="auto"/>
              </w:rPr>
              <w:t>10,625,963</w:t>
            </w:r>
          </w:p>
        </w:tc>
        <w:tc>
          <w:tcPr>
            <w:tcW w:w="70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3,501,056</w:t>
            </w:r>
          </w:p>
        </w:tc>
        <w:tc>
          <w:tcPr>
            <w:tcW w:w="98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4,417,500</w:t>
            </w:r>
          </w:p>
        </w:tc>
        <w:tc>
          <w:tcPr>
            <w:tcW w:w="740" w:type="dxa"/>
            <w:vAlign w:val="bottom"/>
            <w:tcBorders>
              <w:top w:val="single" w:sz="8" w:color="582C83"/>
              <w:bottom w:val="single" w:sz="8" w:color="E0DBEA"/>
            </w:tcBorders>
            <w:shd w:val="clear" w:color="auto" w:fill="E0DBEA"/>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923,656</w:t>
            </w:r>
          </w:p>
        </w:tc>
        <w:tc>
          <w:tcPr>
            <w:tcW w:w="98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21,018,175</w:t>
            </w:r>
          </w:p>
        </w:tc>
        <w:tc>
          <w:tcPr>
            <w:tcW w:w="0" w:type="dxa"/>
            <w:vAlign w:val="bottom"/>
          </w:tcPr>
          <w:p>
            <w:pPr>
              <w:spacing w:after="0"/>
              <w:rPr>
                <w:sz w:val="1"/>
                <w:szCs w:val="1"/>
                <w:color w:val="auto"/>
              </w:rPr>
            </w:pPr>
          </w:p>
        </w:tc>
      </w:tr>
      <w:tr>
        <w:trPr>
          <w:trHeight w:val="151"/>
        </w:trPr>
        <w:tc>
          <w:tcPr>
            <w:tcW w:w="2060" w:type="dxa"/>
            <w:vAlign w:val="bottom"/>
            <w:tcBorders>
              <w:top w:val="single" w:sz="8" w:color="582C83"/>
            </w:tcBorders>
          </w:tcPr>
          <w:p>
            <w:pPr>
              <w:ind w:left="60"/>
              <w:spacing w:after="0"/>
              <w:rPr>
                <w:sz w:val="20"/>
                <w:szCs w:val="20"/>
                <w:color w:val="auto"/>
              </w:rPr>
            </w:pPr>
            <w:r>
              <w:rPr>
                <w:rFonts w:ascii="Arial" w:cs="Arial" w:eastAsia="Arial" w:hAnsi="Arial"/>
                <w:sz w:val="13"/>
                <w:szCs w:val="13"/>
                <w:b w:val="1"/>
                <w:bCs w:val="1"/>
                <w:color w:val="auto"/>
              </w:rPr>
              <w:t>Zaramella, Luca</w:t>
            </w:r>
          </w:p>
        </w:tc>
        <w:tc>
          <w:tcPr>
            <w:tcW w:w="440" w:type="dxa"/>
            <w:vAlign w:val="bottom"/>
            <w:tcBorders>
              <w:top w:val="single" w:sz="8" w:color="582C83"/>
            </w:tcBorders>
          </w:tcPr>
          <w:p>
            <w:pPr>
              <w:jc w:val="right"/>
              <w:ind w:right="37"/>
              <w:spacing w:after="0"/>
              <w:rPr>
                <w:sz w:val="20"/>
                <w:szCs w:val="20"/>
                <w:color w:val="auto"/>
              </w:rPr>
            </w:pPr>
            <w:r>
              <w:rPr>
                <w:rFonts w:ascii="Arial" w:cs="Arial" w:eastAsia="Arial" w:hAnsi="Arial"/>
                <w:sz w:val="13"/>
                <w:szCs w:val="13"/>
                <w:color w:val="auto"/>
              </w:rPr>
              <w:t>2025</w:t>
            </w:r>
          </w:p>
        </w:tc>
        <w:tc>
          <w:tcPr>
            <w:tcW w:w="680" w:type="dxa"/>
            <w:vAlign w:val="bottom"/>
            <w:tcBorders>
              <w:top w:val="single" w:sz="8" w:color="582C83"/>
            </w:tcBorders>
          </w:tcPr>
          <w:p>
            <w:pPr>
              <w:jc w:val="right"/>
              <w:spacing w:after="0"/>
              <w:rPr>
                <w:sz w:val="20"/>
                <w:szCs w:val="20"/>
                <w:color w:val="auto"/>
              </w:rPr>
            </w:pPr>
            <w:r>
              <w:rPr>
                <w:rFonts w:ascii="Arial" w:cs="Arial" w:eastAsia="Arial" w:hAnsi="Arial"/>
                <w:sz w:val="13"/>
                <w:szCs w:val="13"/>
                <w:color w:val="auto"/>
              </w:rPr>
              <w:t>1,174,690</w:t>
            </w:r>
          </w:p>
        </w:tc>
        <w:tc>
          <w:tcPr>
            <w:tcW w:w="680" w:type="dxa"/>
            <w:vAlign w:val="bottom"/>
            <w:tcBorders>
              <w:top w:val="single" w:sz="8" w:color="582C83"/>
            </w:tcBorders>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582C83"/>
            </w:tcBorders>
          </w:tcPr>
          <w:p>
            <w:pPr>
              <w:jc w:val="right"/>
              <w:ind w:right="37"/>
              <w:spacing w:after="0"/>
              <w:rPr>
                <w:sz w:val="20"/>
                <w:szCs w:val="20"/>
                <w:color w:val="auto"/>
              </w:rPr>
            </w:pPr>
            <w:r>
              <w:rPr>
                <w:rFonts w:ascii="Arial" w:cs="Arial" w:eastAsia="Arial" w:hAnsi="Arial"/>
                <w:sz w:val="13"/>
                <w:szCs w:val="13"/>
                <w:color w:val="auto"/>
              </w:rPr>
              <w:t>5,166,582</w:t>
            </w:r>
          </w:p>
        </w:tc>
        <w:tc>
          <w:tcPr>
            <w:tcW w:w="700" w:type="dxa"/>
            <w:vAlign w:val="bottom"/>
            <w:tcBorders>
              <w:top w:val="single" w:sz="8" w:color="582C83"/>
            </w:tcBorders>
          </w:tcPr>
          <w:p>
            <w:pPr>
              <w:jc w:val="right"/>
              <w:spacing w:after="0"/>
              <w:rPr>
                <w:sz w:val="20"/>
                <w:szCs w:val="20"/>
                <w:color w:val="auto"/>
              </w:rPr>
            </w:pPr>
            <w:r>
              <w:rPr>
                <w:rFonts w:ascii="Arial" w:cs="Arial" w:eastAsia="Arial" w:hAnsi="Arial"/>
                <w:sz w:val="13"/>
                <w:szCs w:val="13"/>
                <w:color w:val="auto"/>
              </w:rPr>
              <w:t>1,564,983</w:t>
            </w:r>
          </w:p>
        </w:tc>
        <w:tc>
          <w:tcPr>
            <w:tcW w:w="980" w:type="dxa"/>
            <w:vAlign w:val="bottom"/>
            <w:tcBorders>
              <w:top w:val="single" w:sz="8" w:color="582C83"/>
            </w:tcBorders>
          </w:tcPr>
          <w:p>
            <w:pPr>
              <w:jc w:val="right"/>
              <w:spacing w:after="0"/>
              <w:rPr>
                <w:sz w:val="20"/>
                <w:szCs w:val="20"/>
                <w:color w:val="auto"/>
              </w:rPr>
            </w:pPr>
            <w:r>
              <w:rPr>
                <w:rFonts w:ascii="Arial" w:cs="Arial" w:eastAsia="Arial" w:hAnsi="Arial"/>
                <w:sz w:val="13"/>
                <w:szCs w:val="13"/>
                <w:color w:val="auto"/>
              </w:rPr>
              <w:t>1,528,927</w:t>
            </w:r>
          </w:p>
        </w:tc>
        <w:tc>
          <w:tcPr>
            <w:tcW w:w="740" w:type="dxa"/>
            <w:vAlign w:val="bottom"/>
            <w:tcBorders>
              <w:top w:val="single" w:sz="8" w:color="582C83"/>
            </w:tcBorders>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582C83"/>
            </w:tcBorders>
          </w:tcPr>
          <w:p>
            <w:pPr>
              <w:jc w:val="right"/>
              <w:spacing w:after="0"/>
              <w:rPr>
                <w:sz w:val="20"/>
                <w:szCs w:val="20"/>
                <w:color w:val="auto"/>
              </w:rPr>
            </w:pPr>
            <w:r>
              <w:rPr>
                <w:rFonts w:ascii="Arial" w:cs="Arial" w:eastAsia="Arial" w:hAnsi="Arial"/>
                <w:sz w:val="13"/>
                <w:szCs w:val="13"/>
                <w:color w:val="auto"/>
              </w:rPr>
              <w:t>227,589</w:t>
            </w:r>
          </w:p>
        </w:tc>
        <w:tc>
          <w:tcPr>
            <w:tcW w:w="980" w:type="dxa"/>
            <w:vAlign w:val="bottom"/>
            <w:tcBorders>
              <w:top w:val="single" w:sz="8" w:color="582C83"/>
            </w:tcBorders>
          </w:tcPr>
          <w:p>
            <w:pPr>
              <w:jc w:val="right"/>
              <w:spacing w:after="0"/>
              <w:rPr>
                <w:sz w:val="20"/>
                <w:szCs w:val="20"/>
                <w:color w:val="auto"/>
              </w:rPr>
            </w:pPr>
            <w:r>
              <w:rPr>
                <w:rFonts w:ascii="Arial" w:cs="Arial" w:eastAsia="Arial" w:hAnsi="Arial"/>
                <w:sz w:val="13"/>
                <w:szCs w:val="13"/>
                <w:color w:val="auto"/>
              </w:rPr>
              <w:t>9,662,771</w:t>
            </w:r>
          </w:p>
        </w:tc>
        <w:tc>
          <w:tcPr>
            <w:tcW w:w="0" w:type="dxa"/>
            <w:vAlign w:val="bottom"/>
          </w:tcPr>
          <w:p>
            <w:pPr>
              <w:spacing w:after="0"/>
              <w:rPr>
                <w:sz w:val="1"/>
                <w:szCs w:val="1"/>
                <w:color w:val="auto"/>
              </w:rPr>
            </w:pPr>
          </w:p>
        </w:tc>
      </w:tr>
      <w:tr>
        <w:trPr>
          <w:trHeight w:val="58"/>
        </w:trPr>
        <w:tc>
          <w:tcPr>
            <w:tcW w:w="2060" w:type="dxa"/>
            <w:vAlign w:val="bottom"/>
            <w:vMerge w:val="restart"/>
          </w:tcPr>
          <w:p>
            <w:pPr>
              <w:ind w:left="220"/>
              <w:spacing w:after="0"/>
              <w:rPr>
                <w:sz w:val="20"/>
                <w:szCs w:val="20"/>
                <w:color w:val="auto"/>
              </w:rPr>
            </w:pPr>
            <w:r>
              <w:rPr>
                <w:rFonts w:ascii="Arial" w:cs="Arial" w:eastAsia="Arial" w:hAnsi="Arial"/>
                <w:sz w:val="13"/>
                <w:szCs w:val="13"/>
                <w:color w:val="auto"/>
              </w:rPr>
              <w:t>EVP, COO &amp; CFO</w:t>
            </w:r>
          </w:p>
        </w:tc>
        <w:tc>
          <w:tcPr>
            <w:tcW w:w="440" w:type="dxa"/>
            <w:vAlign w:val="bottom"/>
            <w:tcBorders>
              <w:bottom w:val="single" w:sz="8" w:color="582C83"/>
            </w:tcBorders>
          </w:tcPr>
          <w:p>
            <w:pPr>
              <w:spacing w:after="0"/>
              <w:rPr>
                <w:sz w:val="5"/>
                <w:szCs w:val="5"/>
                <w:color w:val="auto"/>
              </w:rPr>
            </w:pPr>
          </w:p>
        </w:tc>
        <w:tc>
          <w:tcPr>
            <w:tcW w:w="680" w:type="dxa"/>
            <w:vAlign w:val="bottom"/>
            <w:tcBorders>
              <w:bottom w:val="single" w:sz="8" w:color="582C83"/>
            </w:tcBorders>
          </w:tcPr>
          <w:p>
            <w:pPr>
              <w:spacing w:after="0"/>
              <w:rPr>
                <w:sz w:val="5"/>
                <w:szCs w:val="5"/>
                <w:color w:val="auto"/>
              </w:rPr>
            </w:pPr>
          </w:p>
        </w:tc>
        <w:tc>
          <w:tcPr>
            <w:tcW w:w="680" w:type="dxa"/>
            <w:vAlign w:val="bottom"/>
            <w:tcBorders>
              <w:bottom w:val="single" w:sz="8" w:color="582C83"/>
            </w:tcBorders>
          </w:tcPr>
          <w:p>
            <w:pPr>
              <w:spacing w:after="0"/>
              <w:rPr>
                <w:sz w:val="5"/>
                <w:szCs w:val="5"/>
                <w:color w:val="auto"/>
              </w:rPr>
            </w:pPr>
          </w:p>
        </w:tc>
        <w:tc>
          <w:tcPr>
            <w:tcW w:w="800" w:type="dxa"/>
            <w:vAlign w:val="bottom"/>
            <w:tcBorders>
              <w:bottom w:val="single" w:sz="8" w:color="582C83"/>
            </w:tcBorders>
          </w:tcPr>
          <w:p>
            <w:pPr>
              <w:spacing w:after="0"/>
              <w:rPr>
                <w:sz w:val="5"/>
                <w:szCs w:val="5"/>
                <w:color w:val="auto"/>
              </w:rPr>
            </w:pPr>
          </w:p>
        </w:tc>
        <w:tc>
          <w:tcPr>
            <w:tcW w:w="700" w:type="dxa"/>
            <w:vAlign w:val="bottom"/>
            <w:tcBorders>
              <w:bottom w:val="single" w:sz="8" w:color="582C83"/>
            </w:tcBorders>
          </w:tcPr>
          <w:p>
            <w:pPr>
              <w:spacing w:after="0"/>
              <w:rPr>
                <w:sz w:val="5"/>
                <w:szCs w:val="5"/>
                <w:color w:val="auto"/>
              </w:rPr>
            </w:pPr>
          </w:p>
        </w:tc>
        <w:tc>
          <w:tcPr>
            <w:tcW w:w="980" w:type="dxa"/>
            <w:vAlign w:val="bottom"/>
            <w:tcBorders>
              <w:bottom w:val="single" w:sz="8" w:color="582C83"/>
            </w:tcBorders>
          </w:tcPr>
          <w:p>
            <w:pPr>
              <w:spacing w:after="0"/>
              <w:rPr>
                <w:sz w:val="5"/>
                <w:szCs w:val="5"/>
                <w:color w:val="auto"/>
              </w:rPr>
            </w:pPr>
          </w:p>
        </w:tc>
        <w:tc>
          <w:tcPr>
            <w:tcW w:w="740" w:type="dxa"/>
            <w:vAlign w:val="bottom"/>
            <w:tcBorders>
              <w:bottom w:val="single" w:sz="8" w:color="582C83"/>
            </w:tcBorders>
          </w:tcPr>
          <w:p>
            <w:pPr>
              <w:spacing w:after="0"/>
              <w:rPr>
                <w:sz w:val="5"/>
                <w:szCs w:val="5"/>
                <w:color w:val="auto"/>
              </w:rPr>
            </w:pPr>
          </w:p>
        </w:tc>
        <w:tc>
          <w:tcPr>
            <w:tcW w:w="1100" w:type="dxa"/>
            <w:vAlign w:val="bottom"/>
            <w:tcBorders>
              <w:bottom w:val="single" w:sz="8" w:color="582C83"/>
            </w:tcBorders>
          </w:tcPr>
          <w:p>
            <w:pPr>
              <w:spacing w:after="0"/>
              <w:rPr>
                <w:sz w:val="5"/>
                <w:szCs w:val="5"/>
                <w:color w:val="auto"/>
              </w:rPr>
            </w:pPr>
          </w:p>
        </w:tc>
        <w:tc>
          <w:tcPr>
            <w:tcW w:w="980" w:type="dxa"/>
            <w:vAlign w:val="bottom"/>
            <w:tcBorders>
              <w:bottom w:val="single" w:sz="8" w:color="582C83"/>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60" w:type="dxa"/>
            <w:vAlign w:val="bottom"/>
            <w:vMerge w:val="continue"/>
          </w:tcPr>
          <w:p>
            <w:pPr>
              <w:spacing w:after="0"/>
              <w:rPr>
                <w:sz w:val="7"/>
                <w:szCs w:val="7"/>
                <w:color w:val="auto"/>
              </w:rPr>
            </w:pPr>
          </w:p>
        </w:tc>
        <w:tc>
          <w:tcPr>
            <w:tcW w:w="440" w:type="dxa"/>
            <w:vAlign w:val="bottom"/>
            <w:vMerge w:val="restart"/>
          </w:tcPr>
          <w:p>
            <w:pPr>
              <w:jc w:val="right"/>
              <w:ind w:right="37"/>
              <w:spacing w:after="0"/>
              <w:rPr>
                <w:sz w:val="20"/>
                <w:szCs w:val="20"/>
                <w:color w:val="auto"/>
              </w:rPr>
            </w:pPr>
            <w:r>
              <w:rPr>
                <w:rFonts w:ascii="Arial" w:cs="Arial" w:eastAsia="Arial" w:hAnsi="Arial"/>
                <w:sz w:val="13"/>
                <w:szCs w:val="13"/>
                <w:color w:val="auto"/>
              </w:rPr>
              <w:t>2024</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1,062,500</w:t>
            </w: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37"/>
              <w:spacing w:after="0"/>
              <w:rPr>
                <w:sz w:val="20"/>
                <w:szCs w:val="20"/>
                <w:color w:val="auto"/>
              </w:rPr>
            </w:pPr>
            <w:r>
              <w:rPr>
                <w:rFonts w:ascii="Arial" w:cs="Arial" w:eastAsia="Arial" w:hAnsi="Arial"/>
                <w:sz w:val="13"/>
                <w:szCs w:val="13"/>
                <w:color w:val="auto"/>
              </w:rPr>
              <w:t>4,349,148</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1,473,811</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1,100,000</w:t>
            </w: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502,436</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8,487,895</w:t>
            </w:r>
          </w:p>
        </w:tc>
        <w:tc>
          <w:tcPr>
            <w:tcW w:w="0" w:type="dxa"/>
            <w:vAlign w:val="bottom"/>
          </w:tcPr>
          <w:p>
            <w:pPr>
              <w:spacing w:after="0"/>
              <w:rPr>
                <w:sz w:val="1"/>
                <w:szCs w:val="1"/>
                <w:color w:val="auto"/>
              </w:rPr>
            </w:pPr>
          </w:p>
        </w:tc>
      </w:tr>
      <w:tr>
        <w:trPr>
          <w:trHeight w:val="95"/>
        </w:trPr>
        <w:tc>
          <w:tcPr>
            <w:tcW w:w="20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060" w:type="dxa"/>
            <w:vAlign w:val="bottom"/>
          </w:tcPr>
          <w:p>
            <w:pPr>
              <w:spacing w:after="0"/>
              <w:rPr>
                <w:sz w:val="2"/>
                <w:szCs w:val="2"/>
                <w:color w:val="auto"/>
              </w:rPr>
            </w:pPr>
          </w:p>
        </w:tc>
        <w:tc>
          <w:tcPr>
            <w:tcW w:w="440" w:type="dxa"/>
            <w:vAlign w:val="bottom"/>
            <w:tcBorders>
              <w:bottom w:val="single" w:sz="8" w:color="582C83"/>
            </w:tcBorders>
          </w:tcPr>
          <w:p>
            <w:pPr>
              <w:spacing w:after="0"/>
              <w:rPr>
                <w:sz w:val="2"/>
                <w:szCs w:val="2"/>
                <w:color w:val="auto"/>
              </w:rPr>
            </w:pPr>
          </w:p>
        </w:tc>
        <w:tc>
          <w:tcPr>
            <w:tcW w:w="680" w:type="dxa"/>
            <w:vAlign w:val="bottom"/>
            <w:tcBorders>
              <w:bottom w:val="single" w:sz="8" w:color="582C83"/>
            </w:tcBorders>
          </w:tcPr>
          <w:p>
            <w:pPr>
              <w:spacing w:after="0"/>
              <w:rPr>
                <w:sz w:val="2"/>
                <w:szCs w:val="2"/>
                <w:color w:val="auto"/>
              </w:rPr>
            </w:pPr>
          </w:p>
        </w:tc>
        <w:tc>
          <w:tcPr>
            <w:tcW w:w="680" w:type="dxa"/>
            <w:vAlign w:val="bottom"/>
            <w:tcBorders>
              <w:bottom w:val="single" w:sz="8" w:color="582C83"/>
            </w:tcBorders>
          </w:tcPr>
          <w:p>
            <w:pPr>
              <w:spacing w:after="0"/>
              <w:rPr>
                <w:sz w:val="2"/>
                <w:szCs w:val="2"/>
                <w:color w:val="auto"/>
              </w:rPr>
            </w:pPr>
          </w:p>
        </w:tc>
        <w:tc>
          <w:tcPr>
            <w:tcW w:w="800" w:type="dxa"/>
            <w:vAlign w:val="bottom"/>
            <w:tcBorders>
              <w:bottom w:val="single" w:sz="8" w:color="582C83"/>
            </w:tcBorders>
          </w:tcPr>
          <w:p>
            <w:pPr>
              <w:spacing w:after="0"/>
              <w:rPr>
                <w:sz w:val="2"/>
                <w:szCs w:val="2"/>
                <w:color w:val="auto"/>
              </w:rPr>
            </w:pPr>
          </w:p>
        </w:tc>
        <w:tc>
          <w:tcPr>
            <w:tcW w:w="700" w:type="dxa"/>
            <w:vAlign w:val="bottom"/>
            <w:tcBorders>
              <w:bottom w:val="single" w:sz="8" w:color="582C83"/>
            </w:tcBorders>
          </w:tcPr>
          <w:p>
            <w:pPr>
              <w:spacing w:after="0"/>
              <w:rPr>
                <w:sz w:val="2"/>
                <w:szCs w:val="2"/>
                <w:color w:val="auto"/>
              </w:rPr>
            </w:pPr>
          </w:p>
        </w:tc>
        <w:tc>
          <w:tcPr>
            <w:tcW w:w="980" w:type="dxa"/>
            <w:vAlign w:val="bottom"/>
            <w:tcBorders>
              <w:bottom w:val="single" w:sz="8" w:color="582C83"/>
            </w:tcBorders>
          </w:tcPr>
          <w:p>
            <w:pPr>
              <w:spacing w:after="0"/>
              <w:rPr>
                <w:sz w:val="2"/>
                <w:szCs w:val="2"/>
                <w:color w:val="auto"/>
              </w:rPr>
            </w:pPr>
          </w:p>
        </w:tc>
        <w:tc>
          <w:tcPr>
            <w:tcW w:w="740" w:type="dxa"/>
            <w:vAlign w:val="bottom"/>
            <w:tcBorders>
              <w:bottom w:val="single" w:sz="8" w:color="582C83"/>
            </w:tcBorders>
          </w:tcPr>
          <w:p>
            <w:pPr>
              <w:spacing w:after="0"/>
              <w:rPr>
                <w:sz w:val="2"/>
                <w:szCs w:val="2"/>
                <w:color w:val="auto"/>
              </w:rPr>
            </w:pPr>
          </w:p>
        </w:tc>
        <w:tc>
          <w:tcPr>
            <w:tcW w:w="1100" w:type="dxa"/>
            <w:vAlign w:val="bottom"/>
            <w:tcBorders>
              <w:bottom w:val="single" w:sz="8" w:color="582C83"/>
            </w:tcBorders>
          </w:tcPr>
          <w:p>
            <w:pPr>
              <w:spacing w:after="0"/>
              <w:rPr>
                <w:sz w:val="2"/>
                <w:szCs w:val="2"/>
                <w:color w:val="auto"/>
              </w:rPr>
            </w:pPr>
          </w:p>
        </w:tc>
        <w:tc>
          <w:tcPr>
            <w:tcW w:w="980" w:type="dxa"/>
            <w:vAlign w:val="bottom"/>
            <w:tcBorders>
              <w:bottom w:val="single" w:sz="8" w:color="582C83"/>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2023</w:t>
            </w:r>
          </w:p>
        </w:tc>
        <w:tc>
          <w:tcPr>
            <w:tcW w:w="680" w:type="dxa"/>
            <w:vAlign w:val="bottom"/>
          </w:tcPr>
          <w:p>
            <w:pPr>
              <w:jc w:val="right"/>
              <w:spacing w:after="0"/>
              <w:rPr>
                <w:sz w:val="20"/>
                <w:szCs w:val="20"/>
                <w:color w:val="auto"/>
              </w:rPr>
            </w:pPr>
            <w:r>
              <w:rPr>
                <w:rFonts w:ascii="Arial" w:cs="Arial" w:eastAsia="Arial" w:hAnsi="Arial"/>
                <w:sz w:val="13"/>
                <w:szCs w:val="13"/>
                <w:color w:val="auto"/>
              </w:rPr>
              <w:t>932,500</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3,935,694</w:t>
            </w:r>
          </w:p>
        </w:tc>
        <w:tc>
          <w:tcPr>
            <w:tcW w:w="700" w:type="dxa"/>
            <w:vAlign w:val="bottom"/>
          </w:tcPr>
          <w:p>
            <w:pPr>
              <w:jc w:val="right"/>
              <w:spacing w:after="0"/>
              <w:rPr>
                <w:sz w:val="20"/>
                <w:szCs w:val="20"/>
                <w:color w:val="auto"/>
              </w:rPr>
            </w:pPr>
            <w:r>
              <w:rPr>
                <w:rFonts w:ascii="Arial" w:cs="Arial" w:eastAsia="Arial" w:hAnsi="Arial"/>
                <w:sz w:val="13"/>
                <w:szCs w:val="13"/>
                <w:color w:val="auto"/>
              </w:rPr>
              <w:t>1,296,743</w:t>
            </w:r>
          </w:p>
        </w:tc>
        <w:tc>
          <w:tcPr>
            <w:tcW w:w="980" w:type="dxa"/>
            <w:vAlign w:val="bottom"/>
          </w:tcPr>
          <w:p>
            <w:pPr>
              <w:jc w:val="right"/>
              <w:spacing w:after="0"/>
              <w:rPr>
                <w:sz w:val="20"/>
                <w:szCs w:val="20"/>
                <w:color w:val="auto"/>
              </w:rPr>
            </w:pPr>
            <w:r>
              <w:rPr>
                <w:rFonts w:ascii="Arial" w:cs="Arial" w:eastAsia="Arial" w:hAnsi="Arial"/>
                <w:sz w:val="13"/>
                <w:szCs w:val="13"/>
                <w:color w:val="auto"/>
              </w:rPr>
              <w:t>1,567,500</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242,445</w:t>
            </w:r>
          </w:p>
        </w:tc>
        <w:tc>
          <w:tcPr>
            <w:tcW w:w="980" w:type="dxa"/>
            <w:vAlign w:val="bottom"/>
          </w:tcPr>
          <w:p>
            <w:pPr>
              <w:jc w:val="right"/>
              <w:spacing w:after="0"/>
              <w:rPr>
                <w:sz w:val="20"/>
                <w:szCs w:val="20"/>
                <w:color w:val="auto"/>
              </w:rPr>
            </w:pPr>
            <w:r>
              <w:rPr>
                <w:rFonts w:ascii="Arial" w:cs="Arial" w:eastAsia="Arial" w:hAnsi="Arial"/>
                <w:sz w:val="13"/>
                <w:szCs w:val="13"/>
                <w:color w:val="auto"/>
              </w:rPr>
              <w:t>7,974,882</w:t>
            </w:r>
          </w:p>
        </w:tc>
        <w:tc>
          <w:tcPr>
            <w:tcW w:w="0" w:type="dxa"/>
            <w:vAlign w:val="bottom"/>
          </w:tcPr>
          <w:p>
            <w:pPr>
              <w:spacing w:after="0"/>
              <w:rPr>
                <w:sz w:val="1"/>
                <w:szCs w:val="1"/>
                <w:color w:val="auto"/>
              </w:rPr>
            </w:pPr>
          </w:p>
        </w:tc>
      </w:tr>
      <w:tr>
        <w:trPr>
          <w:trHeight w:val="28"/>
        </w:trPr>
        <w:tc>
          <w:tcPr>
            <w:tcW w:w="2060" w:type="dxa"/>
            <w:vAlign w:val="bottom"/>
            <w:tcBorders>
              <w:bottom w:val="single" w:sz="8" w:color="582C83"/>
            </w:tcBorders>
          </w:tcPr>
          <w:p>
            <w:pPr>
              <w:spacing w:after="0"/>
              <w:rPr>
                <w:sz w:val="2"/>
                <w:szCs w:val="2"/>
                <w:color w:val="auto"/>
              </w:rPr>
            </w:pPr>
          </w:p>
        </w:tc>
        <w:tc>
          <w:tcPr>
            <w:tcW w:w="440" w:type="dxa"/>
            <w:vAlign w:val="bottom"/>
            <w:tcBorders>
              <w:bottom w:val="single" w:sz="8" w:color="582C83"/>
            </w:tcBorders>
          </w:tcPr>
          <w:p>
            <w:pPr>
              <w:spacing w:after="0"/>
              <w:rPr>
                <w:sz w:val="2"/>
                <w:szCs w:val="2"/>
                <w:color w:val="auto"/>
              </w:rPr>
            </w:pPr>
          </w:p>
        </w:tc>
        <w:tc>
          <w:tcPr>
            <w:tcW w:w="680" w:type="dxa"/>
            <w:vAlign w:val="bottom"/>
            <w:tcBorders>
              <w:bottom w:val="single" w:sz="8" w:color="582C83"/>
            </w:tcBorders>
          </w:tcPr>
          <w:p>
            <w:pPr>
              <w:spacing w:after="0"/>
              <w:rPr>
                <w:sz w:val="2"/>
                <w:szCs w:val="2"/>
                <w:color w:val="auto"/>
              </w:rPr>
            </w:pPr>
          </w:p>
        </w:tc>
        <w:tc>
          <w:tcPr>
            <w:tcW w:w="680" w:type="dxa"/>
            <w:vAlign w:val="bottom"/>
            <w:tcBorders>
              <w:bottom w:val="single" w:sz="8" w:color="582C83"/>
            </w:tcBorders>
          </w:tcPr>
          <w:p>
            <w:pPr>
              <w:spacing w:after="0"/>
              <w:rPr>
                <w:sz w:val="2"/>
                <w:szCs w:val="2"/>
                <w:color w:val="auto"/>
              </w:rPr>
            </w:pPr>
          </w:p>
        </w:tc>
        <w:tc>
          <w:tcPr>
            <w:tcW w:w="800" w:type="dxa"/>
            <w:vAlign w:val="bottom"/>
            <w:tcBorders>
              <w:bottom w:val="single" w:sz="8" w:color="582C83"/>
            </w:tcBorders>
          </w:tcPr>
          <w:p>
            <w:pPr>
              <w:spacing w:after="0"/>
              <w:rPr>
                <w:sz w:val="2"/>
                <w:szCs w:val="2"/>
                <w:color w:val="auto"/>
              </w:rPr>
            </w:pPr>
          </w:p>
        </w:tc>
        <w:tc>
          <w:tcPr>
            <w:tcW w:w="700" w:type="dxa"/>
            <w:vAlign w:val="bottom"/>
            <w:tcBorders>
              <w:bottom w:val="single" w:sz="8" w:color="582C83"/>
            </w:tcBorders>
          </w:tcPr>
          <w:p>
            <w:pPr>
              <w:spacing w:after="0"/>
              <w:rPr>
                <w:sz w:val="2"/>
                <w:szCs w:val="2"/>
                <w:color w:val="auto"/>
              </w:rPr>
            </w:pPr>
          </w:p>
        </w:tc>
        <w:tc>
          <w:tcPr>
            <w:tcW w:w="980" w:type="dxa"/>
            <w:vAlign w:val="bottom"/>
            <w:tcBorders>
              <w:bottom w:val="single" w:sz="8" w:color="582C83"/>
            </w:tcBorders>
          </w:tcPr>
          <w:p>
            <w:pPr>
              <w:spacing w:after="0"/>
              <w:rPr>
                <w:sz w:val="2"/>
                <w:szCs w:val="2"/>
                <w:color w:val="auto"/>
              </w:rPr>
            </w:pPr>
          </w:p>
        </w:tc>
        <w:tc>
          <w:tcPr>
            <w:tcW w:w="740" w:type="dxa"/>
            <w:vAlign w:val="bottom"/>
            <w:tcBorders>
              <w:bottom w:val="single" w:sz="8" w:color="582C83"/>
            </w:tcBorders>
          </w:tcPr>
          <w:p>
            <w:pPr>
              <w:spacing w:after="0"/>
              <w:rPr>
                <w:sz w:val="2"/>
                <w:szCs w:val="2"/>
                <w:color w:val="auto"/>
              </w:rPr>
            </w:pPr>
          </w:p>
        </w:tc>
        <w:tc>
          <w:tcPr>
            <w:tcW w:w="1100" w:type="dxa"/>
            <w:vAlign w:val="bottom"/>
            <w:tcBorders>
              <w:bottom w:val="single" w:sz="8" w:color="582C83"/>
            </w:tcBorders>
          </w:tcPr>
          <w:p>
            <w:pPr>
              <w:spacing w:after="0"/>
              <w:rPr>
                <w:sz w:val="2"/>
                <w:szCs w:val="2"/>
                <w:color w:val="auto"/>
              </w:rPr>
            </w:pPr>
          </w:p>
        </w:tc>
        <w:tc>
          <w:tcPr>
            <w:tcW w:w="980" w:type="dxa"/>
            <w:vAlign w:val="bottom"/>
            <w:tcBorders>
              <w:bottom w:val="single" w:sz="8" w:color="582C83"/>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060" w:type="dxa"/>
            <w:vAlign w:val="bottom"/>
            <w:shd w:val="clear" w:color="auto" w:fill="E0DBEA"/>
          </w:tcPr>
          <w:p>
            <w:pPr>
              <w:ind w:left="60"/>
              <w:spacing w:after="0" w:line="151" w:lineRule="exact"/>
              <w:rPr>
                <w:sz w:val="20"/>
                <w:szCs w:val="20"/>
                <w:color w:val="auto"/>
              </w:rPr>
            </w:pPr>
            <w:r>
              <w:rPr>
                <w:rFonts w:ascii="Arial" w:cs="Arial" w:eastAsia="Arial" w:hAnsi="Arial"/>
                <w:sz w:val="13"/>
                <w:szCs w:val="13"/>
                <w:b w:val="1"/>
                <w:bCs w:val="1"/>
                <w:color w:val="auto"/>
              </w:rPr>
              <w:t>Kuhn, Volker</w:t>
            </w:r>
            <w:r>
              <w:rPr>
                <w:rFonts w:ascii="Arial" w:cs="Arial" w:eastAsia="Arial" w:hAnsi="Arial"/>
                <w:sz w:val="16"/>
                <w:szCs w:val="16"/>
                <w:b w:val="1"/>
                <w:bCs w:val="1"/>
                <w:color w:val="auto"/>
                <w:vertAlign w:val="superscript"/>
              </w:rPr>
              <w:t>(1)</w:t>
            </w:r>
          </w:p>
        </w:tc>
        <w:tc>
          <w:tcPr>
            <w:tcW w:w="440" w:type="dxa"/>
            <w:vAlign w:val="bottom"/>
            <w:vMerge w:val="restart"/>
            <w:shd w:val="clear" w:color="auto" w:fill="E0DBEA"/>
          </w:tcPr>
          <w:p>
            <w:pPr>
              <w:jc w:val="right"/>
              <w:ind w:right="37"/>
              <w:spacing w:after="0"/>
              <w:rPr>
                <w:sz w:val="20"/>
                <w:szCs w:val="20"/>
                <w:color w:val="auto"/>
              </w:rPr>
            </w:pPr>
            <w:r>
              <w:rPr>
                <w:rFonts w:ascii="Arial" w:cs="Arial" w:eastAsia="Arial" w:hAnsi="Arial"/>
                <w:sz w:val="13"/>
                <w:szCs w:val="13"/>
                <w:color w:val="auto"/>
              </w:rPr>
              <w:t>2025</w:t>
            </w:r>
          </w:p>
        </w:tc>
        <w:tc>
          <w:tcPr>
            <w:tcW w:w="680" w:type="dxa"/>
            <w:vAlign w:val="bottom"/>
            <w:vMerge w:val="restart"/>
            <w:shd w:val="clear" w:color="auto" w:fill="E0DBEA"/>
          </w:tcPr>
          <w:p>
            <w:pPr>
              <w:jc w:val="right"/>
              <w:spacing w:after="0"/>
              <w:rPr>
                <w:sz w:val="20"/>
                <w:szCs w:val="20"/>
                <w:color w:val="auto"/>
              </w:rPr>
            </w:pPr>
            <w:r>
              <w:rPr>
                <w:rFonts w:ascii="Arial" w:cs="Arial" w:eastAsia="Arial" w:hAnsi="Arial"/>
                <w:sz w:val="13"/>
                <w:szCs w:val="13"/>
                <w:color w:val="auto"/>
              </w:rPr>
              <w:t>1,045,913</w:t>
            </w:r>
          </w:p>
        </w:tc>
        <w:tc>
          <w:tcPr>
            <w:tcW w:w="680" w:type="dxa"/>
            <w:vAlign w:val="bottom"/>
            <w:vMerge w:val="restart"/>
            <w:shd w:val="clear" w:color="auto" w:fill="E0DBEA"/>
          </w:tcPr>
          <w:p>
            <w:pPr>
              <w:jc w:val="right"/>
              <w:ind w:right="17"/>
              <w:spacing w:after="0"/>
              <w:rPr>
                <w:sz w:val="20"/>
                <w:szCs w:val="20"/>
                <w:color w:val="auto"/>
              </w:rPr>
            </w:pPr>
            <w:r>
              <w:rPr>
                <w:rFonts w:ascii="Arial" w:cs="Arial" w:eastAsia="Arial" w:hAnsi="Arial"/>
                <w:sz w:val="13"/>
                <w:szCs w:val="13"/>
                <w:color w:val="auto"/>
              </w:rPr>
              <w:t>265,342</w:t>
            </w:r>
          </w:p>
        </w:tc>
        <w:tc>
          <w:tcPr>
            <w:tcW w:w="800" w:type="dxa"/>
            <w:vAlign w:val="bottom"/>
            <w:vMerge w:val="restart"/>
            <w:shd w:val="clear" w:color="auto" w:fill="E0DBEA"/>
          </w:tcPr>
          <w:p>
            <w:pPr>
              <w:jc w:val="right"/>
              <w:ind w:right="57"/>
              <w:spacing w:after="0"/>
              <w:rPr>
                <w:sz w:val="20"/>
                <w:szCs w:val="20"/>
                <w:color w:val="auto"/>
              </w:rPr>
            </w:pPr>
            <w:r>
              <w:rPr>
                <w:rFonts w:ascii="Arial" w:cs="Arial" w:eastAsia="Arial" w:hAnsi="Arial"/>
                <w:sz w:val="13"/>
                <w:szCs w:val="13"/>
                <w:color w:val="auto"/>
              </w:rPr>
              <w:t>4,114,098</w:t>
            </w:r>
          </w:p>
        </w:tc>
        <w:tc>
          <w:tcPr>
            <w:tcW w:w="700" w:type="dxa"/>
            <w:vAlign w:val="bottom"/>
            <w:vMerge w:val="restart"/>
            <w:shd w:val="clear" w:color="auto" w:fill="E0DBEA"/>
          </w:tcPr>
          <w:p>
            <w:pPr>
              <w:jc w:val="right"/>
              <w:spacing w:after="0"/>
              <w:rPr>
                <w:sz w:val="20"/>
                <w:szCs w:val="20"/>
                <w:color w:val="auto"/>
              </w:rPr>
            </w:pPr>
            <w:r>
              <w:rPr>
                <w:rFonts w:ascii="Arial" w:cs="Arial" w:eastAsia="Arial" w:hAnsi="Arial"/>
                <w:sz w:val="13"/>
                <w:szCs w:val="13"/>
                <w:color w:val="auto"/>
              </w:rPr>
              <w:t>1,141,121</w:t>
            </w:r>
          </w:p>
        </w:tc>
        <w:tc>
          <w:tcPr>
            <w:tcW w:w="980" w:type="dxa"/>
            <w:vAlign w:val="bottom"/>
            <w:vMerge w:val="restart"/>
            <w:shd w:val="clear" w:color="auto" w:fill="E0DBEA"/>
          </w:tcPr>
          <w:p>
            <w:pPr>
              <w:jc w:val="right"/>
              <w:spacing w:after="0"/>
              <w:rPr>
                <w:sz w:val="20"/>
                <w:szCs w:val="20"/>
                <w:color w:val="auto"/>
              </w:rPr>
            </w:pPr>
            <w:r>
              <w:rPr>
                <w:rFonts w:ascii="Arial" w:cs="Arial" w:eastAsia="Arial" w:hAnsi="Arial"/>
                <w:sz w:val="13"/>
                <w:szCs w:val="13"/>
                <w:color w:val="auto"/>
              </w:rPr>
              <w:t>1,091,648</w:t>
            </w:r>
          </w:p>
        </w:tc>
        <w:tc>
          <w:tcPr>
            <w:tcW w:w="740" w:type="dxa"/>
            <w:vAlign w:val="bottom"/>
            <w:vMerge w:val="restart"/>
            <w:shd w:val="clear" w:color="auto" w:fill="E0DBEA"/>
          </w:tcPr>
          <w:p>
            <w:pPr>
              <w:jc w:val="right"/>
              <w:ind w:right="17"/>
              <w:spacing w:after="0"/>
              <w:rPr>
                <w:sz w:val="20"/>
                <w:szCs w:val="20"/>
                <w:color w:val="auto"/>
              </w:rPr>
            </w:pPr>
            <w:r>
              <w:rPr>
                <w:rFonts w:ascii="Arial" w:cs="Arial" w:eastAsia="Arial" w:hAnsi="Arial"/>
                <w:sz w:val="13"/>
                <w:szCs w:val="13"/>
                <w:color w:val="auto"/>
              </w:rPr>
              <w:t>1,104,506</w:t>
            </w:r>
          </w:p>
        </w:tc>
        <w:tc>
          <w:tcPr>
            <w:tcW w:w="1100" w:type="dxa"/>
            <w:vAlign w:val="bottom"/>
            <w:vMerge w:val="restart"/>
            <w:shd w:val="clear" w:color="auto" w:fill="E0DBEA"/>
          </w:tcPr>
          <w:p>
            <w:pPr>
              <w:jc w:val="right"/>
              <w:spacing w:after="0"/>
              <w:rPr>
                <w:sz w:val="20"/>
                <w:szCs w:val="20"/>
                <w:color w:val="auto"/>
              </w:rPr>
            </w:pPr>
            <w:r>
              <w:rPr>
                <w:rFonts w:ascii="Arial" w:cs="Arial" w:eastAsia="Arial" w:hAnsi="Arial"/>
                <w:sz w:val="13"/>
                <w:szCs w:val="13"/>
                <w:color w:val="auto"/>
              </w:rPr>
              <w:t>20,466</w:t>
            </w:r>
          </w:p>
        </w:tc>
        <w:tc>
          <w:tcPr>
            <w:tcW w:w="980" w:type="dxa"/>
            <w:vAlign w:val="bottom"/>
            <w:vMerge w:val="restart"/>
            <w:shd w:val="clear" w:color="auto" w:fill="E0DBEA"/>
          </w:tcPr>
          <w:p>
            <w:pPr>
              <w:jc w:val="right"/>
              <w:spacing w:after="0"/>
              <w:rPr>
                <w:sz w:val="20"/>
                <w:szCs w:val="20"/>
                <w:color w:val="auto"/>
              </w:rPr>
            </w:pPr>
            <w:r>
              <w:rPr>
                <w:rFonts w:ascii="Arial" w:cs="Arial" w:eastAsia="Arial" w:hAnsi="Arial"/>
                <w:sz w:val="13"/>
                <w:szCs w:val="13"/>
                <w:color w:val="auto"/>
              </w:rPr>
              <w:t>8,783,094</w:t>
            </w:r>
          </w:p>
        </w:tc>
        <w:tc>
          <w:tcPr>
            <w:tcW w:w="0" w:type="dxa"/>
            <w:vAlign w:val="bottom"/>
          </w:tcPr>
          <w:p>
            <w:pPr>
              <w:spacing w:after="0"/>
              <w:rPr>
                <w:sz w:val="1"/>
                <w:szCs w:val="1"/>
                <w:color w:val="auto"/>
              </w:rPr>
            </w:pPr>
          </w:p>
        </w:tc>
      </w:tr>
      <w:tr>
        <w:trPr>
          <w:trHeight w:val="98"/>
        </w:trPr>
        <w:tc>
          <w:tcPr>
            <w:tcW w:w="2060" w:type="dxa"/>
            <w:vAlign w:val="bottom"/>
            <w:vMerge w:val="restart"/>
            <w:shd w:val="clear" w:color="auto" w:fill="E0DBEA"/>
          </w:tcPr>
          <w:p>
            <w:pPr>
              <w:ind w:left="220"/>
              <w:spacing w:after="0"/>
              <w:rPr>
                <w:sz w:val="20"/>
                <w:szCs w:val="20"/>
                <w:color w:val="auto"/>
              </w:rPr>
            </w:pPr>
            <w:r>
              <w:rPr>
                <w:rFonts w:ascii="Arial" w:cs="Arial" w:eastAsia="Arial" w:hAnsi="Arial"/>
                <w:sz w:val="13"/>
                <w:szCs w:val="13"/>
                <w:color w:val="auto"/>
              </w:rPr>
              <w:t>EVP &amp; President, Europe</w:t>
            </w:r>
          </w:p>
        </w:tc>
        <w:tc>
          <w:tcPr>
            <w:tcW w:w="440" w:type="dxa"/>
            <w:vAlign w:val="bottom"/>
            <w:vMerge w:val="continue"/>
            <w:shd w:val="clear" w:color="auto" w:fill="E0DBEA"/>
          </w:tcPr>
          <w:p>
            <w:pPr>
              <w:spacing w:after="0"/>
              <w:rPr>
                <w:sz w:val="8"/>
                <w:szCs w:val="8"/>
                <w:color w:val="auto"/>
              </w:rPr>
            </w:pPr>
          </w:p>
        </w:tc>
        <w:tc>
          <w:tcPr>
            <w:tcW w:w="680" w:type="dxa"/>
            <w:vAlign w:val="bottom"/>
            <w:vMerge w:val="continue"/>
            <w:shd w:val="clear" w:color="auto" w:fill="E0DBEA"/>
          </w:tcPr>
          <w:p>
            <w:pPr>
              <w:spacing w:after="0"/>
              <w:rPr>
                <w:sz w:val="8"/>
                <w:szCs w:val="8"/>
                <w:color w:val="auto"/>
              </w:rPr>
            </w:pPr>
          </w:p>
        </w:tc>
        <w:tc>
          <w:tcPr>
            <w:tcW w:w="680" w:type="dxa"/>
            <w:vAlign w:val="bottom"/>
            <w:vMerge w:val="continue"/>
            <w:shd w:val="clear" w:color="auto" w:fill="E0DBEA"/>
          </w:tcPr>
          <w:p>
            <w:pPr>
              <w:spacing w:after="0"/>
              <w:rPr>
                <w:sz w:val="8"/>
                <w:szCs w:val="8"/>
                <w:color w:val="auto"/>
              </w:rPr>
            </w:pPr>
          </w:p>
        </w:tc>
        <w:tc>
          <w:tcPr>
            <w:tcW w:w="800" w:type="dxa"/>
            <w:vAlign w:val="bottom"/>
            <w:vMerge w:val="continue"/>
            <w:shd w:val="clear" w:color="auto" w:fill="E0DBEA"/>
          </w:tcPr>
          <w:p>
            <w:pPr>
              <w:spacing w:after="0"/>
              <w:rPr>
                <w:sz w:val="8"/>
                <w:szCs w:val="8"/>
                <w:color w:val="auto"/>
              </w:rPr>
            </w:pPr>
          </w:p>
        </w:tc>
        <w:tc>
          <w:tcPr>
            <w:tcW w:w="700" w:type="dxa"/>
            <w:vAlign w:val="bottom"/>
            <w:vMerge w:val="continue"/>
            <w:shd w:val="clear" w:color="auto" w:fill="E0DBEA"/>
          </w:tcPr>
          <w:p>
            <w:pPr>
              <w:spacing w:after="0"/>
              <w:rPr>
                <w:sz w:val="8"/>
                <w:szCs w:val="8"/>
                <w:color w:val="auto"/>
              </w:rPr>
            </w:pPr>
          </w:p>
        </w:tc>
        <w:tc>
          <w:tcPr>
            <w:tcW w:w="980" w:type="dxa"/>
            <w:vAlign w:val="bottom"/>
            <w:vMerge w:val="continue"/>
            <w:shd w:val="clear" w:color="auto" w:fill="E0DBEA"/>
          </w:tcPr>
          <w:p>
            <w:pPr>
              <w:spacing w:after="0"/>
              <w:rPr>
                <w:sz w:val="8"/>
                <w:szCs w:val="8"/>
                <w:color w:val="auto"/>
              </w:rPr>
            </w:pPr>
          </w:p>
        </w:tc>
        <w:tc>
          <w:tcPr>
            <w:tcW w:w="740" w:type="dxa"/>
            <w:vAlign w:val="bottom"/>
            <w:vMerge w:val="continue"/>
            <w:shd w:val="clear" w:color="auto" w:fill="E0DBEA"/>
          </w:tcPr>
          <w:p>
            <w:pPr>
              <w:spacing w:after="0"/>
              <w:rPr>
                <w:sz w:val="8"/>
                <w:szCs w:val="8"/>
                <w:color w:val="auto"/>
              </w:rPr>
            </w:pPr>
          </w:p>
        </w:tc>
        <w:tc>
          <w:tcPr>
            <w:tcW w:w="1100" w:type="dxa"/>
            <w:vAlign w:val="bottom"/>
            <w:vMerge w:val="continue"/>
            <w:shd w:val="clear" w:color="auto" w:fill="E0DBEA"/>
          </w:tcPr>
          <w:p>
            <w:pPr>
              <w:spacing w:after="0"/>
              <w:rPr>
                <w:sz w:val="8"/>
                <w:szCs w:val="8"/>
                <w:color w:val="auto"/>
              </w:rPr>
            </w:pPr>
          </w:p>
        </w:tc>
        <w:tc>
          <w:tcPr>
            <w:tcW w:w="980" w:type="dxa"/>
            <w:vAlign w:val="bottom"/>
            <w:vMerge w:val="continue"/>
            <w:shd w:val="clear" w:color="auto" w:fill="E0DBEA"/>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60" w:type="dxa"/>
            <w:vAlign w:val="bottom"/>
            <w:tcBorders>
              <w:bottom w:val="single" w:sz="8" w:color="E0DBEA"/>
            </w:tcBorders>
            <w:vMerge w:val="continue"/>
            <w:shd w:val="clear" w:color="auto" w:fill="E0DBEA"/>
          </w:tcPr>
          <w:p>
            <w:pPr>
              <w:spacing w:after="0"/>
              <w:rPr>
                <w:sz w:val="8"/>
                <w:szCs w:val="8"/>
                <w:color w:val="auto"/>
              </w:rPr>
            </w:pPr>
          </w:p>
        </w:tc>
        <w:tc>
          <w:tcPr>
            <w:tcW w:w="440" w:type="dxa"/>
            <w:vAlign w:val="bottom"/>
            <w:tcBorders>
              <w:bottom w:val="single" w:sz="8" w:color="E0DBEA"/>
            </w:tcBorders>
            <w:shd w:val="clear" w:color="auto" w:fill="E0DBEA"/>
          </w:tcPr>
          <w:p>
            <w:pPr>
              <w:spacing w:after="0"/>
              <w:rPr>
                <w:sz w:val="8"/>
                <w:szCs w:val="8"/>
                <w:color w:val="auto"/>
              </w:rPr>
            </w:pPr>
          </w:p>
        </w:tc>
        <w:tc>
          <w:tcPr>
            <w:tcW w:w="680" w:type="dxa"/>
            <w:vAlign w:val="bottom"/>
            <w:tcBorders>
              <w:bottom w:val="single" w:sz="8" w:color="E0DBEA"/>
            </w:tcBorders>
            <w:shd w:val="clear" w:color="auto" w:fill="E0DBEA"/>
          </w:tcPr>
          <w:p>
            <w:pPr>
              <w:spacing w:after="0"/>
              <w:rPr>
                <w:sz w:val="8"/>
                <w:szCs w:val="8"/>
                <w:color w:val="auto"/>
              </w:rPr>
            </w:pPr>
          </w:p>
        </w:tc>
        <w:tc>
          <w:tcPr>
            <w:tcW w:w="680" w:type="dxa"/>
            <w:vAlign w:val="bottom"/>
            <w:tcBorders>
              <w:bottom w:val="single" w:sz="8" w:color="E0DBEA"/>
            </w:tcBorders>
            <w:shd w:val="clear" w:color="auto" w:fill="E0DBEA"/>
          </w:tcPr>
          <w:p>
            <w:pPr>
              <w:spacing w:after="0"/>
              <w:rPr>
                <w:sz w:val="8"/>
                <w:szCs w:val="8"/>
                <w:color w:val="auto"/>
              </w:rPr>
            </w:pPr>
          </w:p>
        </w:tc>
        <w:tc>
          <w:tcPr>
            <w:tcW w:w="800" w:type="dxa"/>
            <w:vAlign w:val="bottom"/>
            <w:tcBorders>
              <w:bottom w:val="single" w:sz="8" w:color="E0DBEA"/>
            </w:tcBorders>
            <w:shd w:val="clear" w:color="auto" w:fill="E0DBEA"/>
          </w:tcPr>
          <w:p>
            <w:pPr>
              <w:spacing w:after="0"/>
              <w:rPr>
                <w:sz w:val="8"/>
                <w:szCs w:val="8"/>
                <w:color w:val="auto"/>
              </w:rPr>
            </w:pPr>
          </w:p>
        </w:tc>
        <w:tc>
          <w:tcPr>
            <w:tcW w:w="700" w:type="dxa"/>
            <w:vAlign w:val="bottom"/>
            <w:tcBorders>
              <w:bottom w:val="single" w:sz="8" w:color="E0DBEA"/>
            </w:tcBorders>
            <w:shd w:val="clear" w:color="auto" w:fill="E0DBEA"/>
          </w:tcPr>
          <w:p>
            <w:pPr>
              <w:spacing w:after="0"/>
              <w:rPr>
                <w:sz w:val="8"/>
                <w:szCs w:val="8"/>
                <w:color w:val="auto"/>
              </w:rPr>
            </w:pPr>
          </w:p>
        </w:tc>
        <w:tc>
          <w:tcPr>
            <w:tcW w:w="980" w:type="dxa"/>
            <w:vAlign w:val="bottom"/>
            <w:tcBorders>
              <w:bottom w:val="single" w:sz="8" w:color="E0DBEA"/>
            </w:tcBorders>
            <w:shd w:val="clear" w:color="auto" w:fill="E0DBEA"/>
          </w:tcPr>
          <w:p>
            <w:pPr>
              <w:spacing w:after="0"/>
              <w:rPr>
                <w:sz w:val="8"/>
                <w:szCs w:val="8"/>
                <w:color w:val="auto"/>
              </w:rPr>
            </w:pPr>
          </w:p>
        </w:tc>
        <w:tc>
          <w:tcPr>
            <w:tcW w:w="740" w:type="dxa"/>
            <w:vAlign w:val="bottom"/>
            <w:tcBorders>
              <w:bottom w:val="single" w:sz="8" w:color="E0DBEA"/>
            </w:tcBorders>
            <w:shd w:val="clear" w:color="auto" w:fill="E0DBEA"/>
          </w:tcPr>
          <w:p>
            <w:pPr>
              <w:spacing w:after="0"/>
              <w:rPr>
                <w:sz w:val="8"/>
                <w:szCs w:val="8"/>
                <w:color w:val="auto"/>
              </w:rPr>
            </w:pPr>
          </w:p>
        </w:tc>
        <w:tc>
          <w:tcPr>
            <w:tcW w:w="1100" w:type="dxa"/>
            <w:vAlign w:val="bottom"/>
            <w:tcBorders>
              <w:bottom w:val="single" w:sz="8" w:color="E0DBEA"/>
            </w:tcBorders>
            <w:shd w:val="clear" w:color="auto" w:fill="E0DBEA"/>
          </w:tcPr>
          <w:p>
            <w:pPr>
              <w:spacing w:after="0"/>
              <w:rPr>
                <w:sz w:val="8"/>
                <w:szCs w:val="8"/>
                <w:color w:val="auto"/>
              </w:rPr>
            </w:pPr>
          </w:p>
        </w:tc>
        <w:tc>
          <w:tcPr>
            <w:tcW w:w="980" w:type="dxa"/>
            <w:vAlign w:val="bottom"/>
            <w:tcBorders>
              <w:bottom w:val="single" w:sz="8" w:color="E0DBEA"/>
            </w:tcBorders>
            <w:shd w:val="clear" w:color="auto" w:fill="E0DBEA"/>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2060" w:type="dxa"/>
            <w:vAlign w:val="bottom"/>
            <w:tcBorders>
              <w:top w:val="single" w:sz="8" w:color="582C83"/>
            </w:tcBorders>
          </w:tcPr>
          <w:p>
            <w:pPr>
              <w:ind w:left="60"/>
              <w:spacing w:after="0"/>
              <w:rPr>
                <w:sz w:val="20"/>
                <w:szCs w:val="20"/>
                <w:color w:val="auto"/>
              </w:rPr>
            </w:pPr>
            <w:r>
              <w:rPr>
                <w:rFonts w:ascii="Arial" w:cs="Arial" w:eastAsia="Arial" w:hAnsi="Arial"/>
                <w:sz w:val="13"/>
                <w:szCs w:val="13"/>
                <w:b w:val="1"/>
                <w:bCs w:val="1"/>
                <w:color w:val="auto"/>
              </w:rPr>
              <w:t>Valle, Gustavo</w:t>
            </w:r>
          </w:p>
        </w:tc>
        <w:tc>
          <w:tcPr>
            <w:tcW w:w="440" w:type="dxa"/>
            <w:vAlign w:val="bottom"/>
            <w:tcBorders>
              <w:top w:val="single" w:sz="8" w:color="582C83"/>
            </w:tcBorders>
          </w:tcPr>
          <w:p>
            <w:pPr>
              <w:jc w:val="right"/>
              <w:ind w:right="37"/>
              <w:spacing w:after="0"/>
              <w:rPr>
                <w:sz w:val="20"/>
                <w:szCs w:val="20"/>
                <w:color w:val="auto"/>
              </w:rPr>
            </w:pPr>
            <w:r>
              <w:rPr>
                <w:rFonts w:ascii="Arial" w:cs="Arial" w:eastAsia="Arial" w:hAnsi="Arial"/>
                <w:sz w:val="13"/>
                <w:szCs w:val="13"/>
                <w:color w:val="auto"/>
              </w:rPr>
              <w:t>2025</w:t>
            </w:r>
          </w:p>
        </w:tc>
        <w:tc>
          <w:tcPr>
            <w:tcW w:w="680" w:type="dxa"/>
            <w:vAlign w:val="bottom"/>
            <w:tcBorders>
              <w:top w:val="single" w:sz="8" w:color="582C83"/>
            </w:tcBorders>
          </w:tcPr>
          <w:p>
            <w:pPr>
              <w:jc w:val="right"/>
              <w:spacing w:after="0"/>
              <w:rPr>
                <w:sz w:val="20"/>
                <w:szCs w:val="20"/>
                <w:color w:val="auto"/>
              </w:rPr>
            </w:pPr>
            <w:r>
              <w:rPr>
                <w:rFonts w:ascii="Arial" w:cs="Arial" w:eastAsia="Arial" w:hAnsi="Arial"/>
                <w:sz w:val="13"/>
                <w:szCs w:val="13"/>
                <w:color w:val="auto"/>
              </w:rPr>
              <w:t>841,115</w:t>
            </w:r>
          </w:p>
        </w:tc>
        <w:tc>
          <w:tcPr>
            <w:tcW w:w="680" w:type="dxa"/>
            <w:vAlign w:val="bottom"/>
            <w:tcBorders>
              <w:top w:val="single" w:sz="8" w:color="582C83"/>
            </w:tcBorders>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582C83"/>
            </w:tcBorders>
          </w:tcPr>
          <w:p>
            <w:pPr>
              <w:jc w:val="right"/>
              <w:ind w:right="37"/>
              <w:spacing w:after="0"/>
              <w:rPr>
                <w:sz w:val="20"/>
                <w:szCs w:val="20"/>
                <w:color w:val="auto"/>
              </w:rPr>
            </w:pPr>
            <w:r>
              <w:rPr>
                <w:rFonts w:ascii="Arial" w:cs="Arial" w:eastAsia="Arial" w:hAnsi="Arial"/>
                <w:sz w:val="13"/>
                <w:szCs w:val="13"/>
                <w:color w:val="auto"/>
              </w:rPr>
              <w:t>3,419,603</w:t>
            </w:r>
          </w:p>
        </w:tc>
        <w:tc>
          <w:tcPr>
            <w:tcW w:w="700" w:type="dxa"/>
            <w:vAlign w:val="bottom"/>
            <w:tcBorders>
              <w:top w:val="single" w:sz="8" w:color="582C83"/>
            </w:tcBorders>
          </w:tcPr>
          <w:p>
            <w:pPr>
              <w:jc w:val="right"/>
              <w:spacing w:after="0"/>
              <w:rPr>
                <w:sz w:val="20"/>
                <w:szCs w:val="20"/>
                <w:color w:val="auto"/>
              </w:rPr>
            </w:pPr>
            <w:r>
              <w:rPr>
                <w:rFonts w:ascii="Arial" w:cs="Arial" w:eastAsia="Arial" w:hAnsi="Arial"/>
                <w:sz w:val="13"/>
                <w:szCs w:val="13"/>
                <w:color w:val="auto"/>
              </w:rPr>
              <w:t>1,035,786</w:t>
            </w:r>
          </w:p>
        </w:tc>
        <w:tc>
          <w:tcPr>
            <w:tcW w:w="980" w:type="dxa"/>
            <w:vAlign w:val="bottom"/>
            <w:tcBorders>
              <w:top w:val="single" w:sz="8" w:color="582C83"/>
            </w:tcBorders>
          </w:tcPr>
          <w:p>
            <w:pPr>
              <w:jc w:val="right"/>
              <w:spacing w:after="0"/>
              <w:rPr>
                <w:sz w:val="20"/>
                <w:szCs w:val="20"/>
                <w:color w:val="auto"/>
              </w:rPr>
            </w:pPr>
            <w:r>
              <w:rPr>
                <w:rFonts w:ascii="Arial" w:cs="Arial" w:eastAsia="Arial" w:hAnsi="Arial"/>
                <w:sz w:val="13"/>
                <w:szCs w:val="13"/>
                <w:color w:val="auto"/>
              </w:rPr>
              <w:t>357,000</w:t>
            </w:r>
          </w:p>
        </w:tc>
        <w:tc>
          <w:tcPr>
            <w:tcW w:w="740" w:type="dxa"/>
            <w:vAlign w:val="bottom"/>
            <w:tcBorders>
              <w:top w:val="single" w:sz="8" w:color="582C83"/>
            </w:tcBorders>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582C83"/>
            </w:tcBorders>
          </w:tcPr>
          <w:p>
            <w:pPr>
              <w:jc w:val="right"/>
              <w:spacing w:after="0"/>
              <w:rPr>
                <w:sz w:val="20"/>
                <w:szCs w:val="20"/>
                <w:color w:val="auto"/>
              </w:rPr>
            </w:pPr>
            <w:r>
              <w:rPr>
                <w:rFonts w:ascii="Arial" w:cs="Arial" w:eastAsia="Arial" w:hAnsi="Arial"/>
                <w:sz w:val="13"/>
                <w:szCs w:val="13"/>
                <w:color w:val="auto"/>
              </w:rPr>
              <w:t>129,579</w:t>
            </w:r>
          </w:p>
        </w:tc>
        <w:tc>
          <w:tcPr>
            <w:tcW w:w="980" w:type="dxa"/>
            <w:vAlign w:val="bottom"/>
            <w:tcBorders>
              <w:top w:val="single" w:sz="8" w:color="582C83"/>
            </w:tcBorders>
          </w:tcPr>
          <w:p>
            <w:pPr>
              <w:jc w:val="right"/>
              <w:spacing w:after="0"/>
              <w:rPr>
                <w:sz w:val="20"/>
                <w:szCs w:val="20"/>
                <w:color w:val="auto"/>
              </w:rPr>
            </w:pPr>
            <w:r>
              <w:rPr>
                <w:rFonts w:ascii="Arial" w:cs="Arial" w:eastAsia="Arial" w:hAnsi="Arial"/>
                <w:sz w:val="13"/>
                <w:szCs w:val="13"/>
                <w:color w:val="auto"/>
              </w:rPr>
              <w:t>5,783,083</w:t>
            </w:r>
          </w:p>
        </w:tc>
        <w:tc>
          <w:tcPr>
            <w:tcW w:w="0" w:type="dxa"/>
            <w:vAlign w:val="bottom"/>
          </w:tcPr>
          <w:p>
            <w:pPr>
              <w:spacing w:after="0"/>
              <w:rPr>
                <w:sz w:val="1"/>
                <w:szCs w:val="1"/>
                <w:color w:val="auto"/>
              </w:rPr>
            </w:pPr>
          </w:p>
        </w:tc>
      </w:tr>
      <w:tr>
        <w:trPr>
          <w:trHeight w:val="58"/>
        </w:trPr>
        <w:tc>
          <w:tcPr>
            <w:tcW w:w="2060" w:type="dxa"/>
            <w:vAlign w:val="bottom"/>
            <w:vMerge w:val="restart"/>
          </w:tcPr>
          <w:p>
            <w:pPr>
              <w:ind w:left="220"/>
              <w:spacing w:after="0"/>
              <w:rPr>
                <w:sz w:val="20"/>
                <w:szCs w:val="20"/>
                <w:color w:val="auto"/>
              </w:rPr>
            </w:pPr>
            <w:r>
              <w:rPr>
                <w:rFonts w:ascii="Arial" w:cs="Arial" w:eastAsia="Arial" w:hAnsi="Arial"/>
                <w:sz w:val="13"/>
                <w:szCs w:val="13"/>
                <w:color w:val="auto"/>
                <w:w w:val="97"/>
              </w:rPr>
              <w:t>EVP &amp; President, North America</w:t>
            </w:r>
          </w:p>
        </w:tc>
        <w:tc>
          <w:tcPr>
            <w:tcW w:w="440" w:type="dxa"/>
            <w:vAlign w:val="bottom"/>
            <w:tcBorders>
              <w:bottom w:val="single" w:sz="8" w:color="582C83"/>
            </w:tcBorders>
          </w:tcPr>
          <w:p>
            <w:pPr>
              <w:spacing w:after="0"/>
              <w:rPr>
                <w:sz w:val="5"/>
                <w:szCs w:val="5"/>
                <w:color w:val="auto"/>
              </w:rPr>
            </w:pPr>
          </w:p>
        </w:tc>
        <w:tc>
          <w:tcPr>
            <w:tcW w:w="680" w:type="dxa"/>
            <w:vAlign w:val="bottom"/>
            <w:tcBorders>
              <w:bottom w:val="single" w:sz="8" w:color="582C83"/>
            </w:tcBorders>
          </w:tcPr>
          <w:p>
            <w:pPr>
              <w:spacing w:after="0"/>
              <w:rPr>
                <w:sz w:val="5"/>
                <w:szCs w:val="5"/>
                <w:color w:val="auto"/>
              </w:rPr>
            </w:pPr>
          </w:p>
        </w:tc>
        <w:tc>
          <w:tcPr>
            <w:tcW w:w="680" w:type="dxa"/>
            <w:vAlign w:val="bottom"/>
            <w:tcBorders>
              <w:bottom w:val="single" w:sz="8" w:color="582C83"/>
            </w:tcBorders>
          </w:tcPr>
          <w:p>
            <w:pPr>
              <w:spacing w:after="0"/>
              <w:rPr>
                <w:sz w:val="5"/>
                <w:szCs w:val="5"/>
                <w:color w:val="auto"/>
              </w:rPr>
            </w:pPr>
          </w:p>
        </w:tc>
        <w:tc>
          <w:tcPr>
            <w:tcW w:w="800" w:type="dxa"/>
            <w:vAlign w:val="bottom"/>
            <w:tcBorders>
              <w:bottom w:val="single" w:sz="8" w:color="582C83"/>
            </w:tcBorders>
          </w:tcPr>
          <w:p>
            <w:pPr>
              <w:spacing w:after="0"/>
              <w:rPr>
                <w:sz w:val="5"/>
                <w:szCs w:val="5"/>
                <w:color w:val="auto"/>
              </w:rPr>
            </w:pPr>
          </w:p>
        </w:tc>
        <w:tc>
          <w:tcPr>
            <w:tcW w:w="700" w:type="dxa"/>
            <w:vAlign w:val="bottom"/>
            <w:tcBorders>
              <w:bottom w:val="single" w:sz="8" w:color="582C83"/>
            </w:tcBorders>
          </w:tcPr>
          <w:p>
            <w:pPr>
              <w:spacing w:after="0"/>
              <w:rPr>
                <w:sz w:val="5"/>
                <w:szCs w:val="5"/>
                <w:color w:val="auto"/>
              </w:rPr>
            </w:pPr>
          </w:p>
        </w:tc>
        <w:tc>
          <w:tcPr>
            <w:tcW w:w="980" w:type="dxa"/>
            <w:vAlign w:val="bottom"/>
            <w:tcBorders>
              <w:bottom w:val="single" w:sz="8" w:color="582C83"/>
            </w:tcBorders>
          </w:tcPr>
          <w:p>
            <w:pPr>
              <w:spacing w:after="0"/>
              <w:rPr>
                <w:sz w:val="5"/>
                <w:szCs w:val="5"/>
                <w:color w:val="auto"/>
              </w:rPr>
            </w:pPr>
          </w:p>
        </w:tc>
        <w:tc>
          <w:tcPr>
            <w:tcW w:w="740" w:type="dxa"/>
            <w:vAlign w:val="bottom"/>
            <w:tcBorders>
              <w:bottom w:val="single" w:sz="8" w:color="582C83"/>
            </w:tcBorders>
          </w:tcPr>
          <w:p>
            <w:pPr>
              <w:spacing w:after="0"/>
              <w:rPr>
                <w:sz w:val="5"/>
                <w:szCs w:val="5"/>
                <w:color w:val="auto"/>
              </w:rPr>
            </w:pPr>
          </w:p>
        </w:tc>
        <w:tc>
          <w:tcPr>
            <w:tcW w:w="1100" w:type="dxa"/>
            <w:vAlign w:val="bottom"/>
            <w:tcBorders>
              <w:bottom w:val="single" w:sz="8" w:color="582C83"/>
            </w:tcBorders>
          </w:tcPr>
          <w:p>
            <w:pPr>
              <w:spacing w:after="0"/>
              <w:rPr>
                <w:sz w:val="5"/>
                <w:szCs w:val="5"/>
                <w:color w:val="auto"/>
              </w:rPr>
            </w:pPr>
          </w:p>
        </w:tc>
        <w:tc>
          <w:tcPr>
            <w:tcW w:w="980" w:type="dxa"/>
            <w:vAlign w:val="bottom"/>
            <w:tcBorders>
              <w:bottom w:val="single" w:sz="8" w:color="582C83"/>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60" w:type="dxa"/>
            <w:vAlign w:val="bottom"/>
            <w:vMerge w:val="continue"/>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2024</w:t>
            </w:r>
          </w:p>
        </w:tc>
        <w:tc>
          <w:tcPr>
            <w:tcW w:w="680" w:type="dxa"/>
            <w:vAlign w:val="bottom"/>
          </w:tcPr>
          <w:p>
            <w:pPr>
              <w:jc w:val="right"/>
              <w:spacing w:after="0"/>
              <w:rPr>
                <w:sz w:val="20"/>
                <w:szCs w:val="20"/>
                <w:color w:val="auto"/>
              </w:rPr>
            </w:pPr>
            <w:r>
              <w:rPr>
                <w:rFonts w:ascii="Arial" w:cs="Arial" w:eastAsia="Arial" w:hAnsi="Arial"/>
                <w:sz w:val="13"/>
                <w:szCs w:val="13"/>
                <w:color w:val="auto"/>
              </w:rPr>
              <w:t>798,750</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2,309,289</w:t>
            </w:r>
          </w:p>
        </w:tc>
        <w:tc>
          <w:tcPr>
            <w:tcW w:w="700" w:type="dxa"/>
            <w:vAlign w:val="bottom"/>
          </w:tcPr>
          <w:p>
            <w:pPr>
              <w:jc w:val="right"/>
              <w:spacing w:after="0"/>
              <w:rPr>
                <w:sz w:val="20"/>
                <w:szCs w:val="20"/>
                <w:color w:val="auto"/>
              </w:rPr>
            </w:pPr>
            <w:r>
              <w:rPr>
                <w:rFonts w:ascii="Arial" w:cs="Arial" w:eastAsia="Arial" w:hAnsi="Arial"/>
                <w:sz w:val="13"/>
                <w:szCs w:val="13"/>
                <w:color w:val="auto"/>
              </w:rPr>
              <w:t>782,533</w:t>
            </w:r>
          </w:p>
        </w:tc>
        <w:tc>
          <w:tcPr>
            <w:tcW w:w="980" w:type="dxa"/>
            <w:vAlign w:val="bottom"/>
          </w:tcPr>
          <w:p>
            <w:pPr>
              <w:jc w:val="right"/>
              <w:spacing w:after="0"/>
              <w:rPr>
                <w:sz w:val="20"/>
                <w:szCs w:val="20"/>
                <w:color w:val="auto"/>
              </w:rPr>
            </w:pPr>
            <w:r>
              <w:rPr>
                <w:rFonts w:ascii="Arial" w:cs="Arial" w:eastAsia="Arial" w:hAnsi="Arial"/>
                <w:sz w:val="13"/>
                <w:szCs w:val="13"/>
                <w:color w:val="auto"/>
              </w:rPr>
              <w:t>285,250</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196,246</w:t>
            </w:r>
          </w:p>
        </w:tc>
        <w:tc>
          <w:tcPr>
            <w:tcW w:w="980" w:type="dxa"/>
            <w:vAlign w:val="bottom"/>
          </w:tcPr>
          <w:p>
            <w:pPr>
              <w:jc w:val="right"/>
              <w:spacing w:after="0"/>
              <w:rPr>
                <w:sz w:val="20"/>
                <w:szCs w:val="20"/>
                <w:color w:val="auto"/>
              </w:rPr>
            </w:pPr>
            <w:r>
              <w:rPr>
                <w:rFonts w:ascii="Arial" w:cs="Arial" w:eastAsia="Arial" w:hAnsi="Arial"/>
                <w:sz w:val="13"/>
                <w:szCs w:val="13"/>
                <w:color w:val="auto"/>
              </w:rPr>
              <w:t>4,372,068</w:t>
            </w:r>
          </w:p>
        </w:tc>
        <w:tc>
          <w:tcPr>
            <w:tcW w:w="0" w:type="dxa"/>
            <w:vAlign w:val="bottom"/>
          </w:tcPr>
          <w:p>
            <w:pPr>
              <w:spacing w:after="0"/>
              <w:rPr>
                <w:sz w:val="1"/>
                <w:szCs w:val="1"/>
                <w:color w:val="auto"/>
              </w:rPr>
            </w:pPr>
          </w:p>
        </w:tc>
      </w:tr>
      <w:tr>
        <w:trPr>
          <w:trHeight w:val="28"/>
        </w:trPr>
        <w:tc>
          <w:tcPr>
            <w:tcW w:w="2060" w:type="dxa"/>
            <w:vAlign w:val="bottom"/>
          </w:tcPr>
          <w:p>
            <w:pPr>
              <w:spacing w:after="0"/>
              <w:rPr>
                <w:sz w:val="2"/>
                <w:szCs w:val="2"/>
                <w:color w:val="auto"/>
              </w:rPr>
            </w:pPr>
          </w:p>
        </w:tc>
        <w:tc>
          <w:tcPr>
            <w:tcW w:w="440" w:type="dxa"/>
            <w:vAlign w:val="bottom"/>
            <w:tcBorders>
              <w:bottom w:val="single" w:sz="8" w:color="582C83"/>
            </w:tcBorders>
          </w:tcPr>
          <w:p>
            <w:pPr>
              <w:spacing w:after="0"/>
              <w:rPr>
                <w:sz w:val="2"/>
                <w:szCs w:val="2"/>
                <w:color w:val="auto"/>
              </w:rPr>
            </w:pPr>
          </w:p>
        </w:tc>
        <w:tc>
          <w:tcPr>
            <w:tcW w:w="680" w:type="dxa"/>
            <w:vAlign w:val="bottom"/>
            <w:tcBorders>
              <w:bottom w:val="single" w:sz="8" w:color="582C83"/>
            </w:tcBorders>
          </w:tcPr>
          <w:p>
            <w:pPr>
              <w:spacing w:after="0"/>
              <w:rPr>
                <w:sz w:val="2"/>
                <w:szCs w:val="2"/>
                <w:color w:val="auto"/>
              </w:rPr>
            </w:pPr>
          </w:p>
        </w:tc>
        <w:tc>
          <w:tcPr>
            <w:tcW w:w="680" w:type="dxa"/>
            <w:vAlign w:val="bottom"/>
            <w:tcBorders>
              <w:bottom w:val="single" w:sz="8" w:color="582C83"/>
            </w:tcBorders>
          </w:tcPr>
          <w:p>
            <w:pPr>
              <w:spacing w:after="0"/>
              <w:rPr>
                <w:sz w:val="2"/>
                <w:szCs w:val="2"/>
                <w:color w:val="auto"/>
              </w:rPr>
            </w:pPr>
          </w:p>
        </w:tc>
        <w:tc>
          <w:tcPr>
            <w:tcW w:w="800" w:type="dxa"/>
            <w:vAlign w:val="bottom"/>
            <w:tcBorders>
              <w:bottom w:val="single" w:sz="8" w:color="582C83"/>
            </w:tcBorders>
          </w:tcPr>
          <w:p>
            <w:pPr>
              <w:spacing w:after="0"/>
              <w:rPr>
                <w:sz w:val="2"/>
                <w:szCs w:val="2"/>
                <w:color w:val="auto"/>
              </w:rPr>
            </w:pPr>
          </w:p>
        </w:tc>
        <w:tc>
          <w:tcPr>
            <w:tcW w:w="700" w:type="dxa"/>
            <w:vAlign w:val="bottom"/>
            <w:tcBorders>
              <w:bottom w:val="single" w:sz="8" w:color="582C83"/>
            </w:tcBorders>
          </w:tcPr>
          <w:p>
            <w:pPr>
              <w:spacing w:after="0"/>
              <w:rPr>
                <w:sz w:val="2"/>
                <w:szCs w:val="2"/>
                <w:color w:val="auto"/>
              </w:rPr>
            </w:pPr>
          </w:p>
        </w:tc>
        <w:tc>
          <w:tcPr>
            <w:tcW w:w="980" w:type="dxa"/>
            <w:vAlign w:val="bottom"/>
            <w:tcBorders>
              <w:bottom w:val="single" w:sz="8" w:color="582C83"/>
            </w:tcBorders>
          </w:tcPr>
          <w:p>
            <w:pPr>
              <w:spacing w:after="0"/>
              <w:rPr>
                <w:sz w:val="2"/>
                <w:szCs w:val="2"/>
                <w:color w:val="auto"/>
              </w:rPr>
            </w:pPr>
          </w:p>
        </w:tc>
        <w:tc>
          <w:tcPr>
            <w:tcW w:w="740" w:type="dxa"/>
            <w:vAlign w:val="bottom"/>
            <w:tcBorders>
              <w:bottom w:val="single" w:sz="8" w:color="582C83"/>
            </w:tcBorders>
          </w:tcPr>
          <w:p>
            <w:pPr>
              <w:spacing w:after="0"/>
              <w:rPr>
                <w:sz w:val="2"/>
                <w:szCs w:val="2"/>
                <w:color w:val="auto"/>
              </w:rPr>
            </w:pPr>
          </w:p>
        </w:tc>
        <w:tc>
          <w:tcPr>
            <w:tcW w:w="1100" w:type="dxa"/>
            <w:vAlign w:val="bottom"/>
            <w:tcBorders>
              <w:bottom w:val="single" w:sz="8" w:color="582C83"/>
            </w:tcBorders>
          </w:tcPr>
          <w:p>
            <w:pPr>
              <w:spacing w:after="0"/>
              <w:rPr>
                <w:sz w:val="2"/>
                <w:szCs w:val="2"/>
                <w:color w:val="auto"/>
              </w:rPr>
            </w:pPr>
          </w:p>
        </w:tc>
        <w:tc>
          <w:tcPr>
            <w:tcW w:w="980" w:type="dxa"/>
            <w:vAlign w:val="bottom"/>
            <w:tcBorders>
              <w:bottom w:val="single" w:sz="8" w:color="582C83"/>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60" w:type="dxa"/>
            <w:vAlign w:val="bottom"/>
            <w:tcBorders>
              <w:bottom w:val="single" w:sz="8" w:color="582C83"/>
            </w:tcBorders>
          </w:tcPr>
          <w:p>
            <w:pPr>
              <w:spacing w:after="0"/>
              <w:rPr>
                <w:sz w:val="16"/>
                <w:szCs w:val="16"/>
                <w:color w:val="auto"/>
              </w:rPr>
            </w:pPr>
          </w:p>
        </w:tc>
        <w:tc>
          <w:tcPr>
            <w:tcW w:w="440" w:type="dxa"/>
            <w:vAlign w:val="bottom"/>
            <w:tcBorders>
              <w:bottom w:val="single" w:sz="8" w:color="582C83"/>
            </w:tcBorders>
          </w:tcPr>
          <w:p>
            <w:pPr>
              <w:jc w:val="right"/>
              <w:ind w:right="37"/>
              <w:spacing w:after="0"/>
              <w:rPr>
                <w:sz w:val="20"/>
                <w:szCs w:val="20"/>
                <w:color w:val="auto"/>
              </w:rPr>
            </w:pPr>
            <w:r>
              <w:rPr>
                <w:rFonts w:ascii="Arial" w:cs="Arial" w:eastAsia="Arial" w:hAnsi="Arial"/>
                <w:sz w:val="13"/>
                <w:szCs w:val="13"/>
                <w:color w:val="auto"/>
              </w:rPr>
              <w:t>2023</w:t>
            </w:r>
          </w:p>
        </w:tc>
        <w:tc>
          <w:tcPr>
            <w:tcW w:w="68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742,500</w:t>
            </w:r>
          </w:p>
        </w:tc>
        <w:tc>
          <w:tcPr>
            <w:tcW w:w="680" w:type="dxa"/>
            <w:vAlign w:val="bottom"/>
            <w:tcBorders>
              <w:bottom w:val="single" w:sz="8" w:color="582C83"/>
            </w:tcBorders>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582C83"/>
            </w:tcBorders>
          </w:tcPr>
          <w:p>
            <w:pPr>
              <w:jc w:val="right"/>
              <w:ind w:right="37"/>
              <w:spacing w:after="0"/>
              <w:rPr>
                <w:sz w:val="20"/>
                <w:szCs w:val="20"/>
                <w:color w:val="auto"/>
              </w:rPr>
            </w:pPr>
            <w:r>
              <w:rPr>
                <w:rFonts w:ascii="Arial" w:cs="Arial" w:eastAsia="Arial" w:hAnsi="Arial"/>
                <w:sz w:val="13"/>
                <w:szCs w:val="13"/>
                <w:color w:val="auto"/>
              </w:rPr>
              <w:t>1,810,776</w:t>
            </w:r>
          </w:p>
        </w:tc>
        <w:tc>
          <w:tcPr>
            <w:tcW w:w="70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596,504</w:t>
            </w:r>
          </w:p>
        </w:tc>
        <w:tc>
          <w:tcPr>
            <w:tcW w:w="98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1,132,500</w:t>
            </w:r>
          </w:p>
        </w:tc>
        <w:tc>
          <w:tcPr>
            <w:tcW w:w="740" w:type="dxa"/>
            <w:vAlign w:val="bottom"/>
            <w:tcBorders>
              <w:bottom w:val="single" w:sz="8" w:color="582C83"/>
            </w:tcBorders>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184,134</w:t>
            </w:r>
          </w:p>
        </w:tc>
        <w:tc>
          <w:tcPr>
            <w:tcW w:w="98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4,466,414</w:t>
            </w:r>
          </w:p>
        </w:tc>
        <w:tc>
          <w:tcPr>
            <w:tcW w:w="0" w:type="dxa"/>
            <w:vAlign w:val="bottom"/>
          </w:tcPr>
          <w:p>
            <w:pPr>
              <w:spacing w:after="0"/>
              <w:rPr>
                <w:sz w:val="1"/>
                <w:szCs w:val="1"/>
                <w:color w:val="auto"/>
              </w:rPr>
            </w:pPr>
          </w:p>
        </w:tc>
      </w:tr>
      <w:tr>
        <w:trPr>
          <w:trHeight w:val="158"/>
        </w:trPr>
        <w:tc>
          <w:tcPr>
            <w:tcW w:w="2060" w:type="dxa"/>
            <w:vAlign w:val="bottom"/>
            <w:shd w:val="clear" w:color="auto" w:fill="E0DBEA"/>
          </w:tcPr>
          <w:p>
            <w:pPr>
              <w:ind w:left="60"/>
              <w:spacing w:after="0"/>
              <w:rPr>
                <w:sz w:val="20"/>
                <w:szCs w:val="20"/>
                <w:color w:val="auto"/>
              </w:rPr>
            </w:pPr>
            <w:r>
              <w:rPr>
                <w:rFonts w:ascii="Arial" w:cs="Arial" w:eastAsia="Arial" w:hAnsi="Arial"/>
                <w:sz w:val="13"/>
                <w:szCs w:val="13"/>
                <w:b w:val="1"/>
                <w:bCs w:val="1"/>
                <w:color w:val="auto"/>
              </w:rPr>
              <w:t>Renaud, Martin</w:t>
            </w:r>
          </w:p>
        </w:tc>
        <w:tc>
          <w:tcPr>
            <w:tcW w:w="440" w:type="dxa"/>
            <w:vAlign w:val="bottom"/>
            <w:shd w:val="clear" w:color="auto" w:fill="E0DBEA"/>
          </w:tcPr>
          <w:p>
            <w:pPr>
              <w:jc w:val="right"/>
              <w:ind w:right="37"/>
              <w:spacing w:after="0"/>
              <w:rPr>
                <w:sz w:val="20"/>
                <w:szCs w:val="20"/>
                <w:color w:val="auto"/>
              </w:rPr>
            </w:pPr>
            <w:r>
              <w:rPr>
                <w:rFonts w:ascii="Arial" w:cs="Arial" w:eastAsia="Arial" w:hAnsi="Arial"/>
                <w:sz w:val="13"/>
                <w:szCs w:val="13"/>
                <w:color w:val="auto"/>
              </w:rPr>
              <w:t>2025</w:t>
            </w:r>
          </w:p>
        </w:tc>
        <w:tc>
          <w:tcPr>
            <w:tcW w:w="680" w:type="dxa"/>
            <w:vAlign w:val="bottom"/>
            <w:shd w:val="clear" w:color="auto" w:fill="E0DBEA"/>
          </w:tcPr>
          <w:p>
            <w:pPr>
              <w:jc w:val="right"/>
              <w:spacing w:after="0"/>
              <w:rPr>
                <w:sz w:val="20"/>
                <w:szCs w:val="20"/>
                <w:color w:val="auto"/>
              </w:rPr>
            </w:pPr>
            <w:r>
              <w:rPr>
                <w:rFonts w:ascii="Arial" w:cs="Arial" w:eastAsia="Arial" w:hAnsi="Arial"/>
                <w:sz w:val="13"/>
                <w:szCs w:val="13"/>
                <w:color w:val="auto"/>
              </w:rPr>
              <w:t>774,846</w:t>
            </w:r>
          </w:p>
        </w:tc>
        <w:tc>
          <w:tcPr>
            <w:tcW w:w="680" w:type="dxa"/>
            <w:vAlign w:val="bottom"/>
            <w:shd w:val="clear" w:color="auto" w:fill="E0DBEA"/>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shd w:val="clear" w:color="auto" w:fill="E0DBEA"/>
          </w:tcPr>
          <w:p>
            <w:pPr>
              <w:jc w:val="right"/>
              <w:ind w:right="37"/>
              <w:spacing w:after="0"/>
              <w:rPr>
                <w:sz w:val="20"/>
                <w:szCs w:val="20"/>
                <w:color w:val="auto"/>
              </w:rPr>
            </w:pPr>
            <w:r>
              <w:rPr>
                <w:rFonts w:ascii="Arial" w:cs="Arial" w:eastAsia="Arial" w:hAnsi="Arial"/>
                <w:sz w:val="13"/>
                <w:szCs w:val="13"/>
                <w:color w:val="auto"/>
              </w:rPr>
              <w:t>2,277,187</w:t>
            </w:r>
          </w:p>
        </w:tc>
        <w:tc>
          <w:tcPr>
            <w:tcW w:w="700" w:type="dxa"/>
            <w:vAlign w:val="bottom"/>
            <w:shd w:val="clear" w:color="auto" w:fill="E0DBEA"/>
          </w:tcPr>
          <w:p>
            <w:pPr>
              <w:jc w:val="right"/>
              <w:spacing w:after="0"/>
              <w:rPr>
                <w:sz w:val="20"/>
                <w:szCs w:val="20"/>
                <w:color w:val="auto"/>
              </w:rPr>
            </w:pPr>
            <w:r>
              <w:rPr>
                <w:rFonts w:ascii="Arial" w:cs="Arial" w:eastAsia="Arial" w:hAnsi="Arial"/>
                <w:sz w:val="13"/>
                <w:szCs w:val="13"/>
                <w:color w:val="auto"/>
              </w:rPr>
              <w:t>689,724</w:t>
            </w:r>
          </w:p>
        </w:tc>
        <w:tc>
          <w:tcPr>
            <w:tcW w:w="980" w:type="dxa"/>
            <w:vAlign w:val="bottom"/>
            <w:shd w:val="clear" w:color="auto" w:fill="E0DBEA"/>
          </w:tcPr>
          <w:p>
            <w:pPr>
              <w:jc w:val="right"/>
              <w:spacing w:after="0"/>
              <w:rPr>
                <w:sz w:val="20"/>
                <w:szCs w:val="20"/>
                <w:color w:val="auto"/>
              </w:rPr>
            </w:pPr>
            <w:r>
              <w:rPr>
                <w:rFonts w:ascii="Arial" w:cs="Arial" w:eastAsia="Arial" w:hAnsi="Arial"/>
                <w:sz w:val="13"/>
                <w:szCs w:val="13"/>
                <w:color w:val="auto"/>
              </w:rPr>
              <w:t>769,300</w:t>
            </w:r>
          </w:p>
        </w:tc>
        <w:tc>
          <w:tcPr>
            <w:tcW w:w="740" w:type="dxa"/>
            <w:vAlign w:val="bottom"/>
            <w:shd w:val="clear" w:color="auto" w:fill="E0DBEA"/>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shd w:val="clear" w:color="auto" w:fill="E0DBEA"/>
          </w:tcPr>
          <w:p>
            <w:pPr>
              <w:jc w:val="right"/>
              <w:spacing w:after="0"/>
              <w:rPr>
                <w:sz w:val="20"/>
                <w:szCs w:val="20"/>
                <w:color w:val="auto"/>
              </w:rPr>
            </w:pPr>
            <w:r>
              <w:rPr>
                <w:rFonts w:ascii="Arial" w:cs="Arial" w:eastAsia="Arial" w:hAnsi="Arial"/>
                <w:sz w:val="13"/>
                <w:szCs w:val="13"/>
                <w:color w:val="auto"/>
              </w:rPr>
              <w:t>143,110</w:t>
            </w:r>
          </w:p>
        </w:tc>
        <w:tc>
          <w:tcPr>
            <w:tcW w:w="980" w:type="dxa"/>
            <w:vAlign w:val="bottom"/>
            <w:shd w:val="clear" w:color="auto" w:fill="E0DBEA"/>
          </w:tcPr>
          <w:p>
            <w:pPr>
              <w:jc w:val="right"/>
              <w:spacing w:after="0"/>
              <w:rPr>
                <w:sz w:val="20"/>
                <w:szCs w:val="20"/>
                <w:color w:val="auto"/>
              </w:rPr>
            </w:pPr>
            <w:r>
              <w:rPr>
                <w:rFonts w:ascii="Arial" w:cs="Arial" w:eastAsia="Arial" w:hAnsi="Arial"/>
                <w:sz w:val="13"/>
                <w:szCs w:val="13"/>
                <w:color w:val="auto"/>
              </w:rPr>
              <w:t>4,654,167</w:t>
            </w:r>
          </w:p>
        </w:tc>
        <w:tc>
          <w:tcPr>
            <w:tcW w:w="0" w:type="dxa"/>
            <w:vAlign w:val="bottom"/>
          </w:tcPr>
          <w:p>
            <w:pPr>
              <w:spacing w:after="0"/>
              <w:rPr>
                <w:sz w:val="1"/>
                <w:szCs w:val="1"/>
                <w:color w:val="auto"/>
              </w:rPr>
            </w:pPr>
          </w:p>
        </w:tc>
      </w:tr>
      <w:tr>
        <w:trPr>
          <w:trHeight w:val="148"/>
        </w:trPr>
        <w:tc>
          <w:tcPr>
            <w:tcW w:w="2060" w:type="dxa"/>
            <w:vAlign w:val="bottom"/>
            <w:shd w:val="clear" w:color="auto" w:fill="E0DBEA"/>
          </w:tcPr>
          <w:p>
            <w:pPr>
              <w:ind w:left="220"/>
              <w:spacing w:after="0"/>
              <w:rPr>
                <w:sz w:val="20"/>
                <w:szCs w:val="20"/>
                <w:color w:val="auto"/>
              </w:rPr>
            </w:pPr>
            <w:r>
              <w:rPr>
                <w:rFonts w:ascii="Arial" w:cs="Arial" w:eastAsia="Arial" w:hAnsi="Arial"/>
                <w:sz w:val="13"/>
                <w:szCs w:val="13"/>
                <w:color w:val="auto"/>
              </w:rPr>
              <w:t>EVP &amp; Chief Marketing &amp; Sales</w:t>
            </w:r>
          </w:p>
        </w:tc>
        <w:tc>
          <w:tcPr>
            <w:tcW w:w="440" w:type="dxa"/>
            <w:vAlign w:val="bottom"/>
            <w:shd w:val="clear" w:color="auto" w:fill="E0DBEA"/>
          </w:tcPr>
          <w:p>
            <w:pPr>
              <w:spacing w:after="0"/>
              <w:rPr>
                <w:sz w:val="12"/>
                <w:szCs w:val="12"/>
                <w:color w:val="auto"/>
              </w:rPr>
            </w:pPr>
          </w:p>
        </w:tc>
        <w:tc>
          <w:tcPr>
            <w:tcW w:w="680" w:type="dxa"/>
            <w:vAlign w:val="bottom"/>
            <w:shd w:val="clear" w:color="auto" w:fill="E0DBEA"/>
          </w:tcPr>
          <w:p>
            <w:pPr>
              <w:spacing w:after="0"/>
              <w:rPr>
                <w:sz w:val="12"/>
                <w:szCs w:val="12"/>
                <w:color w:val="auto"/>
              </w:rPr>
            </w:pPr>
          </w:p>
        </w:tc>
        <w:tc>
          <w:tcPr>
            <w:tcW w:w="680" w:type="dxa"/>
            <w:vAlign w:val="bottom"/>
            <w:shd w:val="clear" w:color="auto" w:fill="E0DBEA"/>
          </w:tcPr>
          <w:p>
            <w:pPr>
              <w:spacing w:after="0"/>
              <w:rPr>
                <w:sz w:val="12"/>
                <w:szCs w:val="12"/>
                <w:color w:val="auto"/>
              </w:rPr>
            </w:pPr>
          </w:p>
        </w:tc>
        <w:tc>
          <w:tcPr>
            <w:tcW w:w="800" w:type="dxa"/>
            <w:vAlign w:val="bottom"/>
            <w:shd w:val="clear" w:color="auto" w:fill="E0DBEA"/>
          </w:tcPr>
          <w:p>
            <w:pPr>
              <w:spacing w:after="0"/>
              <w:rPr>
                <w:sz w:val="12"/>
                <w:szCs w:val="12"/>
                <w:color w:val="auto"/>
              </w:rPr>
            </w:pPr>
          </w:p>
        </w:tc>
        <w:tc>
          <w:tcPr>
            <w:tcW w:w="700" w:type="dxa"/>
            <w:vAlign w:val="bottom"/>
            <w:shd w:val="clear" w:color="auto" w:fill="E0DBEA"/>
          </w:tcPr>
          <w:p>
            <w:pPr>
              <w:spacing w:after="0"/>
              <w:rPr>
                <w:sz w:val="12"/>
                <w:szCs w:val="12"/>
                <w:color w:val="auto"/>
              </w:rPr>
            </w:pPr>
          </w:p>
        </w:tc>
        <w:tc>
          <w:tcPr>
            <w:tcW w:w="980" w:type="dxa"/>
            <w:vAlign w:val="bottom"/>
            <w:shd w:val="clear" w:color="auto" w:fill="E0DBEA"/>
          </w:tcPr>
          <w:p>
            <w:pPr>
              <w:spacing w:after="0"/>
              <w:rPr>
                <w:sz w:val="12"/>
                <w:szCs w:val="12"/>
                <w:color w:val="auto"/>
              </w:rPr>
            </w:pPr>
          </w:p>
        </w:tc>
        <w:tc>
          <w:tcPr>
            <w:tcW w:w="740" w:type="dxa"/>
            <w:vAlign w:val="bottom"/>
            <w:shd w:val="clear" w:color="auto" w:fill="E0DBEA"/>
          </w:tcPr>
          <w:p>
            <w:pPr>
              <w:spacing w:after="0"/>
              <w:rPr>
                <w:sz w:val="12"/>
                <w:szCs w:val="12"/>
                <w:color w:val="auto"/>
              </w:rPr>
            </w:pPr>
          </w:p>
        </w:tc>
        <w:tc>
          <w:tcPr>
            <w:tcW w:w="1100" w:type="dxa"/>
            <w:vAlign w:val="bottom"/>
            <w:shd w:val="clear" w:color="auto" w:fill="E0DBEA"/>
          </w:tcPr>
          <w:p>
            <w:pPr>
              <w:spacing w:after="0"/>
              <w:rPr>
                <w:sz w:val="12"/>
                <w:szCs w:val="12"/>
                <w:color w:val="auto"/>
              </w:rPr>
            </w:pPr>
          </w:p>
        </w:tc>
        <w:tc>
          <w:tcPr>
            <w:tcW w:w="980" w:type="dxa"/>
            <w:vAlign w:val="bottom"/>
            <w:shd w:val="clear" w:color="auto" w:fill="E0DBEA"/>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60" w:type="dxa"/>
            <w:vAlign w:val="bottom"/>
            <w:tcBorders>
              <w:bottom w:val="single" w:sz="8" w:color="582C83"/>
            </w:tcBorders>
            <w:shd w:val="clear" w:color="auto" w:fill="E0DBEA"/>
          </w:tcPr>
          <w:p>
            <w:pPr>
              <w:ind w:left="220"/>
              <w:spacing w:after="0"/>
              <w:rPr>
                <w:sz w:val="20"/>
                <w:szCs w:val="20"/>
                <w:color w:val="auto"/>
              </w:rPr>
            </w:pPr>
            <w:r>
              <w:rPr>
                <w:rFonts w:ascii="Arial" w:cs="Arial" w:eastAsia="Arial" w:hAnsi="Arial"/>
                <w:sz w:val="13"/>
                <w:szCs w:val="13"/>
                <w:color w:val="auto"/>
              </w:rPr>
              <w:t>Officer</w:t>
            </w:r>
          </w:p>
        </w:tc>
        <w:tc>
          <w:tcPr>
            <w:tcW w:w="440" w:type="dxa"/>
            <w:vAlign w:val="bottom"/>
            <w:tcBorders>
              <w:bottom w:val="single" w:sz="8" w:color="582C83"/>
            </w:tcBorders>
            <w:shd w:val="clear" w:color="auto" w:fill="E0DBEA"/>
          </w:tcPr>
          <w:p>
            <w:pPr>
              <w:spacing w:after="0"/>
              <w:rPr>
                <w:sz w:val="15"/>
                <w:szCs w:val="15"/>
                <w:color w:val="auto"/>
              </w:rPr>
            </w:pPr>
          </w:p>
        </w:tc>
        <w:tc>
          <w:tcPr>
            <w:tcW w:w="680" w:type="dxa"/>
            <w:vAlign w:val="bottom"/>
            <w:tcBorders>
              <w:bottom w:val="single" w:sz="8" w:color="582C83"/>
            </w:tcBorders>
            <w:shd w:val="clear" w:color="auto" w:fill="E0DBEA"/>
          </w:tcPr>
          <w:p>
            <w:pPr>
              <w:spacing w:after="0"/>
              <w:rPr>
                <w:sz w:val="15"/>
                <w:szCs w:val="15"/>
                <w:color w:val="auto"/>
              </w:rPr>
            </w:pPr>
          </w:p>
        </w:tc>
        <w:tc>
          <w:tcPr>
            <w:tcW w:w="680" w:type="dxa"/>
            <w:vAlign w:val="bottom"/>
            <w:tcBorders>
              <w:bottom w:val="single" w:sz="8" w:color="582C83"/>
            </w:tcBorders>
            <w:shd w:val="clear" w:color="auto" w:fill="E0DBEA"/>
          </w:tcPr>
          <w:p>
            <w:pPr>
              <w:spacing w:after="0"/>
              <w:rPr>
                <w:sz w:val="15"/>
                <w:szCs w:val="15"/>
                <w:color w:val="auto"/>
              </w:rPr>
            </w:pPr>
          </w:p>
        </w:tc>
        <w:tc>
          <w:tcPr>
            <w:tcW w:w="800" w:type="dxa"/>
            <w:vAlign w:val="bottom"/>
            <w:tcBorders>
              <w:bottom w:val="single" w:sz="8" w:color="582C83"/>
            </w:tcBorders>
            <w:shd w:val="clear" w:color="auto" w:fill="E0DBEA"/>
          </w:tcPr>
          <w:p>
            <w:pPr>
              <w:spacing w:after="0"/>
              <w:rPr>
                <w:sz w:val="15"/>
                <w:szCs w:val="15"/>
                <w:color w:val="auto"/>
              </w:rPr>
            </w:pPr>
          </w:p>
        </w:tc>
        <w:tc>
          <w:tcPr>
            <w:tcW w:w="700" w:type="dxa"/>
            <w:vAlign w:val="bottom"/>
            <w:tcBorders>
              <w:bottom w:val="single" w:sz="8" w:color="582C83"/>
            </w:tcBorders>
            <w:shd w:val="clear" w:color="auto" w:fill="E0DBEA"/>
          </w:tcPr>
          <w:p>
            <w:pPr>
              <w:spacing w:after="0"/>
              <w:rPr>
                <w:sz w:val="15"/>
                <w:szCs w:val="15"/>
                <w:color w:val="auto"/>
              </w:rPr>
            </w:pPr>
          </w:p>
        </w:tc>
        <w:tc>
          <w:tcPr>
            <w:tcW w:w="980" w:type="dxa"/>
            <w:vAlign w:val="bottom"/>
            <w:tcBorders>
              <w:bottom w:val="single" w:sz="8" w:color="582C83"/>
            </w:tcBorders>
            <w:shd w:val="clear" w:color="auto" w:fill="E0DBEA"/>
          </w:tcPr>
          <w:p>
            <w:pPr>
              <w:spacing w:after="0"/>
              <w:rPr>
                <w:sz w:val="15"/>
                <w:szCs w:val="15"/>
                <w:color w:val="auto"/>
              </w:rPr>
            </w:pPr>
          </w:p>
        </w:tc>
        <w:tc>
          <w:tcPr>
            <w:tcW w:w="740" w:type="dxa"/>
            <w:vAlign w:val="bottom"/>
            <w:tcBorders>
              <w:bottom w:val="single" w:sz="8" w:color="582C83"/>
            </w:tcBorders>
            <w:shd w:val="clear" w:color="auto" w:fill="E0DBEA"/>
          </w:tcPr>
          <w:p>
            <w:pPr>
              <w:spacing w:after="0"/>
              <w:rPr>
                <w:sz w:val="15"/>
                <w:szCs w:val="15"/>
                <w:color w:val="auto"/>
              </w:rPr>
            </w:pPr>
          </w:p>
        </w:tc>
        <w:tc>
          <w:tcPr>
            <w:tcW w:w="1100" w:type="dxa"/>
            <w:vAlign w:val="bottom"/>
            <w:tcBorders>
              <w:bottom w:val="single" w:sz="8" w:color="582C83"/>
            </w:tcBorders>
            <w:shd w:val="clear" w:color="auto" w:fill="E0DBEA"/>
          </w:tcPr>
          <w:p>
            <w:pPr>
              <w:spacing w:after="0"/>
              <w:rPr>
                <w:sz w:val="15"/>
                <w:szCs w:val="15"/>
                <w:color w:val="auto"/>
              </w:rPr>
            </w:pPr>
          </w:p>
        </w:tc>
        <w:tc>
          <w:tcPr>
            <w:tcW w:w="980" w:type="dxa"/>
            <w:vAlign w:val="bottom"/>
            <w:tcBorders>
              <w:bottom w:val="single" w:sz="8" w:color="582C83"/>
            </w:tcBorders>
            <w:shd w:val="clear" w:color="auto" w:fill="E0DBEA"/>
          </w:tcPr>
          <w:p>
            <w:pPr>
              <w:spacing w:after="0"/>
              <w:rPr>
                <w:sz w:val="15"/>
                <w:szCs w:val="15"/>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260" w:right="360" w:hanging="253"/>
        <w:spacing w:after="0" w:line="164" w:lineRule="exact"/>
        <w:tabs>
          <w:tab w:leader="none" w:pos="2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Mr. Kuhn is a local employee of Mondelēz Europe GmbH. Mr. Kuhn’s equity compensation (stock awards and stock options) is denominated in USD; his non</w:t>
      </w:r>
      <w:r>
        <w:rPr>
          <w:rFonts w:ascii="MS PGothic" w:cs="MS PGothic" w:eastAsia="MS PGothic" w:hAnsi="MS PGothic"/>
          <w:sz w:val="13"/>
          <w:szCs w:val="13"/>
          <w:color w:val="auto"/>
        </w:rPr>
        <w:t>‑</w:t>
      </w:r>
      <w:r>
        <w:rPr>
          <w:rFonts w:ascii="Arial" w:cs="Arial" w:eastAsia="Arial" w:hAnsi="Arial"/>
          <w:sz w:val="13"/>
          <w:szCs w:val="13"/>
          <w:color w:val="auto"/>
        </w:rPr>
        <w:t>equity compensation was paid in non</w:t>
      </w:r>
      <w:r>
        <w:rPr>
          <w:rFonts w:ascii="MS PGothic" w:cs="MS PGothic" w:eastAsia="MS PGothic" w:hAnsi="MS PGothic"/>
          <w:sz w:val="13"/>
          <w:szCs w:val="13"/>
          <w:color w:val="auto"/>
        </w:rPr>
        <w:t>‑</w:t>
      </w:r>
      <w:r>
        <w:rPr>
          <w:rFonts w:ascii="Arial" w:cs="Arial" w:eastAsia="Arial" w:hAnsi="Arial"/>
          <w:sz w:val="13"/>
          <w:szCs w:val="13"/>
          <w:color w:val="auto"/>
        </w:rPr>
        <w:t>U.S. dollars and was converted to U.S. dollars (“USD”) using the average exchange rate for the applicable year (the “Applicable Exchange Rate”).</w:t>
      </w:r>
    </w:p>
    <w:p>
      <w:pPr>
        <w:ind w:left="260" w:hanging="253"/>
        <w:spacing w:after="0"/>
        <w:tabs>
          <w:tab w:leader="none" w:pos="2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Reflects sign-on cash bonus paid to Mr. Kuhn to offset losses he incurred in connection with joining Mondelēz.</w:t>
      </w:r>
    </w:p>
    <w:p>
      <w:pPr>
        <w:spacing w:after="0" w:line="22" w:lineRule="exact"/>
        <w:rPr>
          <w:rFonts w:ascii="Arial" w:cs="Arial" w:eastAsia="Arial" w:hAnsi="Arial"/>
          <w:sz w:val="13"/>
          <w:szCs w:val="13"/>
          <w:color w:val="auto"/>
        </w:rPr>
      </w:pPr>
    </w:p>
    <w:p>
      <w:pPr>
        <w:ind w:left="260" w:right="440" w:hanging="253"/>
        <w:spacing w:after="0" w:line="163" w:lineRule="exact"/>
        <w:tabs>
          <w:tab w:leader="none" w:pos="260" w:val="left"/>
        </w:tabs>
        <w:numPr>
          <w:ilvl w:val="0"/>
          <w:numId w:val="98"/>
        </w:numPr>
        <w:rPr>
          <w:rFonts w:ascii="Arial" w:cs="Arial" w:eastAsia="Arial" w:hAnsi="Arial"/>
          <w:sz w:val="12"/>
          <w:szCs w:val="12"/>
          <w:color w:val="auto"/>
        </w:rPr>
      </w:pPr>
      <w:r>
        <w:rPr>
          <w:rFonts w:ascii="Arial" w:cs="Arial" w:eastAsia="Arial" w:hAnsi="Arial"/>
          <w:sz w:val="12"/>
          <w:szCs w:val="12"/>
          <w:color w:val="auto"/>
        </w:rPr>
        <w:t xml:space="preserve">Reflects grants of PSUs for all NEOs and, for Mr. Kuhn, also includes time-based DSUs. The amounts shown represent the full grant date fair value of the stock grants made in each year as computed in accordance with FASB ASC Topic 718, which for PSUs are based upon the probable outcome of the performance conditions. Assumptions used in the calculation of these amounts are included in Note 13, </w:t>
      </w:r>
      <w:r>
        <w:rPr>
          <w:rFonts w:ascii="Arial" w:cs="Arial" w:eastAsia="Arial" w:hAnsi="Arial"/>
          <w:sz w:val="12"/>
          <w:szCs w:val="12"/>
          <w:i w:val="1"/>
          <w:iCs w:val="1"/>
          <w:color w:val="auto"/>
        </w:rPr>
        <w:t>Stock Plans</w:t>
      </w:r>
      <w:r>
        <w:rPr>
          <w:rFonts w:ascii="Arial" w:cs="Arial" w:eastAsia="Arial" w:hAnsi="Arial"/>
          <w:sz w:val="12"/>
          <w:szCs w:val="12"/>
          <w:color w:val="auto"/>
        </w:rPr>
        <w:t>, to the consolidated financial statements in our 2025 Form 10</w:t>
      </w:r>
      <w:r>
        <w:rPr>
          <w:rFonts w:ascii="MS PGothic" w:cs="MS PGothic" w:eastAsia="MS PGothic" w:hAnsi="MS PGothic"/>
          <w:sz w:val="12"/>
          <w:szCs w:val="12"/>
          <w:color w:val="auto"/>
        </w:rPr>
        <w:t>‑</w:t>
      </w:r>
      <w:r>
        <w:rPr>
          <w:rFonts w:ascii="Arial" w:cs="Arial" w:eastAsia="Arial" w:hAnsi="Arial"/>
          <w:sz w:val="12"/>
          <w:szCs w:val="12"/>
          <w:color w:val="auto"/>
        </w:rPr>
        <w:t>K. The grant date value of the PSUs for each NEO assuming maximum performance are as follows: Mr. Van de Put – $27,220,638, Mr. Zaramella – $9,678,883, Mr. Kuhn – $7,057,058, Mr. Valle – $6,406,158, and Mr. Renaud – $4,265,999.</w:t>
      </w:r>
    </w:p>
    <w:p>
      <w:pPr>
        <w:jc w:val="both"/>
        <w:ind w:left="260" w:right="180" w:hanging="253"/>
        <w:spacing w:after="0" w:line="168" w:lineRule="exact"/>
        <w:tabs>
          <w:tab w:leader="none" w:pos="2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 xml:space="preserve">Reflects stock option grants. The amounts shown represent the full grant date fair value of the options granted in each year as computed in accordance with FASB ASC Topic 718. Assumptions used in the calculation of these amounts are included in Note 13, </w:t>
      </w:r>
      <w:r>
        <w:rPr>
          <w:rFonts w:ascii="Arial" w:cs="Arial" w:eastAsia="Arial" w:hAnsi="Arial"/>
          <w:sz w:val="13"/>
          <w:szCs w:val="13"/>
          <w:i w:val="1"/>
          <w:iCs w:val="1"/>
          <w:color w:val="auto"/>
        </w:rPr>
        <w:t>Stock Plans</w:t>
      </w:r>
      <w:r>
        <w:rPr>
          <w:rFonts w:ascii="Arial" w:cs="Arial" w:eastAsia="Arial" w:hAnsi="Arial"/>
          <w:sz w:val="13"/>
          <w:szCs w:val="13"/>
          <w:color w:val="auto"/>
        </w:rPr>
        <w:t>, to the consolidated financial statements in our 2025 Form 10</w:t>
      </w:r>
      <w:r>
        <w:rPr>
          <w:rFonts w:ascii="MS PGothic" w:cs="MS PGothic" w:eastAsia="MS PGothic" w:hAnsi="MS PGothic"/>
          <w:sz w:val="13"/>
          <w:szCs w:val="13"/>
          <w:color w:val="auto"/>
        </w:rPr>
        <w:t>‑</w:t>
      </w:r>
      <w:r>
        <w:rPr>
          <w:rFonts w:ascii="Arial" w:cs="Arial" w:eastAsia="Arial" w:hAnsi="Arial"/>
          <w:sz w:val="13"/>
          <w:szCs w:val="13"/>
          <w:color w:val="auto"/>
        </w:rPr>
        <w:t>K.</w:t>
      </w:r>
    </w:p>
    <w:p>
      <w:pPr>
        <w:spacing w:after="0" w:line="1" w:lineRule="exact"/>
        <w:rPr>
          <w:rFonts w:ascii="Arial" w:cs="Arial" w:eastAsia="Arial" w:hAnsi="Arial"/>
          <w:sz w:val="13"/>
          <w:szCs w:val="13"/>
          <w:color w:val="auto"/>
        </w:rPr>
      </w:pPr>
    </w:p>
    <w:p>
      <w:pPr>
        <w:ind w:left="260" w:hanging="253"/>
        <w:spacing w:after="0"/>
        <w:tabs>
          <w:tab w:leader="none" w:pos="2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Reflects final earned 2025 AIP awards.</w:t>
      </w:r>
    </w:p>
    <w:p>
      <w:pPr>
        <w:spacing w:after="0" w:line="8" w:lineRule="exact"/>
        <w:rPr>
          <w:rFonts w:ascii="Arial" w:cs="Arial" w:eastAsia="Arial" w:hAnsi="Arial"/>
          <w:sz w:val="13"/>
          <w:szCs w:val="13"/>
          <w:color w:val="auto"/>
        </w:rPr>
      </w:pPr>
    </w:p>
    <w:p>
      <w:pPr>
        <w:ind w:left="260" w:right="140" w:hanging="253"/>
        <w:spacing w:after="0" w:line="267" w:lineRule="auto"/>
        <w:tabs>
          <w:tab w:leader="none" w:pos="2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Reflects the aggregate change in the actuarial present value of the benefits under the Pension Fund Mondelēz Switzerland for Mr. Kuhn. Mr. Kuhn participates in the defined contribution portion of such plan but such plan is actuarily accounted for as a defined benefit plan. Mr. Kuhn was hired in January 2025 and first began earning benefits from Mondelēz under such plan during 2025. Mr. Kuhn transferred the benefits earned from his prior employer into the Mondelēz plan upon employment which is required in Switzerland. The estimated pension value of the benefits transferred to Mondelēz upon his employment was $8,133,325. The amount reported in this column represents the increase in pension value during 2025 (excluding the value of his initial transfer of previously earned benefits), including as a result of Mondelēz’s employer contributions and Mr. Kuhn’s contributions to the plan during 2025. The other NEOs are not eligible to participate in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18592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10375" cy="185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EXECUTIVE COMPENSATION TABLES</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2025 Summary Compensation Table</w:t>
      </w:r>
    </w:p>
    <w:p>
      <w:pPr>
        <w:spacing w:after="0" w:line="200" w:lineRule="exact"/>
        <w:rPr>
          <w:sz w:val="20"/>
          <w:szCs w:val="20"/>
          <w:color w:val="auto"/>
        </w:rPr>
      </w:pPr>
    </w:p>
    <w:p>
      <w:pPr>
        <w:spacing w:after="0" w:line="278"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color w:val="auto"/>
        </w:rPr>
        <w:t>(7)</w:t>
      </w:r>
      <w:r>
        <w:rPr>
          <w:sz w:val="20"/>
          <w:szCs w:val="20"/>
          <w:color w:val="auto"/>
        </w:rPr>
        <w:tab/>
      </w:r>
      <w:r>
        <w:rPr>
          <w:rFonts w:ascii="Arial" w:cs="Arial" w:eastAsia="Arial" w:hAnsi="Arial"/>
          <w:sz w:val="12"/>
          <w:szCs w:val="12"/>
          <w:color w:val="auto"/>
        </w:rPr>
        <w:t>The amounts shown in the “All Other Compensation” column for 2025 reflect the following:</w:t>
      </w:r>
    </w:p>
    <w:p>
      <w:pPr>
        <w:spacing w:after="0" w:line="200" w:lineRule="exact"/>
        <w:rPr>
          <w:sz w:val="20"/>
          <w:szCs w:val="20"/>
          <w:color w:val="auto"/>
        </w:rPr>
      </w:pPr>
    </w:p>
    <w:p>
      <w:pPr>
        <w:spacing w:after="0" w:line="299" w:lineRule="exact"/>
        <w:rPr>
          <w:sz w:val="20"/>
          <w:szCs w:val="20"/>
          <w:color w:val="auto"/>
        </w:rPr>
      </w:pPr>
    </w:p>
    <w:tbl>
      <w:tblPr>
        <w:tblLayout w:type="fixed"/>
        <w:tblInd w:w="320" w:type="dxa"/>
        <w:tblCellMar>
          <w:top w:w="0" w:type="dxa"/>
          <w:left w:w="0" w:type="dxa"/>
          <w:bottom w:w="0" w:type="dxa"/>
          <w:right w:w="0" w:type="dxa"/>
        </w:tblCellMar>
      </w:tblPr>
      <w:tr>
        <w:trPr>
          <w:trHeight w:val="202"/>
        </w:trPr>
        <w:tc>
          <w:tcPr>
            <w:tcW w:w="3140" w:type="dxa"/>
            <w:vAlign w:val="bottom"/>
          </w:tcPr>
          <w:p>
            <w:pPr>
              <w:spacing w:after="0"/>
              <w:rPr>
                <w:sz w:val="20"/>
                <w:szCs w:val="20"/>
                <w:color w:val="auto"/>
              </w:rPr>
            </w:pPr>
            <w:r>
              <w:rPr>
                <w:rFonts w:ascii="Arial" w:cs="Arial" w:eastAsia="Arial" w:hAnsi="Arial"/>
                <w:sz w:val="13"/>
                <w:szCs w:val="13"/>
                <w:color w:val="auto"/>
              </w:rPr>
              <w:t>Personal use of company aircraft</w:t>
            </w:r>
            <w:r>
              <w:rPr>
                <w:rFonts w:ascii="Arial" w:cs="Arial" w:eastAsia="Arial" w:hAnsi="Arial"/>
                <w:sz w:val="16"/>
                <w:szCs w:val="16"/>
                <w:color w:val="auto"/>
                <w:vertAlign w:val="superscript"/>
              </w:rPr>
              <w:t>(a)</w:t>
            </w:r>
          </w:p>
        </w:tc>
        <w:tc>
          <w:tcPr>
            <w:tcW w:w="1960" w:type="dxa"/>
            <w:vAlign w:val="bottom"/>
          </w:tcPr>
          <w:p>
            <w:pPr>
              <w:jc w:val="right"/>
              <w:ind w:right="237"/>
              <w:spacing w:after="0"/>
              <w:rPr>
                <w:sz w:val="20"/>
                <w:szCs w:val="20"/>
                <w:color w:val="auto"/>
              </w:rPr>
            </w:pPr>
            <w:r>
              <w:rPr>
                <w:rFonts w:ascii="Arial" w:cs="Arial" w:eastAsia="Arial" w:hAnsi="Arial"/>
                <w:sz w:val="13"/>
                <w:szCs w:val="13"/>
                <w:color w:val="auto"/>
              </w:rPr>
              <w:t>324,248</w:t>
            </w:r>
          </w:p>
        </w:tc>
        <w:tc>
          <w:tcPr>
            <w:tcW w:w="96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3140" w:type="dxa"/>
            <w:vAlign w:val="bottom"/>
          </w:tcPr>
          <w:p>
            <w:pPr>
              <w:spacing w:after="0"/>
              <w:rPr>
                <w:sz w:val="20"/>
                <w:szCs w:val="20"/>
                <w:color w:val="auto"/>
              </w:rPr>
            </w:pPr>
            <w:r>
              <w:rPr>
                <w:rFonts w:ascii="Arial" w:cs="Arial" w:eastAsia="Arial" w:hAnsi="Arial"/>
                <w:sz w:val="13"/>
                <w:szCs w:val="13"/>
                <w:color w:val="auto"/>
              </w:rPr>
              <w:t>Car allowance</w:t>
            </w:r>
          </w:p>
        </w:tc>
        <w:tc>
          <w:tcPr>
            <w:tcW w:w="1960" w:type="dxa"/>
            <w:vAlign w:val="bottom"/>
          </w:tcPr>
          <w:p>
            <w:pPr>
              <w:jc w:val="right"/>
              <w:ind w:right="237"/>
              <w:spacing w:after="0"/>
              <w:rPr>
                <w:sz w:val="20"/>
                <w:szCs w:val="20"/>
                <w:color w:val="auto"/>
              </w:rPr>
            </w:pPr>
            <w:r>
              <w:rPr>
                <w:rFonts w:ascii="Arial" w:cs="Arial" w:eastAsia="Arial" w:hAnsi="Arial"/>
                <w:sz w:val="13"/>
                <w:szCs w:val="13"/>
                <w:color w:val="auto"/>
              </w:rPr>
              <w:t>23,333</w:t>
            </w:r>
          </w:p>
        </w:tc>
        <w:tc>
          <w:tcPr>
            <w:tcW w:w="960" w:type="dxa"/>
            <w:vAlign w:val="bottom"/>
          </w:tcPr>
          <w:p>
            <w:pPr>
              <w:jc w:val="right"/>
              <w:ind w:right="237"/>
              <w:spacing w:after="0"/>
              <w:rPr>
                <w:sz w:val="20"/>
                <w:szCs w:val="20"/>
                <w:color w:val="auto"/>
              </w:rPr>
            </w:pPr>
            <w:r>
              <w:rPr>
                <w:rFonts w:ascii="Arial" w:cs="Arial" w:eastAsia="Arial" w:hAnsi="Arial"/>
                <w:sz w:val="13"/>
                <w:szCs w:val="13"/>
                <w:color w:val="auto"/>
              </w:rPr>
              <w:t>15,000</w:t>
            </w:r>
          </w:p>
        </w:tc>
        <w:tc>
          <w:tcPr>
            <w:tcW w:w="940" w:type="dxa"/>
            <w:vAlign w:val="bottom"/>
          </w:tcPr>
          <w:p>
            <w:pPr>
              <w:jc w:val="right"/>
              <w:ind w:right="217"/>
              <w:spacing w:after="0"/>
              <w:rPr>
                <w:sz w:val="20"/>
                <w:szCs w:val="20"/>
                <w:color w:val="auto"/>
              </w:rPr>
            </w:pPr>
            <w:r>
              <w:rPr>
                <w:rFonts w:ascii="Arial" w:cs="Arial" w:eastAsia="Arial" w:hAnsi="Arial"/>
                <w:sz w:val="13"/>
                <w:szCs w:val="13"/>
                <w:color w:val="auto"/>
              </w:rPr>
              <w:t>14,473</w:t>
            </w:r>
          </w:p>
        </w:tc>
        <w:tc>
          <w:tcPr>
            <w:tcW w:w="960" w:type="dxa"/>
            <w:vAlign w:val="bottom"/>
          </w:tcPr>
          <w:p>
            <w:pPr>
              <w:jc w:val="right"/>
              <w:ind w:right="217"/>
              <w:spacing w:after="0"/>
              <w:rPr>
                <w:sz w:val="20"/>
                <w:szCs w:val="20"/>
                <w:color w:val="auto"/>
              </w:rPr>
            </w:pPr>
            <w:r>
              <w:rPr>
                <w:rFonts w:ascii="Arial" w:cs="Arial" w:eastAsia="Arial" w:hAnsi="Arial"/>
                <w:sz w:val="13"/>
                <w:szCs w:val="13"/>
                <w:color w:val="auto"/>
              </w:rPr>
              <w:t>15,000</w:t>
            </w:r>
          </w:p>
        </w:tc>
        <w:tc>
          <w:tcPr>
            <w:tcW w:w="680" w:type="dxa"/>
            <w:vAlign w:val="bottom"/>
          </w:tcPr>
          <w:p>
            <w:pPr>
              <w:jc w:val="right"/>
              <w:spacing w:after="0"/>
              <w:rPr>
                <w:sz w:val="20"/>
                <w:szCs w:val="20"/>
                <w:color w:val="auto"/>
              </w:rPr>
            </w:pPr>
            <w:r>
              <w:rPr>
                <w:rFonts w:ascii="Arial" w:cs="Arial" w:eastAsia="Arial" w:hAnsi="Arial"/>
                <w:sz w:val="13"/>
                <w:szCs w:val="13"/>
                <w:color w:val="auto"/>
              </w:rPr>
              <w:t>15,000</w:t>
            </w:r>
          </w:p>
        </w:tc>
      </w:tr>
      <w:tr>
        <w:trPr>
          <w:trHeight w:val="246"/>
        </w:trPr>
        <w:tc>
          <w:tcPr>
            <w:tcW w:w="3140" w:type="dxa"/>
            <w:vAlign w:val="bottom"/>
          </w:tcPr>
          <w:p>
            <w:pPr>
              <w:spacing w:after="0"/>
              <w:rPr>
                <w:sz w:val="20"/>
                <w:szCs w:val="20"/>
                <w:color w:val="auto"/>
              </w:rPr>
            </w:pPr>
            <w:r>
              <w:rPr>
                <w:rFonts w:ascii="Arial" w:cs="Arial" w:eastAsia="Arial" w:hAnsi="Arial"/>
                <w:sz w:val="13"/>
                <w:szCs w:val="13"/>
                <w:color w:val="auto"/>
              </w:rPr>
              <w:t>Financial counseling allowance</w:t>
            </w:r>
            <w:r>
              <w:rPr>
                <w:rFonts w:ascii="Arial" w:cs="Arial" w:eastAsia="Arial" w:hAnsi="Arial"/>
                <w:sz w:val="16"/>
                <w:szCs w:val="16"/>
                <w:color w:val="auto"/>
                <w:vertAlign w:val="superscript"/>
              </w:rPr>
              <w:t>(b)</w:t>
            </w:r>
          </w:p>
        </w:tc>
        <w:tc>
          <w:tcPr>
            <w:tcW w:w="1960" w:type="dxa"/>
            <w:vAlign w:val="bottom"/>
          </w:tcPr>
          <w:p>
            <w:pPr>
              <w:jc w:val="right"/>
              <w:ind w:right="237"/>
              <w:spacing w:after="0"/>
              <w:rPr>
                <w:sz w:val="20"/>
                <w:szCs w:val="20"/>
                <w:color w:val="auto"/>
              </w:rPr>
            </w:pPr>
            <w:r>
              <w:rPr>
                <w:rFonts w:ascii="Arial" w:cs="Arial" w:eastAsia="Arial" w:hAnsi="Arial"/>
                <w:sz w:val="13"/>
                <w:szCs w:val="13"/>
                <w:color w:val="auto"/>
              </w:rPr>
              <w:t>10,000</w:t>
            </w:r>
          </w:p>
        </w:tc>
        <w:tc>
          <w:tcPr>
            <w:tcW w:w="960" w:type="dxa"/>
            <w:vAlign w:val="bottom"/>
          </w:tcPr>
          <w:p>
            <w:pPr>
              <w:jc w:val="right"/>
              <w:ind w:right="237"/>
              <w:spacing w:after="0"/>
              <w:rPr>
                <w:sz w:val="20"/>
                <w:szCs w:val="20"/>
                <w:color w:val="auto"/>
              </w:rPr>
            </w:pPr>
            <w:r>
              <w:rPr>
                <w:rFonts w:ascii="Arial" w:cs="Arial" w:eastAsia="Arial" w:hAnsi="Arial"/>
                <w:sz w:val="13"/>
                <w:szCs w:val="13"/>
                <w:color w:val="auto"/>
              </w:rPr>
              <w:t>7,500</w:t>
            </w:r>
          </w:p>
        </w:tc>
        <w:tc>
          <w:tcPr>
            <w:tcW w:w="94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17"/>
              <w:spacing w:after="0"/>
              <w:rPr>
                <w:sz w:val="20"/>
                <w:szCs w:val="20"/>
                <w:color w:val="auto"/>
              </w:rPr>
            </w:pPr>
            <w:r>
              <w:rPr>
                <w:rFonts w:ascii="Arial" w:cs="Arial" w:eastAsia="Arial" w:hAnsi="Arial"/>
                <w:sz w:val="13"/>
                <w:szCs w:val="13"/>
                <w:color w:val="auto"/>
              </w:rPr>
              <w:t>5,125</w:t>
            </w:r>
          </w:p>
        </w:tc>
        <w:tc>
          <w:tcPr>
            <w:tcW w:w="680" w:type="dxa"/>
            <w:vAlign w:val="bottom"/>
          </w:tcPr>
          <w:p>
            <w:pPr>
              <w:jc w:val="right"/>
              <w:spacing w:after="0"/>
              <w:rPr>
                <w:sz w:val="20"/>
                <w:szCs w:val="20"/>
                <w:color w:val="auto"/>
              </w:rPr>
            </w:pPr>
            <w:r>
              <w:rPr>
                <w:rFonts w:ascii="Arial" w:cs="Arial" w:eastAsia="Arial" w:hAnsi="Arial"/>
                <w:sz w:val="13"/>
                <w:szCs w:val="13"/>
                <w:color w:val="auto"/>
              </w:rPr>
              <w:t>7,500</w:t>
            </w:r>
          </w:p>
        </w:tc>
      </w:tr>
    </w:tbl>
    <w:p>
      <w:pPr>
        <w:sectPr>
          <w:pgSz w:w="11900" w:h="16853" w:orient="portrait"/>
          <w:cols w:equalWidth="0" w:num="1">
            <w:col w:w="9160"/>
          </w:cols>
          <w:pgMar w:left="1420" w:top="429" w:right="1319" w:bottom="0" w:gutter="0" w:footer="0" w:header="0"/>
        </w:sectPr>
      </w:pPr>
    </w:p>
    <w:bookmarkStart w:id="75" w:name="page76"/>
    <w:bookmarkEnd w:id="75"/>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3560" w:type="dxa"/>
            <w:vAlign w:val="bottom"/>
          </w:tcPr>
          <w:p>
            <w:pPr>
              <w:ind w:left="40"/>
              <w:spacing w:after="0"/>
              <w:rPr>
                <w:sz w:val="20"/>
                <w:szCs w:val="20"/>
                <w:color w:val="auto"/>
              </w:rPr>
            </w:pPr>
            <w:r>
              <w:rPr>
                <w:rFonts w:ascii="Arial" w:cs="Arial" w:eastAsia="Arial" w:hAnsi="Arial"/>
                <w:sz w:val="13"/>
                <w:szCs w:val="13"/>
                <w:color w:val="auto"/>
              </w:rPr>
              <w:t>Employer contributions on defined contribution plans</w:t>
            </w:r>
            <w:r>
              <w:rPr>
                <w:rFonts w:ascii="Arial" w:cs="Arial" w:eastAsia="Arial" w:hAnsi="Arial"/>
                <w:sz w:val="8"/>
                <w:szCs w:val="8"/>
                <w:color w:val="auto"/>
              </w:rPr>
              <w:t>(c)</w:t>
            </w:r>
          </w:p>
        </w:tc>
        <w:tc>
          <w:tcPr>
            <w:tcW w:w="1400" w:type="dxa"/>
            <w:vAlign w:val="bottom"/>
          </w:tcPr>
          <w:p>
            <w:pPr>
              <w:jc w:val="right"/>
              <w:ind w:right="66"/>
              <w:spacing w:after="0"/>
              <w:rPr>
                <w:sz w:val="20"/>
                <w:szCs w:val="20"/>
                <w:color w:val="auto"/>
              </w:rPr>
            </w:pPr>
            <w:r>
              <w:rPr>
                <w:rFonts w:ascii="Arial" w:cs="Arial" w:eastAsia="Arial" w:hAnsi="Arial"/>
                <w:sz w:val="13"/>
                <w:szCs w:val="13"/>
                <w:color w:val="auto"/>
              </w:rPr>
              <w:t>363,704</w:t>
            </w:r>
          </w:p>
        </w:tc>
        <w:tc>
          <w:tcPr>
            <w:tcW w:w="1100" w:type="dxa"/>
            <w:vAlign w:val="bottom"/>
          </w:tcPr>
          <w:p>
            <w:pPr>
              <w:jc w:val="right"/>
              <w:ind w:right="206"/>
              <w:spacing w:after="0"/>
              <w:rPr>
                <w:sz w:val="20"/>
                <w:szCs w:val="20"/>
                <w:color w:val="auto"/>
              </w:rPr>
            </w:pPr>
            <w:r>
              <w:rPr>
                <w:rFonts w:ascii="Arial" w:cs="Arial" w:eastAsia="Arial" w:hAnsi="Arial"/>
                <w:sz w:val="13"/>
                <w:szCs w:val="13"/>
                <w:color w:val="auto"/>
              </w:rPr>
              <w:t>200,568</w:t>
            </w:r>
          </w:p>
        </w:tc>
        <w:tc>
          <w:tcPr>
            <w:tcW w:w="960" w:type="dxa"/>
            <w:vAlign w:val="bottom"/>
          </w:tcPr>
          <w:p>
            <w:pPr>
              <w:jc w:val="right"/>
              <w:ind w:right="20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06"/>
              <w:spacing w:after="0"/>
              <w:rPr>
                <w:sz w:val="20"/>
                <w:szCs w:val="20"/>
                <w:color w:val="auto"/>
              </w:rPr>
            </w:pPr>
            <w:r>
              <w:rPr>
                <w:rFonts w:ascii="Arial" w:cs="Arial" w:eastAsia="Arial" w:hAnsi="Arial"/>
                <w:sz w:val="13"/>
                <w:szCs w:val="13"/>
                <w:color w:val="auto"/>
              </w:rPr>
              <w:t>98,430</w:t>
            </w:r>
          </w:p>
        </w:tc>
        <w:tc>
          <w:tcPr>
            <w:tcW w:w="860" w:type="dxa"/>
            <w:vAlign w:val="bottom"/>
          </w:tcPr>
          <w:p>
            <w:pPr>
              <w:jc w:val="right"/>
              <w:ind w:right="26"/>
              <w:spacing w:after="0"/>
              <w:rPr>
                <w:sz w:val="20"/>
                <w:szCs w:val="20"/>
                <w:color w:val="auto"/>
              </w:rPr>
            </w:pPr>
            <w:r>
              <w:rPr>
                <w:rFonts w:ascii="Arial" w:cs="Arial" w:eastAsia="Arial" w:hAnsi="Arial"/>
                <w:sz w:val="13"/>
                <w:szCs w:val="13"/>
                <w:color w:val="auto"/>
              </w:rPr>
              <w:t>115,295</w:t>
            </w:r>
          </w:p>
        </w:tc>
      </w:tr>
      <w:tr>
        <w:trPr>
          <w:trHeight w:val="108"/>
        </w:trPr>
        <w:tc>
          <w:tcPr>
            <w:tcW w:w="3560" w:type="dxa"/>
            <w:vAlign w:val="bottom"/>
          </w:tcPr>
          <w:p>
            <w:pPr>
              <w:ind w:left="1460"/>
              <w:spacing w:after="0"/>
              <w:rPr>
                <w:sz w:val="20"/>
                <w:szCs w:val="20"/>
                <w:color w:val="auto"/>
              </w:rPr>
            </w:pPr>
            <w:r>
              <w:rPr>
                <w:rFonts w:ascii="Arial" w:cs="Arial" w:eastAsia="Arial" w:hAnsi="Arial"/>
                <w:sz w:val="8"/>
                <w:szCs w:val="8"/>
                <w:color w:val="auto"/>
              </w:rPr>
              <w:t>(d)</w:t>
            </w:r>
          </w:p>
        </w:tc>
        <w:tc>
          <w:tcPr>
            <w:tcW w:w="1400" w:type="dxa"/>
            <w:vAlign w:val="bottom"/>
          </w:tcPr>
          <w:p>
            <w:pPr>
              <w:jc w:val="right"/>
              <w:ind w:right="66"/>
              <w:spacing w:after="0" w:line="108" w:lineRule="exact"/>
              <w:rPr>
                <w:sz w:val="20"/>
                <w:szCs w:val="20"/>
                <w:color w:val="auto"/>
              </w:rPr>
            </w:pPr>
            <w:r>
              <w:rPr>
                <w:rFonts w:ascii="Arial" w:cs="Arial" w:eastAsia="Arial" w:hAnsi="Arial"/>
                <w:sz w:val="12"/>
                <w:szCs w:val="12"/>
                <w:b w:val="1"/>
                <w:bCs w:val="1"/>
                <w:color w:val="auto"/>
              </w:rPr>
              <w:t>D. Van de Put</w:t>
            </w:r>
          </w:p>
        </w:tc>
        <w:tc>
          <w:tcPr>
            <w:tcW w:w="1100" w:type="dxa"/>
            <w:vAlign w:val="bottom"/>
          </w:tcPr>
          <w:p>
            <w:pPr>
              <w:jc w:val="right"/>
              <w:ind w:right="186"/>
              <w:spacing w:after="0" w:line="108" w:lineRule="exact"/>
              <w:rPr>
                <w:sz w:val="20"/>
                <w:szCs w:val="20"/>
                <w:color w:val="auto"/>
              </w:rPr>
            </w:pPr>
            <w:r>
              <w:rPr>
                <w:rFonts w:ascii="Arial" w:cs="Arial" w:eastAsia="Arial" w:hAnsi="Arial"/>
                <w:sz w:val="12"/>
                <w:szCs w:val="12"/>
                <w:b w:val="1"/>
                <w:bCs w:val="1"/>
                <w:color w:val="auto"/>
              </w:rPr>
              <w:t>L. Zaramella</w:t>
            </w:r>
          </w:p>
        </w:tc>
        <w:tc>
          <w:tcPr>
            <w:tcW w:w="960" w:type="dxa"/>
            <w:vAlign w:val="bottom"/>
          </w:tcPr>
          <w:p>
            <w:pPr>
              <w:jc w:val="right"/>
              <w:ind w:right="206"/>
              <w:spacing w:after="0" w:line="108" w:lineRule="exact"/>
              <w:rPr>
                <w:sz w:val="20"/>
                <w:szCs w:val="20"/>
                <w:color w:val="auto"/>
              </w:rPr>
            </w:pPr>
            <w:r>
              <w:rPr>
                <w:rFonts w:ascii="Arial" w:cs="Arial" w:eastAsia="Arial" w:hAnsi="Arial"/>
                <w:sz w:val="12"/>
                <w:szCs w:val="12"/>
                <w:b w:val="1"/>
                <w:bCs w:val="1"/>
                <w:color w:val="auto"/>
              </w:rPr>
              <w:t>V. Kuhn</w:t>
            </w:r>
          </w:p>
        </w:tc>
        <w:tc>
          <w:tcPr>
            <w:tcW w:w="860" w:type="dxa"/>
            <w:vAlign w:val="bottom"/>
          </w:tcPr>
          <w:p>
            <w:pPr>
              <w:jc w:val="right"/>
              <w:ind w:right="106"/>
              <w:spacing w:after="0" w:line="108" w:lineRule="exact"/>
              <w:rPr>
                <w:sz w:val="20"/>
                <w:szCs w:val="20"/>
                <w:color w:val="auto"/>
              </w:rPr>
            </w:pPr>
            <w:r>
              <w:rPr>
                <w:rFonts w:ascii="Arial" w:cs="Arial" w:eastAsia="Arial" w:hAnsi="Arial"/>
                <w:sz w:val="12"/>
                <w:szCs w:val="12"/>
                <w:b w:val="1"/>
                <w:bCs w:val="1"/>
                <w:color w:val="auto"/>
              </w:rPr>
              <w:t>G. Valle</w:t>
            </w:r>
          </w:p>
        </w:tc>
        <w:tc>
          <w:tcPr>
            <w:tcW w:w="860" w:type="dxa"/>
            <w:vAlign w:val="bottom"/>
          </w:tcPr>
          <w:p>
            <w:pPr>
              <w:jc w:val="right"/>
              <w:ind w:right="6"/>
              <w:spacing w:after="0" w:line="108" w:lineRule="exact"/>
              <w:rPr>
                <w:sz w:val="20"/>
                <w:szCs w:val="20"/>
                <w:color w:val="auto"/>
              </w:rPr>
            </w:pPr>
            <w:r>
              <w:rPr>
                <w:rFonts w:ascii="Arial" w:cs="Arial" w:eastAsia="Arial" w:hAnsi="Arial"/>
                <w:sz w:val="12"/>
                <w:szCs w:val="12"/>
                <w:b w:val="1"/>
                <w:bCs w:val="1"/>
                <w:color w:val="auto"/>
              </w:rPr>
              <w:t>M. Renaud</w:t>
            </w:r>
          </w:p>
        </w:tc>
      </w:tr>
      <w:tr>
        <w:trPr>
          <w:trHeight w:val="41"/>
        </w:trPr>
        <w:tc>
          <w:tcPr>
            <w:tcW w:w="3560" w:type="dxa"/>
            <w:vAlign w:val="bottom"/>
          </w:tcPr>
          <w:p>
            <w:pPr>
              <w:ind w:left="40"/>
              <w:spacing w:after="0" w:line="41" w:lineRule="exact"/>
              <w:rPr>
                <w:sz w:val="20"/>
                <w:szCs w:val="20"/>
                <w:color w:val="auto"/>
              </w:rPr>
            </w:pPr>
            <w:r>
              <w:rPr>
                <w:rFonts w:ascii="Arial" w:cs="Arial" w:eastAsia="Arial" w:hAnsi="Arial"/>
                <w:sz w:val="4"/>
                <w:szCs w:val="4"/>
                <w:color w:val="auto"/>
              </w:rPr>
              <w:t>Tax equalization payment</w:t>
            </w:r>
          </w:p>
        </w:tc>
        <w:tc>
          <w:tcPr>
            <w:tcW w:w="1400" w:type="dxa"/>
            <w:vAlign w:val="bottom"/>
          </w:tcPr>
          <w:p>
            <w:pPr>
              <w:jc w:val="right"/>
              <w:ind w:right="66"/>
              <w:spacing w:after="0" w:line="41" w:lineRule="exact"/>
              <w:rPr>
                <w:sz w:val="20"/>
                <w:szCs w:val="20"/>
                <w:color w:val="auto"/>
              </w:rPr>
            </w:pPr>
            <w:r>
              <w:rPr>
                <w:rFonts w:ascii="Arial" w:cs="Arial" w:eastAsia="Arial" w:hAnsi="Arial"/>
                <w:sz w:val="4"/>
                <w:szCs w:val="4"/>
                <w:color w:val="auto"/>
              </w:rPr>
              <w:t>—</w:t>
            </w:r>
          </w:p>
        </w:tc>
        <w:tc>
          <w:tcPr>
            <w:tcW w:w="1100" w:type="dxa"/>
            <w:vAlign w:val="bottom"/>
          </w:tcPr>
          <w:p>
            <w:pPr>
              <w:jc w:val="right"/>
              <w:ind w:right="206"/>
              <w:spacing w:after="0" w:line="41" w:lineRule="exact"/>
              <w:rPr>
                <w:sz w:val="20"/>
                <w:szCs w:val="20"/>
                <w:color w:val="auto"/>
              </w:rPr>
            </w:pPr>
            <w:r>
              <w:rPr>
                <w:rFonts w:ascii="Arial" w:cs="Arial" w:eastAsia="Arial" w:hAnsi="Arial"/>
                <w:sz w:val="4"/>
                <w:szCs w:val="4"/>
                <w:color w:val="auto"/>
              </w:rPr>
              <w:t>—</w:t>
            </w:r>
          </w:p>
        </w:tc>
        <w:tc>
          <w:tcPr>
            <w:tcW w:w="960" w:type="dxa"/>
            <w:vAlign w:val="bottom"/>
          </w:tcPr>
          <w:p>
            <w:pPr>
              <w:jc w:val="right"/>
              <w:ind w:right="206"/>
              <w:spacing w:after="0" w:line="41" w:lineRule="exact"/>
              <w:rPr>
                <w:sz w:val="20"/>
                <w:szCs w:val="20"/>
                <w:color w:val="auto"/>
              </w:rPr>
            </w:pPr>
            <w:r>
              <w:rPr>
                <w:rFonts w:ascii="Arial" w:cs="Arial" w:eastAsia="Arial" w:hAnsi="Arial"/>
                <w:sz w:val="4"/>
                <w:szCs w:val="4"/>
                <w:color w:val="auto"/>
              </w:rPr>
              <w:t>—</w:t>
            </w:r>
          </w:p>
        </w:tc>
        <w:tc>
          <w:tcPr>
            <w:tcW w:w="860" w:type="dxa"/>
            <w:vAlign w:val="bottom"/>
          </w:tcPr>
          <w:p>
            <w:pPr>
              <w:jc w:val="right"/>
              <w:ind w:right="106"/>
              <w:spacing w:after="0" w:line="41" w:lineRule="exact"/>
              <w:rPr>
                <w:sz w:val="20"/>
                <w:szCs w:val="20"/>
                <w:color w:val="auto"/>
              </w:rPr>
            </w:pPr>
            <w:r>
              <w:rPr>
                <w:rFonts w:ascii="Arial" w:cs="Arial" w:eastAsia="Arial" w:hAnsi="Arial"/>
                <w:sz w:val="4"/>
                <w:szCs w:val="4"/>
                <w:color w:val="auto"/>
              </w:rPr>
              <w:t>4,381</w:t>
            </w:r>
          </w:p>
        </w:tc>
        <w:tc>
          <w:tcPr>
            <w:tcW w:w="860" w:type="dxa"/>
            <w:vAlign w:val="bottom"/>
          </w:tcPr>
          <w:p>
            <w:pPr>
              <w:jc w:val="right"/>
              <w:ind w:right="6"/>
              <w:spacing w:after="0" w:line="41" w:lineRule="exact"/>
              <w:rPr>
                <w:sz w:val="20"/>
                <w:szCs w:val="20"/>
                <w:color w:val="auto"/>
              </w:rPr>
            </w:pPr>
            <w:r>
              <w:rPr>
                <w:rFonts w:ascii="Arial" w:cs="Arial" w:eastAsia="Arial" w:hAnsi="Arial"/>
                <w:sz w:val="4"/>
                <w:szCs w:val="4"/>
                <w:color w:val="auto"/>
              </w:rPr>
              <w:t>—</w:t>
            </w:r>
          </w:p>
        </w:tc>
      </w:tr>
      <w:tr>
        <w:trPr>
          <w:trHeight w:val="81"/>
        </w:trPr>
        <w:tc>
          <w:tcPr>
            <w:tcW w:w="3560" w:type="dxa"/>
            <w:vAlign w:val="bottom"/>
          </w:tcPr>
          <w:p>
            <w:pPr>
              <w:spacing w:after="0"/>
              <w:rPr>
                <w:sz w:val="7"/>
                <w:szCs w:val="7"/>
                <w:color w:val="auto"/>
              </w:rPr>
            </w:pPr>
          </w:p>
        </w:tc>
        <w:tc>
          <w:tcPr>
            <w:tcW w:w="1400" w:type="dxa"/>
            <w:vAlign w:val="bottom"/>
          </w:tcPr>
          <w:p>
            <w:pPr>
              <w:jc w:val="right"/>
              <w:ind w:right="46"/>
              <w:spacing w:after="0" w:line="81" w:lineRule="exact"/>
              <w:rPr>
                <w:sz w:val="20"/>
                <w:szCs w:val="20"/>
                <w:color w:val="auto"/>
              </w:rPr>
            </w:pPr>
            <w:r>
              <w:rPr>
                <w:rFonts w:ascii="Arial" w:cs="Arial" w:eastAsia="Arial" w:hAnsi="Arial"/>
                <w:sz w:val="9"/>
                <w:szCs w:val="9"/>
                <w:b w:val="1"/>
                <w:bCs w:val="1"/>
                <w:color w:val="auto"/>
              </w:rPr>
              <w:t>($)</w:t>
            </w:r>
          </w:p>
        </w:tc>
        <w:tc>
          <w:tcPr>
            <w:tcW w:w="1100" w:type="dxa"/>
            <w:vAlign w:val="bottom"/>
          </w:tcPr>
          <w:p>
            <w:pPr>
              <w:jc w:val="right"/>
              <w:ind w:right="186"/>
              <w:spacing w:after="0" w:line="81" w:lineRule="exact"/>
              <w:rPr>
                <w:sz w:val="20"/>
                <w:szCs w:val="20"/>
                <w:color w:val="auto"/>
              </w:rPr>
            </w:pPr>
            <w:r>
              <w:rPr>
                <w:rFonts w:ascii="Arial" w:cs="Arial" w:eastAsia="Arial" w:hAnsi="Arial"/>
                <w:sz w:val="9"/>
                <w:szCs w:val="9"/>
                <w:b w:val="1"/>
                <w:bCs w:val="1"/>
                <w:color w:val="auto"/>
              </w:rPr>
              <w:t>($)</w:t>
            </w:r>
          </w:p>
        </w:tc>
        <w:tc>
          <w:tcPr>
            <w:tcW w:w="960" w:type="dxa"/>
            <w:vAlign w:val="bottom"/>
          </w:tcPr>
          <w:p>
            <w:pPr>
              <w:jc w:val="right"/>
              <w:ind w:right="186"/>
              <w:spacing w:after="0" w:line="81" w:lineRule="exact"/>
              <w:rPr>
                <w:sz w:val="20"/>
                <w:szCs w:val="20"/>
                <w:color w:val="auto"/>
              </w:rPr>
            </w:pPr>
            <w:r>
              <w:rPr>
                <w:rFonts w:ascii="Arial" w:cs="Arial" w:eastAsia="Arial" w:hAnsi="Arial"/>
                <w:sz w:val="9"/>
                <w:szCs w:val="9"/>
                <w:b w:val="1"/>
                <w:bCs w:val="1"/>
                <w:color w:val="auto"/>
              </w:rPr>
              <w:t>($)</w:t>
            </w:r>
          </w:p>
        </w:tc>
        <w:tc>
          <w:tcPr>
            <w:tcW w:w="860" w:type="dxa"/>
            <w:vAlign w:val="bottom"/>
          </w:tcPr>
          <w:p>
            <w:pPr>
              <w:jc w:val="right"/>
              <w:ind w:right="106"/>
              <w:spacing w:after="0" w:line="81" w:lineRule="exact"/>
              <w:rPr>
                <w:sz w:val="20"/>
                <w:szCs w:val="20"/>
                <w:color w:val="auto"/>
              </w:rPr>
            </w:pPr>
            <w:r>
              <w:rPr>
                <w:rFonts w:ascii="Arial" w:cs="Arial" w:eastAsia="Arial" w:hAnsi="Arial"/>
                <w:sz w:val="9"/>
                <w:szCs w:val="9"/>
                <w:b w:val="1"/>
                <w:bCs w:val="1"/>
                <w:color w:val="auto"/>
              </w:rPr>
              <w:t>($)</w:t>
            </w:r>
          </w:p>
        </w:tc>
        <w:tc>
          <w:tcPr>
            <w:tcW w:w="860" w:type="dxa"/>
            <w:vAlign w:val="bottom"/>
          </w:tcPr>
          <w:p>
            <w:pPr>
              <w:jc w:val="right"/>
              <w:ind w:right="6"/>
              <w:spacing w:after="0" w:line="81" w:lineRule="exact"/>
              <w:rPr>
                <w:sz w:val="20"/>
                <w:szCs w:val="20"/>
                <w:color w:val="auto"/>
              </w:rPr>
            </w:pPr>
            <w:r>
              <w:rPr>
                <w:rFonts w:ascii="Arial" w:cs="Arial" w:eastAsia="Arial" w:hAnsi="Arial"/>
                <w:sz w:val="9"/>
                <w:szCs w:val="9"/>
                <w:b w:val="1"/>
                <w:bCs w:val="1"/>
                <w:color w:val="auto"/>
              </w:rPr>
              <w:t>($)</w:t>
            </w:r>
          </w:p>
        </w:tc>
      </w:tr>
      <w:tr>
        <w:trPr>
          <w:trHeight w:val="198"/>
        </w:trPr>
        <w:tc>
          <w:tcPr>
            <w:tcW w:w="3560" w:type="dxa"/>
            <w:vAlign w:val="bottom"/>
          </w:tcPr>
          <w:p>
            <w:pPr>
              <w:ind w:left="40"/>
              <w:spacing w:after="0"/>
              <w:rPr>
                <w:sz w:val="20"/>
                <w:szCs w:val="20"/>
                <w:color w:val="auto"/>
              </w:rPr>
            </w:pPr>
            <w:r>
              <w:rPr>
                <w:rFonts w:ascii="Arial" w:cs="Arial" w:eastAsia="Arial" w:hAnsi="Arial"/>
                <w:sz w:val="13"/>
                <w:szCs w:val="13"/>
                <w:color w:val="auto"/>
              </w:rPr>
              <w:t>Tax preparation expenses</w:t>
            </w:r>
            <w:r>
              <w:rPr>
                <w:rFonts w:ascii="Arial" w:cs="Arial" w:eastAsia="Arial" w:hAnsi="Arial"/>
                <w:sz w:val="16"/>
                <w:szCs w:val="16"/>
                <w:color w:val="auto"/>
                <w:vertAlign w:val="superscript"/>
              </w:rPr>
              <w:t>(e)</w:t>
            </w:r>
          </w:p>
        </w:tc>
        <w:tc>
          <w:tcPr>
            <w:tcW w:w="1400" w:type="dxa"/>
            <w:vAlign w:val="bottom"/>
          </w:tcPr>
          <w:p>
            <w:pPr>
              <w:jc w:val="right"/>
              <w:ind w:right="66"/>
              <w:spacing w:after="0"/>
              <w:rPr>
                <w:sz w:val="20"/>
                <w:szCs w:val="20"/>
                <w:color w:val="auto"/>
              </w:rPr>
            </w:pPr>
            <w:r>
              <w:rPr>
                <w:rFonts w:ascii="Arial" w:cs="Arial" w:eastAsia="Arial" w:hAnsi="Arial"/>
                <w:sz w:val="13"/>
                <w:szCs w:val="13"/>
                <w:color w:val="auto"/>
              </w:rPr>
              <w:t>3,180</w:t>
            </w:r>
          </w:p>
        </w:tc>
        <w:tc>
          <w:tcPr>
            <w:tcW w:w="1100" w:type="dxa"/>
            <w:vAlign w:val="bottom"/>
          </w:tcPr>
          <w:p>
            <w:pPr>
              <w:jc w:val="right"/>
              <w:ind w:right="206"/>
              <w:spacing w:after="0"/>
              <w:rPr>
                <w:sz w:val="20"/>
                <w:szCs w:val="20"/>
                <w:color w:val="auto"/>
              </w:rPr>
            </w:pPr>
            <w:r>
              <w:rPr>
                <w:rFonts w:ascii="Arial" w:cs="Arial" w:eastAsia="Arial" w:hAnsi="Arial"/>
                <w:sz w:val="13"/>
                <w:szCs w:val="13"/>
                <w:color w:val="auto"/>
              </w:rPr>
              <w:t>3,180</w:t>
            </w:r>
          </w:p>
        </w:tc>
        <w:tc>
          <w:tcPr>
            <w:tcW w:w="960" w:type="dxa"/>
            <w:vAlign w:val="bottom"/>
          </w:tcPr>
          <w:p>
            <w:pPr>
              <w:jc w:val="right"/>
              <w:ind w:right="20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0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6"/>
              <w:spacing w:after="0"/>
              <w:rPr>
                <w:sz w:val="20"/>
                <w:szCs w:val="20"/>
                <w:color w:val="auto"/>
              </w:rPr>
            </w:pPr>
            <w:r>
              <w:rPr>
                <w:rFonts w:ascii="Arial" w:cs="Arial" w:eastAsia="Arial" w:hAnsi="Arial"/>
                <w:sz w:val="13"/>
                <w:szCs w:val="13"/>
                <w:color w:val="auto"/>
              </w:rPr>
              <w:t>3,180</w:t>
            </w:r>
          </w:p>
        </w:tc>
      </w:tr>
      <w:tr>
        <w:trPr>
          <w:trHeight w:val="223"/>
        </w:trPr>
        <w:tc>
          <w:tcPr>
            <w:tcW w:w="3560" w:type="dxa"/>
            <w:vAlign w:val="bottom"/>
          </w:tcPr>
          <w:p>
            <w:pPr>
              <w:ind w:left="40"/>
              <w:spacing w:after="0"/>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(f)</w:t>
            </w:r>
          </w:p>
        </w:tc>
        <w:tc>
          <w:tcPr>
            <w:tcW w:w="1400" w:type="dxa"/>
            <w:vAlign w:val="bottom"/>
          </w:tcPr>
          <w:p>
            <w:pPr>
              <w:jc w:val="right"/>
              <w:ind w:right="66"/>
              <w:spacing w:after="0"/>
              <w:rPr>
                <w:sz w:val="20"/>
                <w:szCs w:val="20"/>
                <w:color w:val="auto"/>
              </w:rPr>
            </w:pPr>
            <w:r>
              <w:rPr>
                <w:rFonts w:ascii="Arial" w:cs="Arial" w:eastAsia="Arial" w:hAnsi="Arial"/>
                <w:sz w:val="13"/>
                <w:szCs w:val="13"/>
                <w:color w:val="auto"/>
              </w:rPr>
              <w:t>1,120</w:t>
            </w:r>
          </w:p>
        </w:tc>
        <w:tc>
          <w:tcPr>
            <w:tcW w:w="1100" w:type="dxa"/>
            <w:vAlign w:val="bottom"/>
          </w:tcPr>
          <w:p>
            <w:pPr>
              <w:jc w:val="right"/>
              <w:ind w:right="206"/>
              <w:spacing w:after="0"/>
              <w:rPr>
                <w:sz w:val="20"/>
                <w:szCs w:val="20"/>
                <w:color w:val="auto"/>
              </w:rPr>
            </w:pPr>
            <w:r>
              <w:rPr>
                <w:rFonts w:ascii="Arial" w:cs="Arial" w:eastAsia="Arial" w:hAnsi="Arial"/>
                <w:sz w:val="13"/>
                <w:szCs w:val="13"/>
                <w:color w:val="auto"/>
              </w:rPr>
              <w:t>1,341</w:t>
            </w:r>
          </w:p>
        </w:tc>
        <w:tc>
          <w:tcPr>
            <w:tcW w:w="960" w:type="dxa"/>
            <w:vAlign w:val="bottom"/>
          </w:tcPr>
          <w:p>
            <w:pPr>
              <w:jc w:val="right"/>
              <w:ind w:right="206"/>
              <w:spacing w:after="0"/>
              <w:rPr>
                <w:sz w:val="20"/>
                <w:szCs w:val="20"/>
                <w:color w:val="auto"/>
              </w:rPr>
            </w:pPr>
            <w:r>
              <w:rPr>
                <w:rFonts w:ascii="Arial" w:cs="Arial" w:eastAsia="Arial" w:hAnsi="Arial"/>
                <w:sz w:val="13"/>
                <w:szCs w:val="13"/>
                <w:color w:val="auto"/>
              </w:rPr>
              <w:t>5,993</w:t>
            </w:r>
          </w:p>
        </w:tc>
        <w:tc>
          <w:tcPr>
            <w:tcW w:w="860" w:type="dxa"/>
            <w:vAlign w:val="bottom"/>
          </w:tcPr>
          <w:p>
            <w:pPr>
              <w:jc w:val="right"/>
              <w:ind w:right="106"/>
              <w:spacing w:after="0"/>
              <w:rPr>
                <w:sz w:val="20"/>
                <w:szCs w:val="20"/>
                <w:color w:val="auto"/>
              </w:rPr>
            </w:pPr>
            <w:r>
              <w:rPr>
                <w:rFonts w:ascii="Arial" w:cs="Arial" w:eastAsia="Arial" w:hAnsi="Arial"/>
                <w:sz w:val="13"/>
                <w:szCs w:val="13"/>
                <w:color w:val="auto"/>
              </w:rPr>
              <w:t>6,643</w:t>
            </w:r>
          </w:p>
        </w:tc>
        <w:tc>
          <w:tcPr>
            <w:tcW w:w="860" w:type="dxa"/>
            <w:vAlign w:val="bottom"/>
          </w:tcPr>
          <w:p>
            <w:pPr>
              <w:jc w:val="right"/>
              <w:ind w:right="6"/>
              <w:spacing w:after="0"/>
              <w:rPr>
                <w:sz w:val="20"/>
                <w:szCs w:val="20"/>
                <w:color w:val="auto"/>
              </w:rPr>
            </w:pPr>
            <w:r>
              <w:rPr>
                <w:rFonts w:ascii="Arial" w:cs="Arial" w:eastAsia="Arial" w:hAnsi="Arial"/>
                <w:sz w:val="13"/>
                <w:szCs w:val="13"/>
                <w:color w:val="auto"/>
              </w:rPr>
              <w:t>2,135</w:t>
            </w:r>
          </w:p>
        </w:tc>
      </w:tr>
      <w:tr>
        <w:trPr>
          <w:trHeight w:val="25"/>
        </w:trPr>
        <w:tc>
          <w:tcPr>
            <w:tcW w:w="3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72"/>
        </w:trPr>
        <w:tc>
          <w:tcPr>
            <w:tcW w:w="3560" w:type="dxa"/>
            <w:vAlign w:val="bottom"/>
            <w:shd w:val="clear" w:color="auto" w:fill="E0DBEA"/>
          </w:tcPr>
          <w:p>
            <w:pPr>
              <w:ind w:left="40"/>
              <w:spacing w:after="0"/>
              <w:rPr>
                <w:sz w:val="20"/>
                <w:szCs w:val="20"/>
                <w:color w:val="auto"/>
              </w:rPr>
            </w:pPr>
            <w:r>
              <w:rPr>
                <w:rFonts w:ascii="Arial" w:cs="Arial" w:eastAsia="Arial" w:hAnsi="Arial"/>
                <w:sz w:val="13"/>
                <w:szCs w:val="13"/>
                <w:b w:val="1"/>
                <w:bCs w:val="1"/>
                <w:color w:val="auto"/>
              </w:rPr>
              <w:t>Total All Other Compensation</w:t>
            </w:r>
          </w:p>
        </w:tc>
        <w:tc>
          <w:tcPr>
            <w:tcW w:w="1400" w:type="dxa"/>
            <w:vAlign w:val="bottom"/>
            <w:shd w:val="clear" w:color="auto" w:fill="E0DBEA"/>
          </w:tcPr>
          <w:p>
            <w:pPr>
              <w:jc w:val="right"/>
              <w:ind w:right="66"/>
              <w:spacing w:after="0"/>
              <w:rPr>
                <w:sz w:val="20"/>
                <w:szCs w:val="20"/>
                <w:color w:val="auto"/>
              </w:rPr>
            </w:pPr>
            <w:r>
              <w:rPr>
                <w:rFonts w:ascii="Arial" w:cs="Arial" w:eastAsia="Arial" w:hAnsi="Arial"/>
                <w:sz w:val="13"/>
                <w:szCs w:val="13"/>
                <w:b w:val="1"/>
                <w:bCs w:val="1"/>
                <w:color w:val="auto"/>
              </w:rPr>
              <w:t>725,585</w:t>
            </w:r>
          </w:p>
        </w:tc>
        <w:tc>
          <w:tcPr>
            <w:tcW w:w="1100" w:type="dxa"/>
            <w:vAlign w:val="bottom"/>
            <w:shd w:val="clear" w:color="auto" w:fill="E0DBEA"/>
          </w:tcPr>
          <w:p>
            <w:pPr>
              <w:jc w:val="right"/>
              <w:ind w:right="206"/>
              <w:spacing w:after="0"/>
              <w:rPr>
                <w:sz w:val="20"/>
                <w:szCs w:val="20"/>
                <w:color w:val="auto"/>
              </w:rPr>
            </w:pPr>
            <w:r>
              <w:rPr>
                <w:rFonts w:ascii="Arial" w:cs="Arial" w:eastAsia="Arial" w:hAnsi="Arial"/>
                <w:sz w:val="13"/>
                <w:szCs w:val="13"/>
                <w:b w:val="1"/>
                <w:bCs w:val="1"/>
                <w:color w:val="auto"/>
              </w:rPr>
              <w:t>227,589</w:t>
            </w:r>
          </w:p>
        </w:tc>
        <w:tc>
          <w:tcPr>
            <w:tcW w:w="960" w:type="dxa"/>
            <w:vAlign w:val="bottom"/>
            <w:shd w:val="clear" w:color="auto" w:fill="E0DBEA"/>
          </w:tcPr>
          <w:p>
            <w:pPr>
              <w:jc w:val="right"/>
              <w:ind w:right="206"/>
              <w:spacing w:after="0"/>
              <w:rPr>
                <w:sz w:val="20"/>
                <w:szCs w:val="20"/>
                <w:color w:val="auto"/>
              </w:rPr>
            </w:pPr>
            <w:r>
              <w:rPr>
                <w:rFonts w:ascii="Arial" w:cs="Arial" w:eastAsia="Arial" w:hAnsi="Arial"/>
                <w:sz w:val="13"/>
                <w:szCs w:val="13"/>
                <w:b w:val="1"/>
                <w:bCs w:val="1"/>
                <w:color w:val="auto"/>
              </w:rPr>
              <w:t>20,466</w:t>
            </w:r>
          </w:p>
        </w:tc>
        <w:tc>
          <w:tcPr>
            <w:tcW w:w="860" w:type="dxa"/>
            <w:vAlign w:val="bottom"/>
            <w:shd w:val="clear" w:color="auto" w:fill="E0DBEA"/>
          </w:tcPr>
          <w:p>
            <w:pPr>
              <w:jc w:val="right"/>
              <w:ind w:right="106"/>
              <w:spacing w:after="0"/>
              <w:rPr>
                <w:sz w:val="20"/>
                <w:szCs w:val="20"/>
                <w:color w:val="auto"/>
              </w:rPr>
            </w:pPr>
            <w:r>
              <w:rPr>
                <w:rFonts w:ascii="Arial" w:cs="Arial" w:eastAsia="Arial" w:hAnsi="Arial"/>
                <w:sz w:val="13"/>
                <w:szCs w:val="13"/>
                <w:b w:val="1"/>
                <w:bCs w:val="1"/>
                <w:color w:val="auto"/>
              </w:rPr>
              <w:t>129,579</w:t>
            </w:r>
          </w:p>
        </w:tc>
        <w:tc>
          <w:tcPr>
            <w:tcW w:w="860" w:type="dxa"/>
            <w:vAlign w:val="bottom"/>
            <w:shd w:val="clear" w:color="auto" w:fill="E0DBEA"/>
          </w:tcPr>
          <w:p>
            <w:pPr>
              <w:jc w:val="right"/>
              <w:ind w:right="6"/>
              <w:spacing w:after="0"/>
              <w:rPr>
                <w:sz w:val="20"/>
                <w:szCs w:val="20"/>
                <w:color w:val="auto"/>
              </w:rPr>
            </w:pPr>
            <w:r>
              <w:rPr>
                <w:rFonts w:ascii="Arial" w:cs="Arial" w:eastAsia="Arial" w:hAnsi="Arial"/>
                <w:sz w:val="13"/>
                <w:szCs w:val="13"/>
                <w:b w:val="1"/>
                <w:bCs w:val="1"/>
                <w:color w:val="auto"/>
              </w:rPr>
              <w:t>143,110</w:t>
            </w:r>
          </w:p>
        </w:tc>
      </w:tr>
      <w:tr>
        <w:trPr>
          <w:trHeight w:val="31"/>
        </w:trPr>
        <w:tc>
          <w:tcPr>
            <w:tcW w:w="3560" w:type="dxa"/>
            <w:vAlign w:val="bottom"/>
            <w:shd w:val="clear" w:color="auto" w:fill="E0DBEA"/>
          </w:tcPr>
          <w:p>
            <w:pPr>
              <w:spacing w:after="0"/>
              <w:rPr>
                <w:sz w:val="2"/>
                <w:szCs w:val="2"/>
                <w:color w:val="auto"/>
              </w:rPr>
            </w:pPr>
          </w:p>
        </w:tc>
        <w:tc>
          <w:tcPr>
            <w:tcW w:w="1400" w:type="dxa"/>
            <w:vAlign w:val="bottom"/>
            <w:shd w:val="clear" w:color="auto" w:fill="E0DBEA"/>
          </w:tcPr>
          <w:p>
            <w:pPr>
              <w:spacing w:after="0"/>
              <w:rPr>
                <w:sz w:val="2"/>
                <w:szCs w:val="2"/>
                <w:color w:val="auto"/>
              </w:rPr>
            </w:pPr>
          </w:p>
        </w:tc>
        <w:tc>
          <w:tcPr>
            <w:tcW w:w="1100" w:type="dxa"/>
            <w:vAlign w:val="bottom"/>
            <w:shd w:val="clear" w:color="auto" w:fill="E0DBEA"/>
          </w:tcPr>
          <w:p>
            <w:pPr>
              <w:spacing w:after="0"/>
              <w:rPr>
                <w:sz w:val="2"/>
                <w:szCs w:val="2"/>
                <w:color w:val="auto"/>
              </w:rPr>
            </w:pPr>
          </w:p>
        </w:tc>
        <w:tc>
          <w:tcPr>
            <w:tcW w:w="960" w:type="dxa"/>
            <w:vAlign w:val="bottom"/>
            <w:shd w:val="clear" w:color="auto" w:fill="E0DBEA"/>
          </w:tcPr>
          <w:p>
            <w:pPr>
              <w:spacing w:after="0"/>
              <w:rPr>
                <w:sz w:val="2"/>
                <w:szCs w:val="2"/>
                <w:color w:val="auto"/>
              </w:rPr>
            </w:pPr>
          </w:p>
        </w:tc>
        <w:tc>
          <w:tcPr>
            <w:tcW w:w="860" w:type="dxa"/>
            <w:vAlign w:val="bottom"/>
            <w:shd w:val="clear" w:color="auto" w:fill="E0DBEA"/>
          </w:tcPr>
          <w:p>
            <w:pPr>
              <w:spacing w:after="0"/>
              <w:rPr>
                <w:sz w:val="2"/>
                <w:szCs w:val="2"/>
                <w:color w:val="auto"/>
              </w:rPr>
            </w:pPr>
          </w:p>
        </w:tc>
        <w:tc>
          <w:tcPr>
            <w:tcW w:w="860" w:type="dxa"/>
            <w:vAlign w:val="bottom"/>
            <w:shd w:val="clear" w:color="auto" w:fill="E0DBEA"/>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-616585</wp:posOffset>
            </wp:positionV>
            <wp:extent cx="6810375" cy="69970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10375" cy="6997065"/>
                    </a:xfrm>
                    <a:prstGeom prst="rect">
                      <a:avLst/>
                    </a:prstGeom>
                    <a:noFill/>
                  </pic:spPr>
                </pic:pic>
              </a:graphicData>
            </a:graphic>
          </wp:anchor>
        </w:drawing>
      </w:r>
    </w:p>
    <w:p>
      <w:pPr>
        <w:ind w:left="500" w:right="200" w:hanging="254"/>
        <w:spacing w:after="0" w:line="284" w:lineRule="auto"/>
        <w:tabs>
          <w:tab w:leader="none" w:pos="5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Consistent with the findings of an independent, third-party security study, we require our CEO to use private (non-commercial) company aircraft for both business and personal travel. Other NEOs may use company aircraft for personal travel in certain limited circumstances if approved by the CEO. This method of travel supports business continuity and personal safety while also increasing time available for business purposes, which is necessary since we do business in more than 150 countries. The incremental cost of personal use of the Company aircraft is based on the variable operating costs to the Company. The incremental cost of personal use of any charter aircraft is based on the invoice to the Company. Personal use includes any travel by members of Mr. Van de Put’s family and guests and any travel to meetings of unaffiliated companies’ board of directors on which he serves. Mr. Van de Put is responsible for taxes in connection with personal aircraft use, and we do not reimburse for those taxes.</w:t>
      </w:r>
    </w:p>
    <w:p>
      <w:pPr>
        <w:spacing w:after="0" w:line="3" w:lineRule="exact"/>
        <w:rPr>
          <w:rFonts w:ascii="Arial" w:cs="Arial" w:eastAsia="Arial" w:hAnsi="Arial"/>
          <w:sz w:val="12"/>
          <w:szCs w:val="12"/>
          <w:color w:val="auto"/>
        </w:rPr>
      </w:pPr>
    </w:p>
    <w:p>
      <w:pPr>
        <w:ind w:left="500" w:hanging="254"/>
        <w:spacing w:after="0"/>
        <w:tabs>
          <w:tab w:leader="none" w:pos="5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All U.S. executive officers are eligible for an annual financial counseling allowance up to $7,500 and, in the case of Mr. Van de Put, up to $10,000.</w:t>
      </w:r>
    </w:p>
    <w:p>
      <w:pPr>
        <w:spacing w:after="0" w:line="12" w:lineRule="exact"/>
        <w:rPr>
          <w:rFonts w:ascii="Arial" w:cs="Arial" w:eastAsia="Arial" w:hAnsi="Arial"/>
          <w:sz w:val="13"/>
          <w:szCs w:val="13"/>
          <w:color w:val="auto"/>
        </w:rPr>
      </w:pPr>
    </w:p>
    <w:p>
      <w:pPr>
        <w:ind w:left="500" w:hanging="254"/>
        <w:spacing w:after="0" w:line="264" w:lineRule="auto"/>
        <w:tabs>
          <w:tab w:leader="none" w:pos="5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All eligible U.S. employees, including our U.S. NEOs, receive matching company contributions for contributions made to the Thrift Plan and the Supplemental Plan, if applicable. Similarly, all eligible U.S. employees hired or localized to the United States after 2008 who are not otherwise eligible to participate in the Mondelēz Global LLC Retirement Plan, including Mr. Van de Put, Mr. Zaramella, Mr. Valle, and Mr. Renaud, receive an additional non-elective company contribution to the Thrift Plan and the Supplemental Plan, if applicable, equal to 4.5% of eligible compensation. Mr. Kuhn participates in the Company’s retirement plan for Swiss employees, as described above.</w:t>
      </w:r>
    </w:p>
    <w:p>
      <w:pPr>
        <w:spacing w:after="0" w:line="1" w:lineRule="exact"/>
        <w:rPr>
          <w:rFonts w:ascii="Arial" w:cs="Arial" w:eastAsia="Arial" w:hAnsi="Arial"/>
          <w:sz w:val="13"/>
          <w:szCs w:val="13"/>
          <w:color w:val="auto"/>
        </w:rPr>
      </w:pPr>
    </w:p>
    <w:p>
      <w:pPr>
        <w:ind w:left="500" w:right="80" w:hanging="254"/>
        <w:spacing w:after="0" w:line="260" w:lineRule="auto"/>
        <w:tabs>
          <w:tab w:leader="none" w:pos="5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For Mr. Valle, tax equalization was related to business travel to Canada. Tax equalization payments are made pursuant to our expatriate, global mobility, and tax equalization (“TEQ”) policies and are designed to avoid an undue tax burden on the employee due to business travel, relocation, or an expatriate assignment.</w:t>
      </w:r>
    </w:p>
    <w:p>
      <w:pPr>
        <w:ind w:left="500" w:hanging="254"/>
        <w:spacing w:after="0"/>
        <w:tabs>
          <w:tab w:leader="none" w:pos="5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Mr. Van de Put, Mr. Zaramella, and Mr. Renaud received tax preparation services during 2025 from the Company-selected tax services provider.</w:t>
      </w:r>
    </w:p>
    <w:p>
      <w:pPr>
        <w:spacing w:after="0" w:line="12" w:lineRule="exact"/>
        <w:rPr>
          <w:rFonts w:ascii="Arial" w:cs="Arial" w:eastAsia="Arial" w:hAnsi="Arial"/>
          <w:sz w:val="13"/>
          <w:szCs w:val="13"/>
          <w:color w:val="auto"/>
        </w:rPr>
      </w:pPr>
    </w:p>
    <w:p>
      <w:pPr>
        <w:ind w:left="500" w:right="120" w:hanging="254"/>
        <w:spacing w:after="0" w:line="298" w:lineRule="auto"/>
        <w:tabs>
          <w:tab w:leader="none" w:pos="5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Mr. Van de Put, Mr. Zaramella, and Mr. Renaud received tax gross-ups in connection with the tax preparation services from the Company-selected tax services provider. We provide tax preparation services and the related tax gross-up in recognition of the tax complexities imposed by the Company on the NEOs due to their significant international business-related travel and/or prior expatriate assignments at our request. Mr. Valle received a tax gross-up for taxable income he was required to recognize in connection with his attendance of a Company-sponsored event as the leader of his function, together with certain of his team members. Mr. Kuhn received relocation assistance in connection with his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582C83"/>
        </w:rPr>
        <w:t>86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347345</wp:posOffset>
            </wp:positionV>
            <wp:extent cx="6810375" cy="3436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10375" cy="343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EXECUTIVE COMPENSATION TABLES</w:t>
      </w:r>
    </w:p>
    <w:p>
      <w:pPr>
        <w:spacing w:after="0" w:line="45" w:lineRule="exact"/>
        <w:rPr>
          <w:sz w:val="20"/>
          <w:szCs w:val="20"/>
          <w:color w:val="auto"/>
        </w:rPr>
      </w:pPr>
    </w:p>
    <w:p>
      <w:pPr>
        <w:ind w:left="6740"/>
        <w:spacing w:after="0" w:line="161" w:lineRule="exact"/>
        <w:rPr>
          <w:sz w:val="20"/>
          <w:szCs w:val="20"/>
          <w:color w:val="auto"/>
        </w:rPr>
      </w:pPr>
      <w:r>
        <w:rPr>
          <w:rFonts w:ascii="Arial" w:cs="Arial" w:eastAsia="Arial" w:hAnsi="Arial"/>
          <w:sz w:val="14"/>
          <w:szCs w:val="14"/>
          <w:color w:val="auto"/>
        </w:rPr>
        <w:t>2025 Grants of Plan</w:t>
      </w:r>
      <w:r>
        <w:rPr>
          <w:rFonts w:ascii="MS PGothic" w:cs="MS PGothic" w:eastAsia="MS PGothic" w:hAnsi="MS PGothic"/>
          <w:sz w:val="14"/>
          <w:szCs w:val="14"/>
          <w:color w:val="auto"/>
        </w:rPr>
        <w:t>‑</w:t>
      </w:r>
      <w:r>
        <w:rPr>
          <w:rFonts w:ascii="Arial" w:cs="Arial" w:eastAsia="Arial" w:hAnsi="Arial"/>
          <w:sz w:val="14"/>
          <w:szCs w:val="14"/>
          <w:color w:val="auto"/>
        </w:rPr>
        <w:t>Based Awards</w:t>
      </w: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sz w:val="1"/>
          <w:szCs w:val="1"/>
          <w:color w:val="auto"/>
        </w:rPr>
        <w:drawing>
          <wp:inline distT="0" distB="0" distL="0" distR="0">
            <wp:extent cx="162560" cy="16256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9"/>
          <w:szCs w:val="29"/>
          <w:b w:val="1"/>
          <w:bCs w:val="1"/>
          <w:color w:val="auto"/>
        </w:rPr>
        <w:t xml:space="preserve"> 2025 GRANTS OF PLAN-BASED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w w:val="99"/>
              </w:rPr>
              <w:t>Threshold</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Target</w:t>
            </w:r>
          </w:p>
        </w:tc>
        <w:tc>
          <w:tcPr>
            <w:tcW w:w="700" w:type="dxa"/>
            <w:vAlign w:val="bottom"/>
          </w:tcPr>
          <w:p>
            <w:pPr>
              <w:jc w:val="right"/>
              <w:ind w:right="18"/>
              <w:spacing w:after="0"/>
              <w:rPr>
                <w:sz w:val="20"/>
                <w:szCs w:val="20"/>
                <w:color w:val="auto"/>
              </w:rPr>
            </w:pPr>
            <w:r>
              <w:rPr>
                <w:rFonts w:ascii="Arial" w:cs="Arial" w:eastAsia="Arial" w:hAnsi="Arial"/>
                <w:sz w:val="12"/>
                <w:szCs w:val="12"/>
                <w:b w:val="1"/>
                <w:bCs w:val="1"/>
                <w:color w:val="auto"/>
              </w:rPr>
              <w:t>Maximum</w:t>
            </w: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Threshold</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Target</w:t>
            </w:r>
          </w:p>
        </w:tc>
        <w:tc>
          <w:tcPr>
            <w:tcW w:w="820" w:type="dxa"/>
            <w:vAlign w:val="bottom"/>
          </w:tcPr>
          <w:p>
            <w:pPr>
              <w:jc w:val="right"/>
              <w:ind w:right="178"/>
              <w:spacing w:after="0"/>
              <w:rPr>
                <w:sz w:val="20"/>
                <w:szCs w:val="20"/>
                <w:color w:val="auto"/>
              </w:rPr>
            </w:pPr>
            <w:r>
              <w:rPr>
                <w:rFonts w:ascii="Arial" w:cs="Arial" w:eastAsia="Arial" w:hAnsi="Arial"/>
                <w:sz w:val="12"/>
                <w:szCs w:val="12"/>
                <w:b w:val="1"/>
                <w:bCs w:val="1"/>
                <w:color w:val="auto"/>
              </w:rPr>
              <w:t>Maximum</w:t>
            </w: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0"/>
        </w:trPr>
        <w:tc>
          <w:tcPr>
            <w:tcW w:w="74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Grant Date</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Grant Type</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700" w:type="dxa"/>
            <w:vAlign w:val="bottom"/>
          </w:tcPr>
          <w:p>
            <w:pPr>
              <w:jc w:val="right"/>
              <w:ind w:right="18"/>
              <w:spacing w:after="0"/>
              <w:rPr>
                <w:sz w:val="20"/>
                <w:szCs w:val="20"/>
                <w:color w:val="auto"/>
              </w:rPr>
            </w:pPr>
            <w:r>
              <w:rPr>
                <w:rFonts w:ascii="Arial" w:cs="Arial" w:eastAsia="Arial" w:hAnsi="Arial"/>
                <w:sz w:val="12"/>
                <w:szCs w:val="12"/>
                <w:b w:val="1"/>
                <w:bCs w:val="1"/>
                <w:color w:val="auto"/>
              </w:rPr>
              <w:t>($)</w:t>
            </w: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20" w:type="dxa"/>
            <w:vAlign w:val="bottom"/>
          </w:tcPr>
          <w:p>
            <w:pPr>
              <w:jc w:val="right"/>
              <w:ind w:right="178"/>
              <w:spacing w:after="0"/>
              <w:rPr>
                <w:sz w:val="20"/>
                <w:szCs w:val="20"/>
                <w:color w:val="auto"/>
              </w:rPr>
            </w:pPr>
            <w:r>
              <w:rPr>
                <w:rFonts w:ascii="Arial" w:cs="Arial" w:eastAsia="Arial" w:hAnsi="Arial"/>
                <w:sz w:val="12"/>
                <w:szCs w:val="12"/>
                <w:b w:val="1"/>
                <w:bCs w:val="1"/>
                <w:color w:val="auto"/>
              </w:rPr>
              <w:t>(#)</w:t>
            </w: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6"/>
        </w:trPr>
        <w:tc>
          <w:tcPr>
            <w:tcW w:w="740" w:type="dxa"/>
            <w:vAlign w:val="bottom"/>
          </w:tcPr>
          <w:p>
            <w:pPr>
              <w:spacing w:after="0"/>
              <w:rPr>
                <w:sz w:val="20"/>
                <w:szCs w:val="20"/>
                <w:color w:val="auto"/>
              </w:rPr>
            </w:pPr>
            <w:r>
              <w:rPr>
                <w:rFonts w:ascii="Arial" w:cs="Arial" w:eastAsia="Arial" w:hAnsi="Arial"/>
                <w:sz w:val="13"/>
                <w:szCs w:val="13"/>
                <w:b w:val="1"/>
                <w:bCs w:val="1"/>
                <w:color w:val="auto"/>
              </w:rPr>
              <w:t>Van de Put,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AIP</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3,300,000</w:t>
            </w: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6,600,000</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4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740" w:type="dxa"/>
            <w:vAlign w:val="bottom"/>
          </w:tcPr>
          <w:p>
            <w:pPr>
              <w:spacing w:after="0"/>
              <w:rPr>
                <w:sz w:val="20"/>
                <w:szCs w:val="20"/>
                <w:color w:val="auto"/>
              </w:rPr>
            </w:pPr>
            <w:r>
              <w:rPr>
                <w:rFonts w:ascii="Arial" w:cs="Arial" w:eastAsia="Arial" w:hAnsi="Arial"/>
                <w:sz w:val="13"/>
                <w:szCs w:val="13"/>
                <w:b w:val="1"/>
                <w:bCs w:val="1"/>
                <w:color w:val="auto"/>
              </w:rPr>
              <w:t>Dirk</w:t>
            </w:r>
          </w:p>
        </w:tc>
        <w:tc>
          <w:tcPr>
            <w:tcW w:w="760" w:type="dxa"/>
            <w:vAlign w:val="bottom"/>
          </w:tcPr>
          <w:p>
            <w:pPr>
              <w:jc w:val="right"/>
              <w:spacing w:after="0"/>
              <w:rPr>
                <w:sz w:val="20"/>
                <w:szCs w:val="20"/>
                <w:color w:val="auto"/>
              </w:rPr>
            </w:pPr>
            <w:r>
              <w:rPr>
                <w:rFonts w:ascii="Arial" w:cs="Arial" w:eastAsia="Arial" w:hAnsi="Arial"/>
                <w:sz w:val="13"/>
                <w:szCs w:val="13"/>
                <w:color w:val="auto"/>
              </w:rPr>
              <w:t>03/17/2025</w:t>
            </w:r>
          </w:p>
        </w:tc>
        <w:tc>
          <w:tcPr>
            <w:tcW w:w="900" w:type="dxa"/>
            <w:vAlign w:val="bottom"/>
          </w:tcPr>
          <w:p>
            <w:pPr>
              <w:jc w:val="right"/>
              <w:spacing w:after="0"/>
              <w:rPr>
                <w:sz w:val="20"/>
                <w:szCs w:val="20"/>
                <w:color w:val="auto"/>
              </w:rPr>
            </w:pPr>
            <w:r>
              <w:rPr>
                <w:rFonts w:ascii="Arial" w:cs="Arial" w:eastAsia="Arial" w:hAnsi="Arial"/>
                <w:sz w:val="13"/>
                <w:szCs w:val="13"/>
                <w:color w:val="auto"/>
              </w:rPr>
              <w:t>Performance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104,550</w:t>
            </w:r>
          </w:p>
        </w:tc>
        <w:tc>
          <w:tcPr>
            <w:tcW w:w="560" w:type="dxa"/>
            <w:vAlign w:val="bottom"/>
          </w:tcPr>
          <w:p>
            <w:pPr>
              <w:jc w:val="right"/>
              <w:spacing w:after="0"/>
              <w:rPr>
                <w:sz w:val="20"/>
                <w:szCs w:val="20"/>
                <w:color w:val="auto"/>
              </w:rPr>
            </w:pPr>
            <w:r>
              <w:rPr>
                <w:rFonts w:ascii="Arial" w:cs="Arial" w:eastAsia="Arial" w:hAnsi="Arial"/>
                <w:sz w:val="13"/>
                <w:szCs w:val="13"/>
                <w:color w:val="auto"/>
              </w:rPr>
              <w:t>209,100</w:t>
            </w:r>
          </w:p>
        </w:tc>
        <w:tc>
          <w:tcPr>
            <w:tcW w:w="820" w:type="dxa"/>
            <w:vAlign w:val="bottom"/>
          </w:tcPr>
          <w:p>
            <w:pPr>
              <w:jc w:val="right"/>
              <w:ind w:right="178"/>
              <w:spacing w:after="0"/>
              <w:rPr>
                <w:sz w:val="20"/>
                <w:szCs w:val="20"/>
                <w:color w:val="auto"/>
              </w:rPr>
            </w:pPr>
            <w:r>
              <w:rPr>
                <w:rFonts w:ascii="Arial" w:cs="Arial" w:eastAsia="Arial" w:hAnsi="Arial"/>
                <w:sz w:val="13"/>
                <w:szCs w:val="13"/>
                <w:color w:val="auto"/>
              </w:rPr>
              <w:t>418,200</w:t>
            </w:r>
          </w:p>
        </w:tc>
        <w:tc>
          <w:tcPr>
            <w:tcW w:w="4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14,530,359</w:t>
            </w:r>
          </w:p>
        </w:tc>
      </w:tr>
      <w:tr>
        <w:trPr>
          <w:trHeight w:val="166"/>
        </w:trPr>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Share Units</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16"/>
        </w:trPr>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03/17/2025</w:t>
            </w:r>
          </w:p>
        </w:tc>
        <w:tc>
          <w:tcPr>
            <w:tcW w:w="900" w:type="dxa"/>
            <w:vAlign w:val="bottom"/>
          </w:tcPr>
          <w:p>
            <w:pPr>
              <w:jc w:val="right"/>
              <w:spacing w:after="0"/>
              <w:rPr>
                <w:sz w:val="20"/>
                <w:szCs w:val="20"/>
                <w:color w:val="auto"/>
              </w:rPr>
            </w:pPr>
            <w:r>
              <w:rPr>
                <w:rFonts w:ascii="Arial" w:cs="Arial" w:eastAsia="Arial" w:hAnsi="Arial"/>
                <w:sz w:val="13"/>
                <w:szCs w:val="13"/>
                <w:color w:val="auto"/>
              </w:rPr>
              <w:t>Stock Options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4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348,500</w:t>
            </w:r>
          </w:p>
        </w:tc>
        <w:tc>
          <w:tcPr>
            <w:tcW w:w="520" w:type="dxa"/>
            <w:vAlign w:val="bottom"/>
          </w:tcPr>
          <w:p>
            <w:pPr>
              <w:jc w:val="right"/>
              <w:spacing w:after="0"/>
              <w:rPr>
                <w:sz w:val="20"/>
                <w:szCs w:val="20"/>
                <w:color w:val="auto"/>
              </w:rPr>
            </w:pPr>
            <w:r>
              <w:rPr>
                <w:rFonts w:ascii="Arial" w:cs="Arial" w:eastAsia="Arial" w:hAnsi="Arial"/>
                <w:sz w:val="13"/>
                <w:szCs w:val="13"/>
                <w:color w:val="auto"/>
              </w:rPr>
              <w:t>65.09</w:t>
            </w:r>
          </w:p>
        </w:tc>
        <w:tc>
          <w:tcPr>
            <w:tcW w:w="700" w:type="dxa"/>
            <w:vAlign w:val="bottom"/>
          </w:tcPr>
          <w:p>
            <w:pPr>
              <w:jc w:val="right"/>
              <w:spacing w:after="0"/>
              <w:rPr>
                <w:sz w:val="20"/>
                <w:szCs w:val="20"/>
                <w:color w:val="auto"/>
              </w:rPr>
            </w:pPr>
            <w:r>
              <w:rPr>
                <w:rFonts w:ascii="Arial" w:cs="Arial" w:eastAsia="Arial" w:hAnsi="Arial"/>
                <w:sz w:val="13"/>
                <w:szCs w:val="13"/>
                <w:color w:val="auto"/>
              </w:rPr>
              <w:t>4,401,555</w:t>
            </w:r>
          </w:p>
        </w:tc>
      </w:tr>
      <w:tr>
        <w:trPr>
          <w:trHeight w:val="185"/>
        </w:trPr>
        <w:tc>
          <w:tcPr>
            <w:tcW w:w="740" w:type="dxa"/>
            <w:vAlign w:val="bottom"/>
          </w:tcPr>
          <w:p>
            <w:pPr>
              <w:spacing w:after="0"/>
              <w:rPr>
                <w:sz w:val="20"/>
                <w:szCs w:val="20"/>
                <w:color w:val="auto"/>
              </w:rPr>
            </w:pPr>
            <w:r>
              <w:rPr>
                <w:rFonts w:ascii="Arial" w:cs="Arial" w:eastAsia="Arial" w:hAnsi="Arial"/>
                <w:sz w:val="13"/>
                <w:szCs w:val="13"/>
                <w:b w:val="1"/>
                <w:bCs w:val="1"/>
                <w:color w:val="auto"/>
              </w:rPr>
              <w:t>Zaramella,</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AIP</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1,560,130</w:t>
            </w: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3,120,260</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4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2"/>
        </w:trPr>
        <w:tc>
          <w:tcPr>
            <w:tcW w:w="740" w:type="dxa"/>
            <w:vAlign w:val="bottom"/>
          </w:tcPr>
          <w:p>
            <w:pPr>
              <w:spacing w:after="0"/>
              <w:rPr>
                <w:sz w:val="20"/>
                <w:szCs w:val="20"/>
                <w:color w:val="auto"/>
              </w:rPr>
            </w:pPr>
            <w:r>
              <w:rPr>
                <w:rFonts w:ascii="Arial" w:cs="Arial" w:eastAsia="Arial" w:hAnsi="Arial"/>
                <w:sz w:val="13"/>
                <w:szCs w:val="13"/>
                <w:b w:val="1"/>
                <w:bCs w:val="1"/>
                <w:color w:val="auto"/>
              </w:rPr>
              <w:t>Luca</w:t>
            </w:r>
          </w:p>
        </w:tc>
        <w:tc>
          <w:tcPr>
            <w:tcW w:w="760" w:type="dxa"/>
            <w:vAlign w:val="bottom"/>
          </w:tcPr>
          <w:p>
            <w:pPr>
              <w:jc w:val="right"/>
              <w:spacing w:after="0"/>
              <w:rPr>
                <w:sz w:val="20"/>
                <w:szCs w:val="20"/>
                <w:color w:val="auto"/>
              </w:rPr>
            </w:pPr>
            <w:r>
              <w:rPr>
                <w:rFonts w:ascii="Arial" w:cs="Arial" w:eastAsia="Arial" w:hAnsi="Arial"/>
                <w:sz w:val="13"/>
                <w:szCs w:val="13"/>
                <w:color w:val="auto"/>
              </w:rPr>
              <w:t>03/17/2025</w:t>
            </w:r>
          </w:p>
        </w:tc>
        <w:tc>
          <w:tcPr>
            <w:tcW w:w="900" w:type="dxa"/>
            <w:vAlign w:val="bottom"/>
          </w:tcPr>
          <w:p>
            <w:pPr>
              <w:jc w:val="right"/>
              <w:spacing w:after="0"/>
              <w:rPr>
                <w:sz w:val="20"/>
                <w:szCs w:val="20"/>
                <w:color w:val="auto"/>
              </w:rPr>
            </w:pPr>
            <w:r>
              <w:rPr>
                <w:rFonts w:ascii="Arial" w:cs="Arial" w:eastAsia="Arial" w:hAnsi="Arial"/>
                <w:sz w:val="13"/>
                <w:szCs w:val="13"/>
                <w:color w:val="auto"/>
              </w:rPr>
              <w:t>Performance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37,175</w:t>
            </w:r>
          </w:p>
        </w:tc>
        <w:tc>
          <w:tcPr>
            <w:tcW w:w="560" w:type="dxa"/>
            <w:vAlign w:val="bottom"/>
          </w:tcPr>
          <w:p>
            <w:pPr>
              <w:jc w:val="right"/>
              <w:spacing w:after="0"/>
              <w:rPr>
                <w:sz w:val="20"/>
                <w:szCs w:val="20"/>
                <w:color w:val="auto"/>
              </w:rPr>
            </w:pPr>
            <w:r>
              <w:rPr>
                <w:rFonts w:ascii="Arial" w:cs="Arial" w:eastAsia="Arial" w:hAnsi="Arial"/>
                <w:sz w:val="13"/>
                <w:szCs w:val="13"/>
                <w:color w:val="auto"/>
              </w:rPr>
              <w:t>74,350</w:t>
            </w:r>
          </w:p>
        </w:tc>
        <w:tc>
          <w:tcPr>
            <w:tcW w:w="820" w:type="dxa"/>
            <w:vAlign w:val="bottom"/>
          </w:tcPr>
          <w:p>
            <w:pPr>
              <w:jc w:val="right"/>
              <w:ind w:right="178"/>
              <w:spacing w:after="0"/>
              <w:rPr>
                <w:sz w:val="20"/>
                <w:szCs w:val="20"/>
                <w:color w:val="auto"/>
              </w:rPr>
            </w:pPr>
            <w:r>
              <w:rPr>
                <w:rFonts w:ascii="Arial" w:cs="Arial" w:eastAsia="Arial" w:hAnsi="Arial"/>
                <w:sz w:val="13"/>
                <w:szCs w:val="13"/>
                <w:color w:val="auto"/>
              </w:rPr>
              <w:t>148,700</w:t>
            </w:r>
          </w:p>
        </w:tc>
        <w:tc>
          <w:tcPr>
            <w:tcW w:w="4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5,166,582</w:t>
            </w:r>
          </w:p>
        </w:tc>
      </w:tr>
      <w:tr>
        <w:trPr>
          <w:trHeight w:val="166"/>
        </w:trPr>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Share Units</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16"/>
        </w:trPr>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03/17/2025</w:t>
            </w:r>
          </w:p>
        </w:tc>
        <w:tc>
          <w:tcPr>
            <w:tcW w:w="900" w:type="dxa"/>
            <w:vAlign w:val="bottom"/>
          </w:tcPr>
          <w:p>
            <w:pPr>
              <w:jc w:val="right"/>
              <w:spacing w:after="0"/>
              <w:rPr>
                <w:sz w:val="20"/>
                <w:szCs w:val="20"/>
                <w:color w:val="auto"/>
              </w:rPr>
            </w:pPr>
            <w:r>
              <w:rPr>
                <w:rFonts w:ascii="Arial" w:cs="Arial" w:eastAsia="Arial" w:hAnsi="Arial"/>
                <w:sz w:val="13"/>
                <w:szCs w:val="13"/>
                <w:color w:val="auto"/>
              </w:rPr>
              <w:t>Stock Options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4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123,910</w:t>
            </w:r>
          </w:p>
        </w:tc>
        <w:tc>
          <w:tcPr>
            <w:tcW w:w="520" w:type="dxa"/>
            <w:vAlign w:val="bottom"/>
          </w:tcPr>
          <w:p>
            <w:pPr>
              <w:jc w:val="right"/>
              <w:spacing w:after="0"/>
              <w:rPr>
                <w:sz w:val="20"/>
                <w:szCs w:val="20"/>
                <w:color w:val="auto"/>
              </w:rPr>
            </w:pPr>
            <w:r>
              <w:rPr>
                <w:rFonts w:ascii="Arial" w:cs="Arial" w:eastAsia="Arial" w:hAnsi="Arial"/>
                <w:sz w:val="13"/>
                <w:szCs w:val="13"/>
                <w:color w:val="auto"/>
              </w:rPr>
              <w:t>65.09</w:t>
            </w:r>
          </w:p>
        </w:tc>
        <w:tc>
          <w:tcPr>
            <w:tcW w:w="700" w:type="dxa"/>
            <w:vAlign w:val="bottom"/>
          </w:tcPr>
          <w:p>
            <w:pPr>
              <w:jc w:val="right"/>
              <w:spacing w:after="0"/>
              <w:rPr>
                <w:sz w:val="20"/>
                <w:szCs w:val="20"/>
                <w:color w:val="auto"/>
              </w:rPr>
            </w:pPr>
            <w:r>
              <w:rPr>
                <w:rFonts w:ascii="Arial" w:cs="Arial" w:eastAsia="Arial" w:hAnsi="Arial"/>
                <w:sz w:val="13"/>
                <w:szCs w:val="13"/>
                <w:color w:val="auto"/>
              </w:rPr>
              <w:t>1,564,983</w:t>
            </w:r>
          </w:p>
        </w:tc>
      </w:tr>
    </w:tbl>
    <w:p>
      <w:pPr>
        <w:sectPr>
          <w:pgSz w:w="11900" w:h="16838" w:orient="portrait"/>
          <w:cols w:equalWidth="0" w:num="1">
            <w:col w:w="9020"/>
          </w:cols>
          <w:pgMar w:left="1440" w:top="85" w:right="1439" w:bottom="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ind w:left="60"/>
              <w:spacing w:after="0"/>
              <w:rPr>
                <w:sz w:val="20"/>
                <w:szCs w:val="20"/>
                <w:color w:val="auto"/>
              </w:rPr>
            </w:pPr>
            <w:r>
              <w:rPr>
                <w:rFonts w:ascii="Arial" w:cs="Arial" w:eastAsia="Arial" w:hAnsi="Arial"/>
                <w:sz w:val="13"/>
                <w:szCs w:val="13"/>
                <w:b w:val="1"/>
                <w:bCs w:val="1"/>
                <w:color w:val="auto"/>
              </w:rPr>
              <w:t>Kuhn,</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AIP</w:t>
            </w:r>
          </w:p>
        </w:tc>
        <w:tc>
          <w:tcPr>
            <w:tcW w:w="680" w:type="dxa"/>
            <w:vAlign w:val="bottom"/>
          </w:tcPr>
          <w:p>
            <w:pPr>
              <w:jc w:val="center"/>
              <w:ind w:left="383"/>
              <w:spacing w:after="0"/>
              <w:rPr>
                <w:sz w:val="20"/>
                <w:szCs w:val="20"/>
                <w:color w:val="auto"/>
              </w:rPr>
            </w:pPr>
            <w:r>
              <w:rPr>
                <w:rFonts w:ascii="Arial" w:cs="Arial" w:eastAsia="Arial" w:hAnsi="Arial"/>
                <w:sz w:val="13"/>
                <w:szCs w:val="13"/>
                <w:color w:val="auto"/>
                <w:w w:val="91"/>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1,254,767</w:t>
            </w:r>
          </w:p>
        </w:tc>
        <w:tc>
          <w:tcPr>
            <w:tcW w:w="660" w:type="dxa"/>
            <w:vAlign w:val="bottom"/>
          </w:tcPr>
          <w:p>
            <w:pPr>
              <w:jc w:val="right"/>
              <w:spacing w:after="0"/>
              <w:rPr>
                <w:sz w:val="20"/>
                <w:szCs w:val="20"/>
                <w:color w:val="auto"/>
              </w:rPr>
            </w:pPr>
            <w:r>
              <w:rPr>
                <w:rFonts w:ascii="Arial" w:cs="Arial" w:eastAsia="Arial" w:hAnsi="Arial"/>
                <w:sz w:val="13"/>
                <w:szCs w:val="13"/>
                <w:color w:val="auto"/>
              </w:rPr>
              <w:t>2,509,534</w:t>
            </w:r>
          </w:p>
        </w:tc>
        <w:tc>
          <w:tcPr>
            <w:tcW w:w="60" w:type="dxa"/>
            <w:vAlign w:val="bottom"/>
          </w:tcPr>
          <w:p>
            <w:pPr>
              <w:spacing w:after="0"/>
              <w:rPr>
                <w:sz w:val="13"/>
                <w:szCs w:val="13"/>
                <w:color w:val="auto"/>
              </w:rPr>
            </w:pPr>
          </w:p>
        </w:tc>
        <w:tc>
          <w:tcPr>
            <w:tcW w:w="700" w:type="dxa"/>
            <w:vAlign w:val="bottom"/>
          </w:tcPr>
          <w:p>
            <w:pPr>
              <w:jc w:val="right"/>
              <w:ind w:right="2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03"/>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8"/>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4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8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Volker</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03/17/2025</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Performance</w:t>
            </w:r>
          </w:p>
        </w:tc>
        <w:tc>
          <w:tcPr>
            <w:tcW w:w="680" w:type="dxa"/>
            <w:vAlign w:val="bottom"/>
            <w:vMerge w:val="restart"/>
          </w:tcPr>
          <w:p>
            <w:pPr>
              <w:jc w:val="center"/>
              <w:ind w:left="383"/>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5"/>
                <w:szCs w:val="5"/>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23"/>
              <w:spacing w:after="0"/>
              <w:rPr>
                <w:sz w:val="20"/>
                <w:szCs w:val="20"/>
                <w:color w:val="auto"/>
              </w:rPr>
            </w:pPr>
            <w:r>
              <w:rPr>
                <w:rFonts w:ascii="Arial" w:cs="Arial" w:eastAsia="Arial" w:hAnsi="Arial"/>
                <w:sz w:val="13"/>
                <w:szCs w:val="13"/>
                <w:color w:val="auto"/>
              </w:rPr>
              <w:t>27,105</w:t>
            </w:r>
          </w:p>
        </w:tc>
        <w:tc>
          <w:tcPr>
            <w:tcW w:w="640" w:type="dxa"/>
            <w:vAlign w:val="bottom"/>
            <w:vMerge w:val="restart"/>
          </w:tcPr>
          <w:p>
            <w:pPr>
              <w:jc w:val="right"/>
              <w:ind w:right="103"/>
              <w:spacing w:after="0"/>
              <w:rPr>
                <w:sz w:val="20"/>
                <w:szCs w:val="20"/>
                <w:color w:val="auto"/>
              </w:rPr>
            </w:pPr>
            <w:r>
              <w:rPr>
                <w:rFonts w:ascii="Arial" w:cs="Arial" w:eastAsia="Arial" w:hAnsi="Arial"/>
                <w:sz w:val="13"/>
                <w:szCs w:val="13"/>
                <w:color w:val="auto"/>
              </w:rPr>
              <w:t>54,210</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w w:val="93"/>
              </w:rPr>
              <w:t>108,420</w:t>
            </w:r>
          </w:p>
        </w:tc>
        <w:tc>
          <w:tcPr>
            <w:tcW w:w="620" w:type="dxa"/>
            <w:vAlign w:val="bottom"/>
          </w:tcPr>
          <w:p>
            <w:pPr>
              <w:jc w:val="right"/>
              <w:ind w:right="10"/>
              <w:spacing w:after="0" w:line="68" w:lineRule="exact"/>
              <w:rPr>
                <w:sz w:val="20"/>
                <w:szCs w:val="20"/>
                <w:color w:val="auto"/>
              </w:rPr>
            </w:pPr>
            <w:r>
              <w:rPr>
                <w:rFonts w:ascii="Arial" w:cs="Arial" w:eastAsia="Arial" w:hAnsi="Arial"/>
                <w:sz w:val="7"/>
                <w:szCs w:val="7"/>
                <w:b w:val="1"/>
                <w:bCs w:val="1"/>
                <w:color w:val="auto"/>
              </w:rPr>
              <w:t>All Other</w:t>
            </w:r>
          </w:p>
        </w:tc>
        <w:tc>
          <w:tcPr>
            <w:tcW w:w="720" w:type="dxa"/>
            <w:vAlign w:val="bottom"/>
            <w:vMerge w:val="restart"/>
          </w:tcPr>
          <w:p>
            <w:pPr>
              <w:jc w:val="right"/>
              <w:ind w:right="8"/>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4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3,767,053</w:t>
            </w: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20" w:type="dxa"/>
            <w:vAlign w:val="bottom"/>
          </w:tcPr>
          <w:p>
            <w:pPr>
              <w:jc w:val="right"/>
              <w:ind w:right="10"/>
              <w:spacing w:after="0" w:line="81" w:lineRule="exact"/>
              <w:rPr>
                <w:sz w:val="20"/>
                <w:szCs w:val="20"/>
                <w:color w:val="auto"/>
              </w:rPr>
            </w:pPr>
            <w:r>
              <w:rPr>
                <w:rFonts w:ascii="Arial" w:cs="Arial" w:eastAsia="Arial" w:hAnsi="Arial"/>
                <w:sz w:val="9"/>
                <w:szCs w:val="9"/>
                <w:color w:val="auto"/>
              </w:rPr>
              <w:t>—</w:t>
            </w: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Share Units</w:t>
            </w: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jc w:val="right"/>
              <w:ind w:right="10"/>
              <w:spacing w:after="0" w:line="85" w:lineRule="exact"/>
              <w:rPr>
                <w:sz w:val="20"/>
                <w:szCs w:val="20"/>
                <w:color w:val="auto"/>
              </w:rPr>
            </w:pPr>
            <w:r>
              <w:rPr>
                <w:rFonts w:ascii="Arial" w:cs="Arial" w:eastAsia="Arial" w:hAnsi="Arial"/>
                <w:sz w:val="9"/>
                <w:szCs w:val="9"/>
                <w:b w:val="1"/>
                <w:bCs w:val="1"/>
                <w:color w:val="auto"/>
              </w:rPr>
              <w:t>Stock</w:t>
            </w:r>
          </w:p>
        </w:tc>
        <w:tc>
          <w:tcPr>
            <w:tcW w:w="720" w:type="dxa"/>
            <w:vAlign w:val="bottom"/>
          </w:tcPr>
          <w:p>
            <w:pPr>
              <w:jc w:val="right"/>
              <w:ind w:right="8"/>
              <w:spacing w:after="0" w:line="85" w:lineRule="exact"/>
              <w:rPr>
                <w:sz w:val="20"/>
                <w:szCs w:val="20"/>
                <w:color w:val="auto"/>
              </w:rPr>
            </w:pPr>
            <w:r>
              <w:rPr>
                <w:rFonts w:ascii="Arial" w:cs="Arial" w:eastAsia="Arial" w:hAnsi="Arial"/>
                <w:sz w:val="9"/>
                <w:szCs w:val="9"/>
                <w:b w:val="1"/>
                <w:bCs w:val="1"/>
                <w:color w:val="auto"/>
              </w:rPr>
              <w:t>All Other</w:t>
            </w: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vMerge w:val="restart"/>
          </w:tcPr>
          <w:p>
            <w:pPr>
              <w:jc w:val="right"/>
              <w:ind w:right="10"/>
              <w:spacing w:after="0" w:line="135" w:lineRule="exact"/>
              <w:rPr>
                <w:sz w:val="20"/>
                <w:szCs w:val="20"/>
                <w:color w:val="auto"/>
              </w:rPr>
            </w:pPr>
            <w:r>
              <w:rPr>
                <w:rFonts w:ascii="Arial" w:cs="Arial" w:eastAsia="Arial" w:hAnsi="Arial"/>
                <w:sz w:val="12"/>
                <w:szCs w:val="12"/>
                <w:b w:val="1"/>
                <w:bCs w:val="1"/>
                <w:color w:val="auto"/>
              </w:rPr>
              <w:t>Awards:</w:t>
            </w:r>
          </w:p>
        </w:tc>
        <w:tc>
          <w:tcPr>
            <w:tcW w:w="720" w:type="dxa"/>
            <w:vAlign w:val="bottom"/>
            <w:vMerge w:val="restart"/>
          </w:tcPr>
          <w:p>
            <w:pPr>
              <w:jc w:val="right"/>
              <w:ind w:right="8"/>
              <w:spacing w:after="0" w:line="135" w:lineRule="exact"/>
              <w:rPr>
                <w:sz w:val="20"/>
                <w:szCs w:val="20"/>
                <w:color w:val="auto"/>
              </w:rPr>
            </w:pPr>
            <w:r>
              <w:rPr>
                <w:rFonts w:ascii="Arial" w:cs="Arial" w:eastAsia="Arial" w:hAnsi="Arial"/>
                <w:sz w:val="12"/>
                <w:szCs w:val="12"/>
                <w:b w:val="1"/>
                <w:bCs w:val="1"/>
                <w:color w:val="auto"/>
              </w:rPr>
              <w:t>Option</w:t>
            </w:r>
          </w:p>
        </w:tc>
        <w:tc>
          <w:tcPr>
            <w:tcW w:w="660" w:type="dxa"/>
            <w:vAlign w:val="bottom"/>
          </w:tcPr>
          <w:p>
            <w:pPr>
              <w:spacing w:after="0"/>
              <w:rPr>
                <w:sz w:val="9"/>
                <w:szCs w:val="9"/>
                <w:color w:val="auto"/>
              </w:rPr>
            </w:pPr>
          </w:p>
        </w:tc>
        <w:tc>
          <w:tcPr>
            <w:tcW w:w="700" w:type="dxa"/>
            <w:vAlign w:val="bottom"/>
            <w:vMerge w:val="restart"/>
          </w:tcPr>
          <w:p>
            <w:pPr>
              <w:jc w:val="right"/>
              <w:spacing w:after="0" w:line="135" w:lineRule="exact"/>
              <w:rPr>
                <w:sz w:val="20"/>
                <w:szCs w:val="20"/>
                <w:color w:val="auto"/>
              </w:rPr>
            </w:pPr>
            <w:r>
              <w:rPr>
                <w:rFonts w:ascii="Arial" w:cs="Arial" w:eastAsia="Arial" w:hAnsi="Arial"/>
                <w:sz w:val="12"/>
                <w:szCs w:val="12"/>
                <w:b w:val="1"/>
                <w:bCs w:val="1"/>
                <w:color w:val="auto"/>
              </w:rPr>
              <w:t>Grant</w:t>
            </w:r>
          </w:p>
        </w:tc>
        <w:tc>
          <w:tcPr>
            <w:tcW w:w="0" w:type="dxa"/>
            <w:vAlign w:val="bottom"/>
          </w:tcPr>
          <w:p>
            <w:pPr>
              <w:spacing w:after="0"/>
              <w:rPr>
                <w:sz w:val="1"/>
                <w:szCs w:val="1"/>
                <w:color w:val="auto"/>
              </w:rPr>
            </w:pPr>
          </w:p>
        </w:tc>
      </w:tr>
      <w:tr>
        <w:trPr>
          <w:trHeight w:val="31"/>
        </w:trPr>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03/17/2025</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Stock Options</w:t>
            </w:r>
          </w:p>
        </w:tc>
        <w:tc>
          <w:tcPr>
            <w:tcW w:w="680" w:type="dxa"/>
            <w:vAlign w:val="bottom"/>
            <w:vMerge w:val="restart"/>
          </w:tcPr>
          <w:p>
            <w:pPr>
              <w:jc w:val="center"/>
              <w:ind w:left="383"/>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23"/>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103"/>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0"/>
              <w:spacing w:after="0" w:line="118"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jc w:val="right"/>
              <w:ind w:right="8"/>
              <w:spacing w:after="0" w:line="118" w:lineRule="exact"/>
              <w:rPr>
                <w:sz w:val="20"/>
                <w:szCs w:val="20"/>
                <w:color w:val="auto"/>
              </w:rPr>
            </w:pPr>
            <w:r>
              <w:rPr>
                <w:rFonts w:ascii="Arial" w:cs="Arial" w:eastAsia="Arial" w:hAnsi="Arial"/>
                <w:sz w:val="12"/>
                <w:szCs w:val="12"/>
                <w:b w:val="1"/>
                <w:bCs w:val="1"/>
                <w:color w:val="auto"/>
              </w:rPr>
              <w:t>Awards:</w:t>
            </w:r>
          </w:p>
        </w:tc>
        <w:tc>
          <w:tcPr>
            <w:tcW w:w="660" w:type="dxa"/>
            <w:vAlign w:val="bottom"/>
            <w:vMerge w:val="restart"/>
          </w:tcPr>
          <w:p>
            <w:pPr>
              <w:jc w:val="right"/>
              <w:ind w:right="47"/>
              <w:spacing w:after="0"/>
              <w:rPr>
                <w:sz w:val="20"/>
                <w:szCs w:val="20"/>
                <w:color w:val="auto"/>
              </w:rPr>
            </w:pPr>
            <w:r>
              <w:rPr>
                <w:rFonts w:ascii="Arial" w:cs="Arial" w:eastAsia="Arial" w:hAnsi="Arial"/>
                <w:sz w:val="13"/>
                <w:szCs w:val="13"/>
                <w:color w:val="auto"/>
              </w:rPr>
              <w:t>65.09</w:t>
            </w:r>
          </w:p>
        </w:tc>
        <w:tc>
          <w:tcPr>
            <w:tcW w:w="700" w:type="dxa"/>
            <w:vAlign w:val="bottom"/>
          </w:tcPr>
          <w:p>
            <w:pPr>
              <w:jc w:val="right"/>
              <w:spacing w:after="0" w:line="118" w:lineRule="exact"/>
              <w:rPr>
                <w:sz w:val="20"/>
                <w:szCs w:val="20"/>
                <w:color w:val="auto"/>
              </w:rPr>
            </w:pPr>
            <w:r>
              <w:rPr>
                <w:rFonts w:ascii="Arial" w:cs="Arial" w:eastAsia="Arial" w:hAnsi="Arial"/>
                <w:sz w:val="12"/>
                <w:szCs w:val="12"/>
                <w:b w:val="1"/>
                <w:bCs w:val="1"/>
                <w:color w:val="auto"/>
              </w:rPr>
              <w:t>Date Fair</w:t>
            </w:r>
          </w:p>
        </w:tc>
        <w:tc>
          <w:tcPr>
            <w:tcW w:w="0" w:type="dxa"/>
            <w:vAlign w:val="bottom"/>
          </w:tcPr>
          <w:p>
            <w:pPr>
              <w:spacing w:after="0"/>
              <w:rPr>
                <w:sz w:val="1"/>
                <w:szCs w:val="1"/>
                <w:color w:val="auto"/>
              </w:rPr>
            </w:pPr>
          </w:p>
        </w:tc>
      </w:tr>
      <w:tr>
        <w:trPr>
          <w:trHeight w:val="31"/>
        </w:trPr>
        <w:tc>
          <w:tcPr>
            <w:tcW w:w="8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620" w:type="dxa"/>
            <w:vAlign w:val="bottom"/>
          </w:tcPr>
          <w:p>
            <w:pPr>
              <w:jc w:val="right"/>
              <w:ind w:right="10"/>
              <w:spacing w:after="0" w:line="31" w:lineRule="exact"/>
              <w:rPr>
                <w:sz w:val="20"/>
                <w:szCs w:val="20"/>
                <w:color w:val="auto"/>
              </w:rPr>
            </w:pPr>
            <w:r>
              <w:rPr>
                <w:rFonts w:ascii="Arial" w:cs="Arial" w:eastAsia="Arial" w:hAnsi="Arial"/>
                <w:sz w:val="3"/>
                <w:szCs w:val="3"/>
                <w:color w:val="auto"/>
              </w:rPr>
              <w:t>—</w:t>
            </w:r>
          </w:p>
        </w:tc>
        <w:tc>
          <w:tcPr>
            <w:tcW w:w="720" w:type="dxa"/>
            <w:vAlign w:val="bottom"/>
          </w:tcPr>
          <w:p>
            <w:pPr>
              <w:jc w:val="right"/>
              <w:ind w:right="8"/>
              <w:spacing w:after="0" w:line="31" w:lineRule="exact"/>
              <w:rPr>
                <w:sz w:val="20"/>
                <w:szCs w:val="20"/>
                <w:color w:val="auto"/>
              </w:rPr>
            </w:pPr>
            <w:r>
              <w:rPr>
                <w:rFonts w:ascii="Arial" w:cs="Arial" w:eastAsia="Arial" w:hAnsi="Arial"/>
                <w:sz w:val="3"/>
                <w:szCs w:val="3"/>
                <w:color w:val="auto"/>
              </w:rPr>
              <w:t>90,350</w:t>
            </w:r>
          </w:p>
        </w:tc>
        <w:tc>
          <w:tcPr>
            <w:tcW w:w="660" w:type="dxa"/>
            <w:vAlign w:val="bottom"/>
            <w:vMerge w:val="continue"/>
          </w:tcPr>
          <w:p>
            <w:pPr>
              <w:spacing w:after="0"/>
              <w:rPr>
                <w:sz w:val="2"/>
                <w:szCs w:val="2"/>
                <w:color w:val="auto"/>
              </w:rPr>
            </w:pPr>
          </w:p>
        </w:tc>
        <w:tc>
          <w:tcPr>
            <w:tcW w:w="700" w:type="dxa"/>
            <w:vAlign w:val="bottom"/>
          </w:tcPr>
          <w:p>
            <w:pPr>
              <w:jc w:val="right"/>
              <w:spacing w:after="0" w:line="31" w:lineRule="exact"/>
              <w:rPr>
                <w:sz w:val="20"/>
                <w:szCs w:val="20"/>
                <w:color w:val="auto"/>
              </w:rPr>
            </w:pPr>
            <w:r>
              <w:rPr>
                <w:rFonts w:ascii="Arial" w:cs="Arial" w:eastAsia="Arial" w:hAnsi="Arial"/>
                <w:sz w:val="3"/>
                <w:szCs w:val="3"/>
                <w:color w:val="auto"/>
              </w:rPr>
              <w:t>1,141,121</w:t>
            </w:r>
          </w:p>
        </w:tc>
        <w:tc>
          <w:tcPr>
            <w:tcW w:w="0" w:type="dxa"/>
            <w:vAlign w:val="bottom"/>
          </w:tcPr>
          <w:p>
            <w:pPr>
              <w:spacing w:after="0" w:line="20" w:lineRule="exact"/>
              <w:rPr>
                <w:sz w:val="1"/>
                <w:szCs w:val="1"/>
                <w:color w:val="auto"/>
              </w:rPr>
            </w:pPr>
          </w:p>
        </w:tc>
      </w:tr>
      <w:tr>
        <w:trPr>
          <w:trHeight w:val="118"/>
        </w:trPr>
        <w:tc>
          <w:tcPr>
            <w:tcW w:w="8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04/01/2025</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Deferred</w:t>
            </w:r>
          </w:p>
        </w:tc>
        <w:tc>
          <w:tcPr>
            <w:tcW w:w="860" w:type="dxa"/>
            <w:vAlign w:val="bottom"/>
            <w:gridSpan w:val="2"/>
            <w:vMerge w:val="restart"/>
          </w:tcPr>
          <w:p>
            <w:pPr>
              <w:jc w:val="center"/>
              <w:ind w:left="203"/>
              <w:spacing w:after="0"/>
              <w:rPr>
                <w:sz w:val="20"/>
                <w:szCs w:val="20"/>
                <w:color w:val="auto"/>
              </w:rPr>
            </w:pPr>
            <w:r>
              <w:rPr>
                <w:rFonts w:ascii="Arial" w:cs="Arial" w:eastAsia="Arial" w:hAnsi="Arial"/>
                <w:sz w:val="12"/>
                <w:szCs w:val="12"/>
                <w:b w:val="1"/>
                <w:bCs w:val="1"/>
                <w:color w:val="auto"/>
                <w:w w:val="80"/>
              </w:rPr>
              <w:t>Estimated</w:t>
            </w:r>
            <w:r>
              <w:rPr>
                <w:rFonts w:ascii="Arial" w:cs="Arial" w:eastAsia="Arial" w:hAnsi="Arial"/>
                <w:sz w:val="12"/>
                <w:szCs w:val="12"/>
                <w:color w:val="auto"/>
                <w:w w:val="80"/>
              </w:rPr>
              <w:t>—</w:t>
            </w:r>
          </w:p>
        </w:tc>
        <w:tc>
          <w:tcPr>
            <w:tcW w:w="12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Future</w:t>
            </w:r>
            <w:r>
              <w:rPr>
                <w:rFonts w:ascii="Arial" w:cs="Arial" w:eastAsia="Arial" w:hAnsi="Arial"/>
                <w:sz w:val="12"/>
                <w:szCs w:val="12"/>
                <w:color w:val="auto"/>
              </w:rPr>
              <w:t>—</w:t>
            </w:r>
            <w:r>
              <w:rPr>
                <w:rFonts w:ascii="Arial" w:cs="Arial" w:eastAsia="Arial" w:hAnsi="Arial"/>
                <w:sz w:val="12"/>
                <w:szCs w:val="12"/>
                <w:b w:val="1"/>
                <w:bCs w:val="1"/>
                <w:color w:val="auto"/>
              </w:rPr>
              <w:t xml:space="preserve">Payouts  </w:t>
            </w:r>
            <w:r>
              <w:rPr>
                <w:rFonts w:ascii="Arial" w:cs="Arial" w:eastAsia="Arial" w:hAnsi="Arial"/>
                <w:sz w:val="12"/>
                <w:szCs w:val="12"/>
                <w:color w:val="auto"/>
              </w:rPr>
              <w:t>—</w:t>
            </w:r>
          </w:p>
        </w:tc>
        <w:tc>
          <w:tcPr>
            <w:tcW w:w="184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w w:val="94"/>
              </w:rPr>
              <w:t>Estimated</w:t>
            </w:r>
            <w:r>
              <w:rPr>
                <w:rFonts w:ascii="Arial" w:cs="Arial" w:eastAsia="Arial" w:hAnsi="Arial"/>
                <w:sz w:val="12"/>
                <w:szCs w:val="12"/>
                <w:color w:val="auto"/>
                <w:w w:val="94"/>
              </w:rPr>
              <w:t>—</w:t>
            </w:r>
            <w:r>
              <w:rPr>
                <w:rFonts w:ascii="Arial" w:cs="Arial" w:eastAsia="Arial" w:hAnsi="Arial"/>
                <w:sz w:val="12"/>
                <w:szCs w:val="12"/>
                <w:b w:val="1"/>
                <w:bCs w:val="1"/>
                <w:color w:val="auto"/>
                <w:w w:val="94"/>
              </w:rPr>
              <w:t xml:space="preserve"> Future</w:t>
            </w:r>
            <w:r>
              <w:rPr>
                <w:rFonts w:ascii="Arial" w:cs="Arial" w:eastAsia="Arial" w:hAnsi="Arial"/>
                <w:sz w:val="12"/>
                <w:szCs w:val="12"/>
                <w:color w:val="auto"/>
                <w:w w:val="94"/>
              </w:rPr>
              <w:t>—</w:t>
            </w:r>
            <w:r>
              <w:rPr>
                <w:rFonts w:ascii="Arial" w:cs="Arial" w:eastAsia="Arial" w:hAnsi="Arial"/>
                <w:sz w:val="12"/>
                <w:szCs w:val="12"/>
                <w:b w:val="1"/>
                <w:bCs w:val="1"/>
                <w:color w:val="auto"/>
                <w:w w:val="94"/>
              </w:rPr>
              <w:t xml:space="preserve"> Payouts </w:t>
            </w:r>
            <w:r>
              <w:rPr>
                <w:rFonts w:ascii="Arial" w:cs="Arial" w:eastAsia="Arial" w:hAnsi="Arial"/>
                <w:sz w:val="12"/>
                <w:szCs w:val="12"/>
                <w:color w:val="auto"/>
                <w:w w:val="94"/>
              </w:rPr>
              <w:t>—</w:t>
            </w:r>
          </w:p>
        </w:tc>
        <w:tc>
          <w:tcPr>
            <w:tcW w:w="620" w:type="dxa"/>
            <w:vAlign w:val="bottom"/>
          </w:tcPr>
          <w:p>
            <w:pPr>
              <w:jc w:val="right"/>
              <w:ind w:right="10"/>
              <w:spacing w:after="0" w:line="118"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jc w:val="right"/>
              <w:ind w:right="8"/>
              <w:spacing w:after="0" w:line="118"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jc w:val="right"/>
              <w:ind w:right="47"/>
              <w:spacing w:after="0" w:line="118" w:lineRule="exact"/>
              <w:rPr>
                <w:sz w:val="20"/>
                <w:szCs w:val="20"/>
                <w:color w:val="auto"/>
              </w:rPr>
            </w:pPr>
            <w:r>
              <w:rPr>
                <w:rFonts w:ascii="Arial" w:cs="Arial" w:eastAsia="Arial" w:hAnsi="Arial"/>
                <w:sz w:val="12"/>
                <w:szCs w:val="12"/>
                <w:b w:val="1"/>
                <w:bCs w:val="1"/>
                <w:color w:val="auto"/>
              </w:rPr>
              <w:t>Exercise</w:t>
            </w:r>
          </w:p>
        </w:tc>
        <w:tc>
          <w:tcPr>
            <w:tcW w:w="700" w:type="dxa"/>
            <w:vAlign w:val="bottom"/>
          </w:tcPr>
          <w:p>
            <w:pPr>
              <w:jc w:val="right"/>
              <w:ind w:right="9"/>
              <w:spacing w:after="0" w:line="118" w:lineRule="exact"/>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620" w:type="dxa"/>
            <w:vAlign w:val="bottom"/>
          </w:tcPr>
          <w:p>
            <w:pPr>
              <w:jc w:val="right"/>
              <w:ind w:right="10"/>
              <w:spacing w:after="0" w:line="81" w:lineRule="exact"/>
              <w:rPr>
                <w:sz w:val="20"/>
                <w:szCs w:val="20"/>
                <w:color w:val="auto"/>
              </w:rPr>
            </w:pPr>
            <w:r>
              <w:rPr>
                <w:rFonts w:ascii="Arial" w:cs="Arial" w:eastAsia="Arial" w:hAnsi="Arial"/>
                <w:sz w:val="9"/>
                <w:szCs w:val="9"/>
                <w:color w:val="auto"/>
              </w:rPr>
              <w:t>5,130</w:t>
            </w:r>
          </w:p>
        </w:tc>
        <w:tc>
          <w:tcPr>
            <w:tcW w:w="720" w:type="dxa"/>
            <w:vAlign w:val="bottom"/>
          </w:tcPr>
          <w:p>
            <w:pPr>
              <w:jc w:val="right"/>
              <w:ind w:right="8"/>
              <w:spacing w:after="0" w:line="81" w:lineRule="exact"/>
              <w:rPr>
                <w:sz w:val="20"/>
                <w:szCs w:val="20"/>
                <w:color w:val="auto"/>
              </w:rPr>
            </w:pPr>
            <w:r>
              <w:rPr>
                <w:rFonts w:ascii="Arial" w:cs="Arial" w:eastAsia="Arial" w:hAnsi="Arial"/>
                <w:sz w:val="9"/>
                <w:szCs w:val="9"/>
                <w:color w:val="auto"/>
              </w:rPr>
              <w:t>—</w:t>
            </w:r>
          </w:p>
        </w:tc>
        <w:tc>
          <w:tcPr>
            <w:tcW w:w="660" w:type="dxa"/>
            <w:vAlign w:val="bottom"/>
          </w:tcPr>
          <w:p>
            <w:pPr>
              <w:jc w:val="right"/>
              <w:ind w:right="47"/>
              <w:spacing w:after="0" w:line="81" w:lineRule="exact"/>
              <w:rPr>
                <w:sz w:val="20"/>
                <w:szCs w:val="20"/>
                <w:color w:val="auto"/>
              </w:rPr>
            </w:pPr>
            <w:r>
              <w:rPr>
                <w:rFonts w:ascii="Arial" w:cs="Arial" w:eastAsia="Arial" w:hAnsi="Arial"/>
                <w:sz w:val="9"/>
                <w:szCs w:val="9"/>
                <w:color w:val="auto"/>
              </w:rPr>
              <w:t>—</w:t>
            </w:r>
          </w:p>
        </w:tc>
        <w:tc>
          <w:tcPr>
            <w:tcW w:w="700" w:type="dxa"/>
            <w:vAlign w:val="bottom"/>
          </w:tcPr>
          <w:p>
            <w:pPr>
              <w:jc w:val="right"/>
              <w:spacing w:after="0" w:line="81" w:lineRule="exact"/>
              <w:rPr>
                <w:sz w:val="20"/>
                <w:szCs w:val="20"/>
                <w:color w:val="auto"/>
              </w:rPr>
            </w:pPr>
            <w:r>
              <w:rPr>
                <w:rFonts w:ascii="Arial" w:cs="Arial" w:eastAsia="Arial" w:hAnsi="Arial"/>
                <w:sz w:val="9"/>
                <w:szCs w:val="9"/>
                <w:color w:val="auto"/>
              </w:rPr>
              <w:t>347,045</w:t>
            </w:r>
          </w:p>
        </w:tc>
        <w:tc>
          <w:tcPr>
            <w:tcW w:w="0" w:type="dxa"/>
            <w:vAlign w:val="bottom"/>
          </w:tcPr>
          <w:p>
            <w:pPr>
              <w:spacing w:after="0"/>
              <w:rPr>
                <w:sz w:val="1"/>
                <w:szCs w:val="1"/>
                <w:color w:val="auto"/>
              </w:rPr>
            </w:pPr>
          </w:p>
        </w:tc>
      </w:tr>
      <w:tr>
        <w:trPr>
          <w:trHeight w:val="85"/>
        </w:trPr>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vMerge w:val="restart"/>
          </w:tcPr>
          <w:p>
            <w:pPr>
              <w:jc w:val="right"/>
              <w:spacing w:after="0" w:line="166" w:lineRule="exact"/>
              <w:rPr>
                <w:sz w:val="20"/>
                <w:szCs w:val="20"/>
                <w:color w:val="auto"/>
              </w:rPr>
            </w:pPr>
            <w:r>
              <w:rPr>
                <w:rFonts w:ascii="Arial" w:cs="Arial" w:eastAsia="Arial" w:hAnsi="Arial"/>
                <w:sz w:val="13"/>
                <w:szCs w:val="13"/>
                <w:color w:val="auto"/>
              </w:rPr>
              <w:t>Stock Units</w:t>
            </w:r>
            <w:r>
              <w:rPr>
                <w:rFonts w:ascii="Arial" w:cs="Arial" w:eastAsia="Arial" w:hAnsi="Arial"/>
                <w:sz w:val="16"/>
                <w:szCs w:val="16"/>
                <w:color w:val="auto"/>
                <w:vertAlign w:val="superscript"/>
              </w:rPr>
              <w:t>(6)</w:t>
            </w:r>
          </w:p>
        </w:tc>
        <w:tc>
          <w:tcPr>
            <w:tcW w:w="2060" w:type="dxa"/>
            <w:vAlign w:val="bottom"/>
            <w:gridSpan w:val="5"/>
            <w:vMerge w:val="restart"/>
          </w:tcPr>
          <w:p>
            <w:pPr>
              <w:ind w:left="240"/>
              <w:spacing w:after="0"/>
              <w:rPr>
                <w:sz w:val="20"/>
                <w:szCs w:val="20"/>
                <w:color w:val="auto"/>
              </w:rPr>
            </w:pPr>
            <w:r>
              <w:rPr>
                <w:rFonts w:ascii="Arial" w:cs="Arial" w:eastAsia="Arial" w:hAnsi="Arial"/>
                <w:sz w:val="12"/>
                <w:szCs w:val="12"/>
                <w:b w:val="1"/>
                <w:bCs w:val="1"/>
                <w:color w:val="auto"/>
              </w:rPr>
              <w:t>Under Non-Equity Incentive</w:t>
            </w:r>
          </w:p>
        </w:tc>
        <w:tc>
          <w:tcPr>
            <w:tcW w:w="1840" w:type="dxa"/>
            <w:vAlign w:val="bottom"/>
            <w:gridSpan w:val="3"/>
            <w:vMerge w:val="restart"/>
          </w:tcPr>
          <w:p>
            <w:pPr>
              <w:jc w:val="right"/>
              <w:ind w:right="222"/>
              <w:spacing w:after="0"/>
              <w:rPr>
                <w:sz w:val="20"/>
                <w:szCs w:val="20"/>
                <w:color w:val="auto"/>
              </w:rPr>
            </w:pPr>
            <w:r>
              <w:rPr>
                <w:rFonts w:ascii="Arial" w:cs="Arial" w:eastAsia="Arial" w:hAnsi="Arial"/>
                <w:sz w:val="12"/>
                <w:szCs w:val="12"/>
                <w:b w:val="1"/>
                <w:bCs w:val="1"/>
                <w:color w:val="auto"/>
              </w:rPr>
              <w:t>Under Equity Incentive</w:t>
            </w:r>
          </w:p>
        </w:tc>
        <w:tc>
          <w:tcPr>
            <w:tcW w:w="620" w:type="dxa"/>
            <w:vAlign w:val="bottom"/>
          </w:tcPr>
          <w:p>
            <w:pPr>
              <w:jc w:val="right"/>
              <w:ind w:right="10"/>
              <w:spacing w:after="0" w:line="85" w:lineRule="exact"/>
              <w:rPr>
                <w:sz w:val="20"/>
                <w:szCs w:val="20"/>
                <w:color w:val="auto"/>
              </w:rPr>
            </w:pPr>
            <w:r>
              <w:rPr>
                <w:rFonts w:ascii="Arial" w:cs="Arial" w:eastAsia="Arial" w:hAnsi="Arial"/>
                <w:sz w:val="9"/>
                <w:szCs w:val="9"/>
                <w:b w:val="1"/>
                <w:bCs w:val="1"/>
                <w:color w:val="auto"/>
              </w:rPr>
              <w:t>Shares</w:t>
            </w:r>
          </w:p>
        </w:tc>
        <w:tc>
          <w:tcPr>
            <w:tcW w:w="720" w:type="dxa"/>
            <w:vAlign w:val="bottom"/>
          </w:tcPr>
          <w:p>
            <w:pPr>
              <w:jc w:val="right"/>
              <w:ind w:right="8"/>
              <w:spacing w:after="0" w:line="85" w:lineRule="exact"/>
              <w:rPr>
                <w:sz w:val="20"/>
                <w:szCs w:val="20"/>
                <w:color w:val="auto"/>
              </w:rPr>
            </w:pPr>
            <w:r>
              <w:rPr>
                <w:rFonts w:ascii="Arial" w:cs="Arial" w:eastAsia="Arial" w:hAnsi="Arial"/>
                <w:sz w:val="9"/>
                <w:szCs w:val="9"/>
                <w:b w:val="1"/>
                <w:bCs w:val="1"/>
                <w:color w:val="auto"/>
              </w:rPr>
              <w:t>of</w:t>
            </w:r>
          </w:p>
        </w:tc>
        <w:tc>
          <w:tcPr>
            <w:tcW w:w="660" w:type="dxa"/>
            <w:vAlign w:val="bottom"/>
          </w:tcPr>
          <w:p>
            <w:pPr>
              <w:jc w:val="right"/>
              <w:ind w:right="47"/>
              <w:spacing w:after="0" w:line="85" w:lineRule="exact"/>
              <w:rPr>
                <w:sz w:val="20"/>
                <w:szCs w:val="20"/>
                <w:color w:val="auto"/>
              </w:rPr>
            </w:pPr>
            <w:r>
              <w:rPr>
                <w:rFonts w:ascii="Arial" w:cs="Arial" w:eastAsia="Arial" w:hAnsi="Arial"/>
                <w:sz w:val="9"/>
                <w:szCs w:val="9"/>
                <w:b w:val="1"/>
                <w:bCs w:val="1"/>
                <w:color w:val="auto"/>
              </w:rPr>
              <w:t>Price</w:t>
            </w:r>
          </w:p>
        </w:tc>
        <w:tc>
          <w:tcPr>
            <w:tcW w:w="700" w:type="dxa"/>
            <w:vAlign w:val="bottom"/>
          </w:tcPr>
          <w:p>
            <w:pPr>
              <w:jc w:val="right"/>
              <w:spacing w:after="0" w:line="85" w:lineRule="exact"/>
              <w:rPr>
                <w:sz w:val="20"/>
                <w:szCs w:val="20"/>
                <w:color w:val="auto"/>
              </w:rPr>
            </w:pPr>
            <w:r>
              <w:rPr>
                <w:rFonts w:ascii="Arial" w:cs="Arial" w:eastAsia="Arial" w:hAnsi="Arial"/>
                <w:sz w:val="9"/>
                <w:szCs w:val="9"/>
                <w:b w:val="1"/>
                <w:bCs w:val="1"/>
                <w:color w:val="auto"/>
              </w:rPr>
              <w:t>Stock</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060" w:type="dxa"/>
            <w:vAlign w:val="bottom"/>
            <w:gridSpan w:val="5"/>
            <w:vMerge w:val="continue"/>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620" w:type="dxa"/>
            <w:vAlign w:val="bottom"/>
            <w:vMerge w:val="restart"/>
          </w:tcPr>
          <w:p>
            <w:pPr>
              <w:jc w:val="right"/>
              <w:ind w:right="10"/>
              <w:spacing w:after="0" w:line="135" w:lineRule="exact"/>
              <w:rPr>
                <w:sz w:val="20"/>
                <w:szCs w:val="20"/>
                <w:color w:val="auto"/>
              </w:rPr>
            </w:pPr>
            <w:r>
              <w:rPr>
                <w:rFonts w:ascii="Arial" w:cs="Arial" w:eastAsia="Arial" w:hAnsi="Arial"/>
                <w:sz w:val="12"/>
                <w:szCs w:val="12"/>
                <w:b w:val="1"/>
                <w:bCs w:val="1"/>
                <w:color w:val="auto"/>
              </w:rPr>
              <w:t>of Stock</w:t>
            </w:r>
          </w:p>
        </w:tc>
        <w:tc>
          <w:tcPr>
            <w:tcW w:w="720" w:type="dxa"/>
            <w:vAlign w:val="bottom"/>
            <w:vMerge w:val="restart"/>
          </w:tcPr>
          <w:p>
            <w:pPr>
              <w:jc w:val="right"/>
              <w:ind w:right="8"/>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vMerge w:val="restart"/>
          </w:tcPr>
          <w:p>
            <w:pPr>
              <w:jc w:val="right"/>
              <w:ind w:right="47"/>
              <w:spacing w:after="0" w:line="135" w:lineRule="exact"/>
              <w:rPr>
                <w:sz w:val="20"/>
                <w:szCs w:val="20"/>
                <w:color w:val="auto"/>
              </w:rPr>
            </w:pPr>
            <w:r>
              <w:rPr>
                <w:rFonts w:ascii="Arial" w:cs="Arial" w:eastAsia="Arial" w:hAnsi="Arial"/>
                <w:sz w:val="12"/>
                <w:szCs w:val="12"/>
                <w:b w:val="1"/>
                <w:bCs w:val="1"/>
                <w:color w:val="auto"/>
              </w:rPr>
              <w:t>of</w:t>
            </w:r>
          </w:p>
        </w:tc>
        <w:tc>
          <w:tcPr>
            <w:tcW w:w="700" w:type="dxa"/>
            <w:vAlign w:val="bottom"/>
            <w:vMerge w:val="restart"/>
          </w:tcPr>
          <w:p>
            <w:pPr>
              <w:jc w:val="right"/>
              <w:spacing w:after="0" w:line="135" w:lineRule="exact"/>
              <w:rPr>
                <w:sz w:val="20"/>
                <w:szCs w:val="20"/>
                <w:color w:val="auto"/>
              </w:rPr>
            </w:pPr>
            <w:r>
              <w:rPr>
                <w:rFonts w:ascii="Arial" w:cs="Arial" w:eastAsia="Arial" w:hAnsi="Arial"/>
                <w:sz w:val="12"/>
                <w:szCs w:val="12"/>
                <w:b w:val="1"/>
                <w:bCs w:val="1"/>
                <w:color w:val="auto"/>
              </w:rPr>
              <w:t>and</w:t>
            </w: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0" w:type="dxa"/>
            <w:vAlign w:val="bottom"/>
            <w:gridSpan w:val="4"/>
            <w:vMerge w:val="restart"/>
          </w:tcPr>
          <w:p>
            <w:pPr>
              <w:jc w:val="right"/>
              <w:ind w:right="543"/>
              <w:spacing w:after="0" w:line="111" w:lineRule="exact"/>
              <w:rPr>
                <w:sz w:val="20"/>
                <w:szCs w:val="20"/>
                <w:color w:val="auto"/>
              </w:rPr>
            </w:pPr>
            <w:r>
              <w:rPr>
                <w:rFonts w:ascii="Arial" w:cs="Arial" w:eastAsia="Arial" w:hAnsi="Arial"/>
                <w:sz w:val="10"/>
                <w:szCs w:val="10"/>
                <w:b w:val="1"/>
                <w:bCs w:val="1"/>
                <w:color w:val="auto"/>
              </w:rPr>
              <w:t>Plan Awards</w:t>
            </w:r>
            <w:r>
              <w:rPr>
                <w:rFonts w:ascii="Arial" w:cs="Arial" w:eastAsia="Arial" w:hAnsi="Arial"/>
                <w:sz w:val="12"/>
                <w:szCs w:val="12"/>
                <w:b w:val="1"/>
                <w:bCs w:val="1"/>
                <w:color w:val="auto"/>
                <w:vertAlign w:val="superscript"/>
              </w:rPr>
              <w:t>(1)</w:t>
            </w:r>
          </w:p>
        </w:tc>
        <w:tc>
          <w:tcPr>
            <w:tcW w:w="60" w:type="dxa"/>
            <w:vAlign w:val="bottom"/>
          </w:tcPr>
          <w:p>
            <w:pPr>
              <w:spacing w:after="0"/>
              <w:rPr>
                <w:sz w:val="4"/>
                <w:szCs w:val="4"/>
                <w:color w:val="auto"/>
              </w:rPr>
            </w:pPr>
          </w:p>
        </w:tc>
        <w:tc>
          <w:tcPr>
            <w:tcW w:w="1340" w:type="dxa"/>
            <w:vAlign w:val="bottom"/>
            <w:gridSpan w:val="2"/>
            <w:vMerge w:val="restart"/>
          </w:tcPr>
          <w:p>
            <w:pPr>
              <w:jc w:val="right"/>
              <w:spacing w:after="0" w:line="111" w:lineRule="exact"/>
              <w:rPr>
                <w:sz w:val="20"/>
                <w:szCs w:val="20"/>
                <w:color w:val="auto"/>
              </w:rPr>
            </w:pPr>
            <w:r>
              <w:rPr>
                <w:rFonts w:ascii="Arial" w:cs="Arial" w:eastAsia="Arial" w:hAnsi="Arial"/>
                <w:sz w:val="10"/>
                <w:szCs w:val="10"/>
                <w:b w:val="1"/>
                <w:bCs w:val="1"/>
                <w:color w:val="auto"/>
              </w:rPr>
              <w:t>Plan Awards</w:t>
            </w:r>
            <w:r>
              <w:rPr>
                <w:rFonts w:ascii="Arial" w:cs="Arial" w:eastAsia="Arial" w:hAnsi="Arial"/>
                <w:sz w:val="12"/>
                <w:szCs w:val="12"/>
                <w:b w:val="1"/>
                <w:bCs w:val="1"/>
                <w:color w:val="auto"/>
                <w:vertAlign w:val="superscript"/>
              </w:rPr>
              <w:t>(2)</w:t>
            </w:r>
          </w:p>
        </w:tc>
        <w:tc>
          <w:tcPr>
            <w:tcW w:w="5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0" w:type="dxa"/>
            <w:vAlign w:val="bottom"/>
            <w:tcBorders>
              <w:bottom w:val="single" w:sz="8" w:color="582C83"/>
            </w:tcBorders>
            <w:gridSpan w:val="4"/>
            <w:vMerge w:val="continue"/>
          </w:tcPr>
          <w:p>
            <w:pPr>
              <w:spacing w:after="0"/>
              <w:rPr>
                <w:sz w:val="7"/>
                <w:szCs w:val="7"/>
                <w:color w:val="auto"/>
              </w:rPr>
            </w:pPr>
          </w:p>
        </w:tc>
        <w:tc>
          <w:tcPr>
            <w:tcW w:w="60" w:type="dxa"/>
            <w:vAlign w:val="bottom"/>
            <w:vMerge w:val="restart"/>
          </w:tcPr>
          <w:p>
            <w:pPr>
              <w:spacing w:after="0"/>
              <w:rPr>
                <w:sz w:val="7"/>
                <w:szCs w:val="7"/>
                <w:color w:val="auto"/>
              </w:rPr>
            </w:pPr>
          </w:p>
        </w:tc>
        <w:tc>
          <w:tcPr>
            <w:tcW w:w="1340" w:type="dxa"/>
            <w:vAlign w:val="bottom"/>
            <w:tcBorders>
              <w:bottom w:val="single" w:sz="8" w:color="582C83"/>
            </w:tcBorders>
            <w:gridSpan w:val="2"/>
            <w:vMerge w:val="continue"/>
          </w:tcPr>
          <w:p>
            <w:pPr>
              <w:spacing w:after="0"/>
              <w:rPr>
                <w:sz w:val="7"/>
                <w:szCs w:val="7"/>
                <w:color w:val="auto"/>
              </w:rPr>
            </w:pPr>
          </w:p>
        </w:tc>
        <w:tc>
          <w:tcPr>
            <w:tcW w:w="500" w:type="dxa"/>
            <w:vAlign w:val="bottom"/>
            <w:tcBorders>
              <w:bottom w:val="single" w:sz="8" w:color="582C83"/>
            </w:tcBorders>
          </w:tcPr>
          <w:p>
            <w:pPr>
              <w:spacing w:after="0"/>
              <w:rPr>
                <w:sz w:val="7"/>
                <w:szCs w:val="7"/>
                <w:color w:val="auto"/>
              </w:rPr>
            </w:pPr>
          </w:p>
        </w:tc>
        <w:tc>
          <w:tcPr>
            <w:tcW w:w="620" w:type="dxa"/>
            <w:vAlign w:val="bottom"/>
            <w:vMerge w:val="restart"/>
          </w:tcPr>
          <w:p>
            <w:pPr>
              <w:jc w:val="right"/>
              <w:ind w:right="10"/>
              <w:spacing w:after="0" w:line="118" w:lineRule="exact"/>
              <w:rPr>
                <w:sz w:val="20"/>
                <w:szCs w:val="20"/>
                <w:color w:val="auto"/>
              </w:rPr>
            </w:pPr>
            <w:r>
              <w:rPr>
                <w:rFonts w:ascii="Arial" w:cs="Arial" w:eastAsia="Arial" w:hAnsi="Arial"/>
                <w:sz w:val="12"/>
                <w:szCs w:val="12"/>
                <w:b w:val="1"/>
                <w:bCs w:val="1"/>
                <w:color w:val="auto"/>
              </w:rPr>
              <w:t>or</w:t>
            </w:r>
          </w:p>
        </w:tc>
        <w:tc>
          <w:tcPr>
            <w:tcW w:w="720" w:type="dxa"/>
            <w:vAlign w:val="bottom"/>
            <w:vMerge w:val="restart"/>
          </w:tcPr>
          <w:p>
            <w:pPr>
              <w:jc w:val="right"/>
              <w:ind w:right="8"/>
              <w:spacing w:after="0" w:line="118" w:lineRule="exact"/>
              <w:rPr>
                <w:sz w:val="20"/>
                <w:szCs w:val="20"/>
                <w:color w:val="auto"/>
              </w:rPr>
            </w:pPr>
            <w:r>
              <w:rPr>
                <w:rFonts w:ascii="Arial" w:cs="Arial" w:eastAsia="Arial" w:hAnsi="Arial"/>
                <w:sz w:val="12"/>
                <w:szCs w:val="12"/>
                <w:b w:val="1"/>
                <w:bCs w:val="1"/>
                <w:color w:val="auto"/>
              </w:rPr>
              <w:t>Underlying</w:t>
            </w:r>
          </w:p>
        </w:tc>
        <w:tc>
          <w:tcPr>
            <w:tcW w:w="660" w:type="dxa"/>
            <w:vAlign w:val="bottom"/>
            <w:vMerge w:val="restart"/>
          </w:tcPr>
          <w:p>
            <w:pPr>
              <w:jc w:val="right"/>
              <w:ind w:right="47"/>
              <w:spacing w:after="0" w:line="118" w:lineRule="exact"/>
              <w:rPr>
                <w:sz w:val="20"/>
                <w:szCs w:val="20"/>
                <w:color w:val="auto"/>
              </w:rPr>
            </w:pPr>
            <w:r>
              <w:rPr>
                <w:rFonts w:ascii="Arial" w:cs="Arial" w:eastAsia="Arial" w:hAnsi="Arial"/>
                <w:sz w:val="12"/>
                <w:szCs w:val="12"/>
                <w:b w:val="1"/>
                <w:bCs w:val="1"/>
                <w:color w:val="auto"/>
              </w:rPr>
              <w:t>Option</w:t>
            </w:r>
          </w:p>
        </w:tc>
        <w:tc>
          <w:tcPr>
            <w:tcW w:w="700" w:type="dxa"/>
            <w:vAlign w:val="bottom"/>
            <w:vMerge w:val="restart"/>
          </w:tcPr>
          <w:p>
            <w:pPr>
              <w:jc w:val="right"/>
              <w:spacing w:after="0" w:line="118" w:lineRule="exact"/>
              <w:rPr>
                <w:sz w:val="20"/>
                <w:szCs w:val="20"/>
                <w:color w:val="auto"/>
              </w:rPr>
            </w:pPr>
            <w:r>
              <w:rPr>
                <w:rFonts w:ascii="Arial" w:cs="Arial" w:eastAsia="Arial" w:hAnsi="Arial"/>
                <w:sz w:val="12"/>
                <w:szCs w:val="12"/>
                <w:b w:val="1"/>
                <w:bCs w:val="1"/>
                <w:color w:val="auto"/>
              </w:rPr>
              <w:t>Option</w:t>
            </w:r>
          </w:p>
        </w:tc>
        <w:tc>
          <w:tcPr>
            <w:tcW w:w="0" w:type="dxa"/>
            <w:vAlign w:val="bottom"/>
          </w:tcPr>
          <w:p>
            <w:pPr>
              <w:spacing w:after="0"/>
              <w:rPr>
                <w:sz w:val="1"/>
                <w:szCs w:val="1"/>
                <w:color w:val="auto"/>
              </w:rPr>
            </w:pPr>
          </w:p>
        </w:tc>
      </w:tr>
      <w:tr>
        <w:trPr>
          <w:trHeight w:val="20"/>
        </w:trPr>
        <w:tc>
          <w:tcPr>
            <w:tcW w:w="800" w:type="dxa"/>
            <w:vAlign w:val="bottom"/>
            <w:vMerge w:val="restart"/>
          </w:tcPr>
          <w:p>
            <w:pPr>
              <w:ind w:left="60"/>
              <w:spacing w:after="0" w:line="41" w:lineRule="exact"/>
              <w:rPr>
                <w:sz w:val="20"/>
                <w:szCs w:val="20"/>
                <w:color w:val="auto"/>
              </w:rPr>
            </w:pPr>
            <w:r>
              <w:rPr>
                <w:rFonts w:ascii="Arial" w:cs="Arial" w:eastAsia="Arial" w:hAnsi="Arial"/>
                <w:sz w:val="4"/>
                <w:szCs w:val="4"/>
                <w:b w:val="1"/>
                <w:bCs w:val="1"/>
                <w:color w:val="auto"/>
              </w:rPr>
              <w:t>Valle,</w:t>
            </w:r>
          </w:p>
        </w:tc>
        <w:tc>
          <w:tcPr>
            <w:tcW w:w="740" w:type="dxa"/>
            <w:vAlign w:val="bottom"/>
            <w:vMerge w:val="restart"/>
          </w:tcPr>
          <w:p>
            <w:pPr>
              <w:jc w:val="right"/>
              <w:spacing w:after="0" w:line="41" w:lineRule="exact"/>
              <w:rPr>
                <w:sz w:val="20"/>
                <w:szCs w:val="20"/>
                <w:color w:val="auto"/>
              </w:rPr>
            </w:pPr>
            <w:r>
              <w:rPr>
                <w:rFonts w:ascii="Arial" w:cs="Arial" w:eastAsia="Arial" w:hAnsi="Arial"/>
                <w:sz w:val="4"/>
                <w:szCs w:val="4"/>
                <w:color w:val="auto"/>
              </w:rPr>
              <w:t>—</w:t>
            </w:r>
          </w:p>
        </w:tc>
        <w:tc>
          <w:tcPr>
            <w:tcW w:w="900" w:type="dxa"/>
            <w:vAlign w:val="bottom"/>
            <w:vMerge w:val="restart"/>
          </w:tcPr>
          <w:p>
            <w:pPr>
              <w:jc w:val="right"/>
              <w:spacing w:after="0" w:line="41" w:lineRule="exact"/>
              <w:rPr>
                <w:sz w:val="20"/>
                <w:szCs w:val="20"/>
                <w:color w:val="auto"/>
              </w:rPr>
            </w:pPr>
            <w:r>
              <w:rPr>
                <w:rFonts w:ascii="Arial" w:cs="Arial" w:eastAsia="Arial" w:hAnsi="Arial"/>
                <w:sz w:val="4"/>
                <w:szCs w:val="4"/>
                <w:color w:val="auto"/>
              </w:rPr>
              <w:t>AIP</w:t>
            </w:r>
          </w:p>
        </w:tc>
        <w:tc>
          <w:tcPr>
            <w:tcW w:w="2000" w:type="dxa"/>
            <w:vAlign w:val="bottom"/>
            <w:gridSpan w:val="4"/>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00" w:type="dxa"/>
            <w:vAlign w:val="bottom"/>
            <w:vMerge w:val="restart"/>
          </w:tcPr>
          <w:p>
            <w:pPr>
              <w:jc w:val="right"/>
              <w:spacing w:after="0" w:line="41" w:lineRule="exact"/>
              <w:rPr>
                <w:sz w:val="20"/>
                <w:szCs w:val="20"/>
                <w:color w:val="auto"/>
              </w:rPr>
            </w:pPr>
            <w:r>
              <w:rPr>
                <w:rFonts w:ascii="Arial" w:cs="Arial" w:eastAsia="Arial" w:hAnsi="Arial"/>
                <w:sz w:val="4"/>
                <w:szCs w:val="4"/>
                <w:color w:val="auto"/>
              </w:rPr>
              <w:t>—</w:t>
            </w:r>
          </w:p>
        </w:tc>
        <w:tc>
          <w:tcPr>
            <w:tcW w:w="62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680" w:type="dxa"/>
            <w:vAlign w:val="bottom"/>
          </w:tcPr>
          <w:p>
            <w:pPr>
              <w:jc w:val="center"/>
              <w:ind w:left="383"/>
              <w:spacing w:after="0" w:line="21" w:lineRule="exact"/>
              <w:rPr>
                <w:sz w:val="20"/>
                <w:szCs w:val="20"/>
                <w:color w:val="auto"/>
              </w:rPr>
            </w:pPr>
            <w:r>
              <w:rPr>
                <w:rFonts w:ascii="Arial" w:cs="Arial" w:eastAsia="Arial" w:hAnsi="Arial"/>
                <w:sz w:val="2"/>
                <w:szCs w:val="2"/>
                <w:color w:val="auto"/>
              </w:rPr>
              <w:t>—</w:t>
            </w:r>
          </w:p>
        </w:tc>
        <w:tc>
          <w:tcPr>
            <w:tcW w:w="660" w:type="dxa"/>
            <w:vAlign w:val="bottom"/>
            <w:gridSpan w:val="2"/>
          </w:tcPr>
          <w:p>
            <w:pPr>
              <w:jc w:val="right"/>
              <w:spacing w:after="0" w:line="21" w:lineRule="exact"/>
              <w:rPr>
                <w:sz w:val="20"/>
                <w:szCs w:val="20"/>
                <w:color w:val="auto"/>
              </w:rPr>
            </w:pPr>
            <w:r>
              <w:rPr>
                <w:rFonts w:ascii="Arial" w:cs="Arial" w:eastAsia="Arial" w:hAnsi="Arial"/>
                <w:sz w:val="2"/>
                <w:szCs w:val="2"/>
                <w:color w:val="auto"/>
              </w:rPr>
              <w:t>1,020,000</w:t>
            </w:r>
          </w:p>
        </w:tc>
        <w:tc>
          <w:tcPr>
            <w:tcW w:w="660" w:type="dxa"/>
            <w:vAlign w:val="bottom"/>
          </w:tcPr>
          <w:p>
            <w:pPr>
              <w:jc w:val="right"/>
              <w:spacing w:after="0" w:line="21" w:lineRule="exact"/>
              <w:rPr>
                <w:sz w:val="20"/>
                <w:szCs w:val="20"/>
                <w:color w:val="auto"/>
              </w:rPr>
            </w:pPr>
            <w:r>
              <w:rPr>
                <w:rFonts w:ascii="Arial" w:cs="Arial" w:eastAsia="Arial" w:hAnsi="Arial"/>
                <w:sz w:val="2"/>
                <w:szCs w:val="2"/>
                <w:color w:val="auto"/>
              </w:rPr>
              <w:t>2,040,000</w:t>
            </w:r>
          </w:p>
        </w:tc>
        <w:tc>
          <w:tcPr>
            <w:tcW w:w="60" w:type="dxa"/>
            <w:vAlign w:val="bottom"/>
          </w:tcPr>
          <w:p>
            <w:pPr>
              <w:spacing w:after="0" w:line="20" w:lineRule="exact"/>
              <w:rPr>
                <w:sz w:val="1"/>
                <w:szCs w:val="1"/>
                <w:color w:val="auto"/>
              </w:rPr>
            </w:pPr>
          </w:p>
        </w:tc>
        <w:tc>
          <w:tcPr>
            <w:tcW w:w="700" w:type="dxa"/>
            <w:vAlign w:val="bottom"/>
          </w:tcPr>
          <w:p>
            <w:pPr>
              <w:jc w:val="right"/>
              <w:ind w:right="23"/>
              <w:spacing w:after="0" w:line="21" w:lineRule="exact"/>
              <w:rPr>
                <w:sz w:val="20"/>
                <w:szCs w:val="20"/>
                <w:color w:val="auto"/>
              </w:rPr>
            </w:pPr>
            <w:r>
              <w:rPr>
                <w:rFonts w:ascii="Arial" w:cs="Arial" w:eastAsia="Arial" w:hAnsi="Arial"/>
                <w:sz w:val="2"/>
                <w:szCs w:val="2"/>
                <w:color w:val="auto"/>
              </w:rPr>
              <w:t>—</w:t>
            </w:r>
          </w:p>
        </w:tc>
        <w:tc>
          <w:tcPr>
            <w:tcW w:w="640" w:type="dxa"/>
            <w:vAlign w:val="bottom"/>
          </w:tcPr>
          <w:p>
            <w:pPr>
              <w:jc w:val="right"/>
              <w:ind w:right="103"/>
              <w:spacing w:after="0" w:line="21" w:lineRule="exact"/>
              <w:rPr>
                <w:sz w:val="20"/>
                <w:szCs w:val="20"/>
                <w:color w:val="auto"/>
              </w:rPr>
            </w:pPr>
            <w:r>
              <w:rPr>
                <w:rFonts w:ascii="Arial" w:cs="Arial" w:eastAsia="Arial" w:hAnsi="Arial"/>
                <w:sz w:val="2"/>
                <w:szCs w:val="2"/>
                <w:color w:val="auto"/>
              </w:rPr>
              <w:t>—</w:t>
            </w:r>
          </w:p>
        </w:tc>
        <w:tc>
          <w:tcPr>
            <w:tcW w:w="500" w:type="dxa"/>
            <w:vAlign w:val="bottom"/>
            <w:vMerge w:val="continue"/>
          </w:tcPr>
          <w:p>
            <w:pPr>
              <w:spacing w:after="0" w:line="20" w:lineRule="exact"/>
              <w:rPr>
                <w:sz w:val="1"/>
                <w:szCs w:val="1"/>
                <w:color w:val="auto"/>
              </w:rPr>
            </w:pPr>
          </w:p>
        </w:tc>
        <w:tc>
          <w:tcPr>
            <w:tcW w:w="620" w:type="dxa"/>
            <w:vAlign w:val="bottom"/>
          </w:tcPr>
          <w:p>
            <w:pPr>
              <w:jc w:val="right"/>
              <w:ind w:right="10"/>
              <w:spacing w:after="0" w:line="21" w:lineRule="exact"/>
              <w:rPr>
                <w:sz w:val="20"/>
                <w:szCs w:val="20"/>
                <w:color w:val="auto"/>
              </w:rPr>
            </w:pPr>
            <w:r>
              <w:rPr>
                <w:rFonts w:ascii="Arial" w:cs="Arial" w:eastAsia="Arial" w:hAnsi="Arial"/>
                <w:sz w:val="2"/>
                <w:szCs w:val="2"/>
                <w:color w:val="auto"/>
              </w:rPr>
              <w:t>—</w:t>
            </w:r>
          </w:p>
        </w:tc>
        <w:tc>
          <w:tcPr>
            <w:tcW w:w="720" w:type="dxa"/>
            <w:vAlign w:val="bottom"/>
          </w:tcPr>
          <w:p>
            <w:pPr>
              <w:jc w:val="right"/>
              <w:ind w:right="8"/>
              <w:spacing w:after="0" w:line="21" w:lineRule="exact"/>
              <w:rPr>
                <w:sz w:val="20"/>
                <w:szCs w:val="20"/>
                <w:color w:val="auto"/>
              </w:rPr>
            </w:pPr>
            <w:r>
              <w:rPr>
                <w:rFonts w:ascii="Arial" w:cs="Arial" w:eastAsia="Arial" w:hAnsi="Arial"/>
                <w:sz w:val="2"/>
                <w:szCs w:val="2"/>
                <w:color w:val="auto"/>
              </w:rPr>
              <w:t>—</w:t>
            </w:r>
          </w:p>
        </w:tc>
        <w:tc>
          <w:tcPr>
            <w:tcW w:w="660" w:type="dxa"/>
            <w:vAlign w:val="bottom"/>
          </w:tcPr>
          <w:p>
            <w:pPr>
              <w:jc w:val="right"/>
              <w:ind w:right="47"/>
              <w:spacing w:after="0" w:line="21" w:lineRule="exact"/>
              <w:rPr>
                <w:sz w:val="20"/>
                <w:szCs w:val="20"/>
                <w:color w:val="auto"/>
              </w:rPr>
            </w:pPr>
            <w:r>
              <w:rPr>
                <w:rFonts w:ascii="Arial" w:cs="Arial" w:eastAsia="Arial" w:hAnsi="Arial"/>
                <w:sz w:val="2"/>
                <w:szCs w:val="2"/>
                <w:color w:val="auto"/>
              </w:rPr>
              <w:t>—</w:t>
            </w:r>
          </w:p>
        </w:tc>
        <w:tc>
          <w:tcPr>
            <w:tcW w:w="700" w:type="dxa"/>
            <w:vAlign w:val="bottom"/>
          </w:tcPr>
          <w:p>
            <w:pPr>
              <w:jc w:val="right"/>
              <w:spacing w:after="0" w:line="21" w:lineRule="exact"/>
              <w:rPr>
                <w:sz w:val="20"/>
                <w:szCs w:val="20"/>
                <w:color w:val="auto"/>
              </w:rPr>
            </w:pPr>
            <w:r>
              <w:rPr>
                <w:rFonts w:ascii="Arial" w:cs="Arial" w:eastAsia="Arial" w:hAnsi="Arial"/>
                <w:sz w:val="2"/>
                <w:szCs w:val="2"/>
                <w:color w:val="auto"/>
              </w:rPr>
              <w:t>—</w:t>
            </w:r>
          </w:p>
        </w:tc>
        <w:tc>
          <w:tcPr>
            <w:tcW w:w="0" w:type="dxa"/>
            <w:vAlign w:val="bottom"/>
          </w:tcPr>
          <w:p>
            <w:pPr>
              <w:spacing w:after="0" w:line="20" w:lineRule="exact"/>
              <w:rPr>
                <w:sz w:val="1"/>
                <w:szCs w:val="1"/>
                <w:color w:val="auto"/>
              </w:rPr>
            </w:pPr>
          </w:p>
        </w:tc>
      </w:tr>
      <w:tr>
        <w:trPr>
          <w:trHeight w:val="108"/>
        </w:trPr>
        <w:tc>
          <w:tcPr>
            <w:tcW w:w="8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Gustavo</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03/17/2025</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Performance</w:t>
            </w:r>
          </w:p>
        </w:tc>
        <w:tc>
          <w:tcPr>
            <w:tcW w:w="680" w:type="dxa"/>
            <w:vAlign w:val="bottom"/>
            <w:vMerge w:val="restart"/>
          </w:tcPr>
          <w:p>
            <w:pPr>
              <w:jc w:val="center"/>
              <w:ind w:left="383"/>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23"/>
              <w:spacing w:after="0"/>
              <w:rPr>
                <w:sz w:val="20"/>
                <w:szCs w:val="20"/>
                <w:color w:val="auto"/>
              </w:rPr>
            </w:pPr>
            <w:r>
              <w:rPr>
                <w:rFonts w:ascii="Arial" w:cs="Arial" w:eastAsia="Arial" w:hAnsi="Arial"/>
                <w:sz w:val="13"/>
                <w:szCs w:val="13"/>
                <w:color w:val="auto"/>
              </w:rPr>
              <w:t>24,605</w:t>
            </w:r>
          </w:p>
        </w:tc>
        <w:tc>
          <w:tcPr>
            <w:tcW w:w="640" w:type="dxa"/>
            <w:vAlign w:val="bottom"/>
            <w:vMerge w:val="restart"/>
          </w:tcPr>
          <w:p>
            <w:pPr>
              <w:jc w:val="right"/>
              <w:ind w:right="103"/>
              <w:spacing w:after="0"/>
              <w:rPr>
                <w:sz w:val="20"/>
                <w:szCs w:val="20"/>
                <w:color w:val="auto"/>
              </w:rPr>
            </w:pPr>
            <w:r>
              <w:rPr>
                <w:rFonts w:ascii="Arial" w:cs="Arial" w:eastAsia="Arial" w:hAnsi="Arial"/>
                <w:sz w:val="13"/>
                <w:szCs w:val="13"/>
                <w:color w:val="auto"/>
              </w:rPr>
              <w:t>49,210</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98,420</w:t>
            </w:r>
          </w:p>
        </w:tc>
        <w:tc>
          <w:tcPr>
            <w:tcW w:w="620" w:type="dxa"/>
            <w:vAlign w:val="bottom"/>
          </w:tcPr>
          <w:p>
            <w:pPr>
              <w:jc w:val="right"/>
              <w:ind w:right="10"/>
              <w:spacing w:after="0" w:line="108" w:lineRule="exact"/>
              <w:rPr>
                <w:sz w:val="20"/>
                <w:szCs w:val="20"/>
                <w:color w:val="auto"/>
              </w:rPr>
            </w:pPr>
            <w:r>
              <w:rPr>
                <w:rFonts w:ascii="Arial" w:cs="Arial" w:eastAsia="Arial" w:hAnsi="Arial"/>
                <w:sz w:val="10"/>
                <w:szCs w:val="10"/>
                <w:b w:val="1"/>
                <w:bCs w:val="1"/>
                <w:color w:val="auto"/>
              </w:rPr>
              <w:t>Units</w:t>
            </w:r>
            <w:r>
              <w:rPr>
                <w:rFonts w:ascii="Arial" w:cs="Arial" w:eastAsia="Arial" w:hAnsi="Arial"/>
                <w:sz w:val="12"/>
                <w:szCs w:val="12"/>
                <w:b w:val="1"/>
                <w:bCs w:val="1"/>
                <w:color w:val="auto"/>
                <w:vertAlign w:val="superscript"/>
              </w:rPr>
              <w:t>(3)</w:t>
            </w:r>
          </w:p>
        </w:tc>
        <w:tc>
          <w:tcPr>
            <w:tcW w:w="720" w:type="dxa"/>
            <w:vAlign w:val="bottom"/>
          </w:tcPr>
          <w:p>
            <w:pPr>
              <w:jc w:val="right"/>
              <w:ind w:right="8"/>
              <w:spacing w:after="0" w:line="108" w:lineRule="exact"/>
              <w:rPr>
                <w:sz w:val="20"/>
                <w:szCs w:val="20"/>
                <w:color w:val="auto"/>
              </w:rPr>
            </w:pPr>
            <w:r>
              <w:rPr>
                <w:rFonts w:ascii="Arial" w:cs="Arial" w:eastAsia="Arial" w:hAnsi="Arial"/>
                <w:sz w:val="12"/>
                <w:szCs w:val="12"/>
                <w:b w:val="1"/>
                <w:bCs w:val="1"/>
                <w:color w:val="auto"/>
              </w:rPr>
              <w:t>Options</w:t>
            </w:r>
          </w:p>
        </w:tc>
        <w:tc>
          <w:tcPr>
            <w:tcW w:w="660" w:type="dxa"/>
            <w:vAlign w:val="bottom"/>
          </w:tcPr>
          <w:p>
            <w:pPr>
              <w:jc w:val="right"/>
              <w:ind w:right="47"/>
              <w:spacing w:after="0" w:line="108"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2"/>
                <w:szCs w:val="12"/>
                <w:b w:val="1"/>
                <w:bCs w:val="1"/>
                <w:color w:val="auto"/>
                <w:vertAlign w:val="superscript"/>
              </w:rPr>
              <w:t>(4)</w:t>
            </w:r>
          </w:p>
        </w:tc>
        <w:tc>
          <w:tcPr>
            <w:tcW w:w="70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2"/>
                <w:szCs w:val="12"/>
                <w:b w:val="1"/>
                <w:bCs w:val="1"/>
                <w:color w:val="auto"/>
                <w:vertAlign w:val="superscript"/>
              </w:rPr>
              <w:t>(5)</w:t>
            </w:r>
          </w:p>
        </w:tc>
        <w:tc>
          <w:tcPr>
            <w:tcW w:w="0" w:type="dxa"/>
            <w:vAlign w:val="bottom"/>
          </w:tcPr>
          <w:p>
            <w:pPr>
              <w:spacing w:after="0"/>
              <w:rPr>
                <w:sz w:val="1"/>
                <w:szCs w:val="1"/>
                <w:color w:val="auto"/>
              </w:rPr>
            </w:pPr>
          </w:p>
        </w:tc>
      </w:tr>
      <w:tr>
        <w:trPr>
          <w:trHeight w:val="94"/>
        </w:trPr>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20" w:type="dxa"/>
            <w:vAlign w:val="bottom"/>
          </w:tcPr>
          <w:p>
            <w:pPr>
              <w:jc w:val="right"/>
              <w:ind w:right="10"/>
              <w:spacing w:after="0" w:line="95" w:lineRule="exact"/>
              <w:rPr>
                <w:sz w:val="20"/>
                <w:szCs w:val="20"/>
                <w:color w:val="auto"/>
              </w:rPr>
            </w:pPr>
            <w:r>
              <w:rPr>
                <w:rFonts w:ascii="Arial" w:cs="Arial" w:eastAsia="Arial" w:hAnsi="Arial"/>
                <w:sz w:val="10"/>
                <w:szCs w:val="10"/>
                <w:color w:val="auto"/>
              </w:rPr>
              <w:t>—</w:t>
            </w:r>
          </w:p>
        </w:tc>
        <w:tc>
          <w:tcPr>
            <w:tcW w:w="720" w:type="dxa"/>
            <w:vAlign w:val="bottom"/>
          </w:tcPr>
          <w:p>
            <w:pPr>
              <w:jc w:val="right"/>
              <w:ind w:right="8"/>
              <w:spacing w:after="0" w:line="95" w:lineRule="exact"/>
              <w:rPr>
                <w:sz w:val="20"/>
                <w:szCs w:val="20"/>
                <w:color w:val="auto"/>
              </w:rPr>
            </w:pPr>
            <w:r>
              <w:rPr>
                <w:rFonts w:ascii="Arial" w:cs="Arial" w:eastAsia="Arial" w:hAnsi="Arial"/>
                <w:sz w:val="10"/>
                <w:szCs w:val="10"/>
                <w:color w:val="auto"/>
              </w:rPr>
              <w:t>—</w:t>
            </w:r>
          </w:p>
        </w:tc>
        <w:tc>
          <w:tcPr>
            <w:tcW w:w="660" w:type="dxa"/>
            <w:vAlign w:val="bottom"/>
          </w:tcPr>
          <w:p>
            <w:pPr>
              <w:jc w:val="right"/>
              <w:ind w:right="47"/>
              <w:spacing w:after="0" w:line="95" w:lineRule="exact"/>
              <w:rPr>
                <w:sz w:val="20"/>
                <w:szCs w:val="20"/>
                <w:color w:val="auto"/>
              </w:rPr>
            </w:pPr>
            <w:r>
              <w:rPr>
                <w:rFonts w:ascii="Arial" w:cs="Arial" w:eastAsia="Arial" w:hAnsi="Arial"/>
                <w:sz w:val="10"/>
                <w:szCs w:val="10"/>
                <w:color w:val="auto"/>
              </w:rPr>
              <w:t>—</w:t>
            </w:r>
          </w:p>
        </w:tc>
        <w:tc>
          <w:tcPr>
            <w:tcW w:w="700" w:type="dxa"/>
            <w:vAlign w:val="bottom"/>
          </w:tcPr>
          <w:p>
            <w:pPr>
              <w:jc w:val="right"/>
              <w:spacing w:after="0" w:line="95" w:lineRule="exact"/>
              <w:rPr>
                <w:sz w:val="20"/>
                <w:szCs w:val="20"/>
                <w:color w:val="auto"/>
              </w:rPr>
            </w:pPr>
            <w:r>
              <w:rPr>
                <w:rFonts w:ascii="Arial" w:cs="Arial" w:eastAsia="Arial" w:hAnsi="Arial"/>
                <w:sz w:val="10"/>
                <w:szCs w:val="10"/>
                <w:color w:val="auto"/>
              </w:rPr>
              <w:t>3,419,603</w:t>
            </w:r>
          </w:p>
        </w:tc>
        <w:tc>
          <w:tcPr>
            <w:tcW w:w="0" w:type="dxa"/>
            <w:vAlign w:val="bottom"/>
          </w:tcPr>
          <w:p>
            <w:pPr>
              <w:spacing w:after="0"/>
              <w:rPr>
                <w:sz w:val="1"/>
                <w:szCs w:val="1"/>
                <w:color w:val="auto"/>
              </w:rPr>
            </w:pPr>
          </w:p>
        </w:tc>
      </w:tr>
      <w:tr>
        <w:trPr>
          <w:trHeight w:val="74"/>
        </w:trPr>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Share Units</w:t>
            </w: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jc w:val="right"/>
              <w:ind w:right="10"/>
              <w:spacing w:after="0" w:line="68" w:lineRule="exact"/>
              <w:rPr>
                <w:sz w:val="20"/>
                <w:szCs w:val="20"/>
                <w:color w:val="auto"/>
              </w:rPr>
            </w:pPr>
            <w:r>
              <w:rPr>
                <w:rFonts w:ascii="Arial" w:cs="Arial" w:eastAsia="Arial" w:hAnsi="Arial"/>
                <w:sz w:val="7"/>
                <w:szCs w:val="7"/>
                <w:b w:val="1"/>
                <w:bCs w:val="1"/>
                <w:color w:val="auto"/>
              </w:rPr>
              <w:t>(#)</w:t>
            </w:r>
          </w:p>
        </w:tc>
        <w:tc>
          <w:tcPr>
            <w:tcW w:w="720" w:type="dxa"/>
            <w:vAlign w:val="bottom"/>
          </w:tcPr>
          <w:p>
            <w:pPr>
              <w:jc w:val="right"/>
              <w:ind w:right="8"/>
              <w:spacing w:after="0" w:line="68" w:lineRule="exact"/>
              <w:rPr>
                <w:sz w:val="20"/>
                <w:szCs w:val="20"/>
                <w:color w:val="auto"/>
              </w:rPr>
            </w:pPr>
            <w:r>
              <w:rPr>
                <w:rFonts w:ascii="Arial" w:cs="Arial" w:eastAsia="Arial" w:hAnsi="Arial"/>
                <w:sz w:val="7"/>
                <w:szCs w:val="7"/>
                <w:b w:val="1"/>
                <w:bCs w:val="1"/>
                <w:color w:val="auto"/>
              </w:rPr>
              <w:t>(#)</w:t>
            </w:r>
          </w:p>
        </w:tc>
        <w:tc>
          <w:tcPr>
            <w:tcW w:w="660" w:type="dxa"/>
            <w:vAlign w:val="bottom"/>
          </w:tcPr>
          <w:p>
            <w:pPr>
              <w:jc w:val="right"/>
              <w:ind w:right="47"/>
              <w:spacing w:after="0" w:line="68" w:lineRule="exact"/>
              <w:rPr>
                <w:sz w:val="20"/>
                <w:szCs w:val="20"/>
                <w:color w:val="auto"/>
              </w:rPr>
            </w:pPr>
            <w:r>
              <w:rPr>
                <w:rFonts w:ascii="Arial" w:cs="Arial" w:eastAsia="Arial" w:hAnsi="Arial"/>
                <w:sz w:val="7"/>
                <w:szCs w:val="7"/>
                <w:b w:val="1"/>
                <w:bCs w:val="1"/>
                <w:color w:val="auto"/>
              </w:rPr>
              <w:t>($/Share)</w:t>
            </w:r>
          </w:p>
        </w:tc>
        <w:tc>
          <w:tcPr>
            <w:tcW w:w="700" w:type="dxa"/>
            <w:vAlign w:val="bottom"/>
          </w:tcPr>
          <w:p>
            <w:pPr>
              <w:jc w:val="right"/>
              <w:spacing w:after="0" w:line="68" w:lineRule="exact"/>
              <w:rPr>
                <w:sz w:val="20"/>
                <w:szCs w:val="20"/>
                <w:color w:val="auto"/>
              </w:rPr>
            </w:pPr>
            <w:r>
              <w:rPr>
                <w:rFonts w:ascii="Arial" w:cs="Arial" w:eastAsia="Arial" w:hAnsi="Arial"/>
                <w:sz w:val="7"/>
                <w:szCs w:val="7"/>
                <w:b w:val="1"/>
                <w:bCs w:val="1"/>
                <w:color w:val="auto"/>
              </w:rPr>
              <w:t>($)</w:t>
            </w:r>
          </w:p>
        </w:tc>
        <w:tc>
          <w:tcPr>
            <w:tcW w:w="0" w:type="dxa"/>
            <w:vAlign w:val="bottom"/>
          </w:tcPr>
          <w:p>
            <w:pPr>
              <w:spacing w:after="0"/>
              <w:rPr>
                <w:sz w:val="1"/>
                <w:szCs w:val="1"/>
                <w:color w:val="auto"/>
              </w:rPr>
            </w:pPr>
          </w:p>
        </w:tc>
      </w:tr>
      <w:tr>
        <w:trPr>
          <w:trHeight w:val="114"/>
        </w:trPr>
        <w:tc>
          <w:tcPr>
            <w:tcW w:w="800" w:type="dxa"/>
            <w:vAlign w:val="bottom"/>
            <w:shd w:val="clear" w:color="auto" w:fill="E0DBEA"/>
          </w:tcPr>
          <w:p>
            <w:pPr>
              <w:spacing w:after="0"/>
              <w:rPr>
                <w:sz w:val="9"/>
                <w:szCs w:val="9"/>
                <w:color w:val="auto"/>
              </w:rPr>
            </w:pPr>
          </w:p>
        </w:tc>
        <w:tc>
          <w:tcPr>
            <w:tcW w:w="740" w:type="dxa"/>
            <w:vAlign w:val="bottom"/>
            <w:shd w:val="clear" w:color="auto" w:fill="E0DBEA"/>
          </w:tcPr>
          <w:p>
            <w:pPr>
              <w:spacing w:after="0"/>
              <w:rPr>
                <w:sz w:val="9"/>
                <w:szCs w:val="9"/>
                <w:color w:val="auto"/>
              </w:rPr>
            </w:pPr>
          </w:p>
        </w:tc>
        <w:tc>
          <w:tcPr>
            <w:tcW w:w="9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E0DBEA"/>
          </w:tcPr>
          <w:p>
            <w:pPr>
              <w:spacing w:after="0"/>
              <w:rPr>
                <w:sz w:val="8"/>
                <w:szCs w:val="8"/>
                <w:color w:val="auto"/>
              </w:rPr>
            </w:pPr>
          </w:p>
        </w:tc>
        <w:tc>
          <w:tcPr>
            <w:tcW w:w="740" w:type="dxa"/>
            <w:vAlign w:val="bottom"/>
            <w:shd w:val="clear" w:color="auto" w:fill="E0DBEA"/>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800" w:type="dxa"/>
            <w:vAlign w:val="bottom"/>
            <w:shd w:val="clear" w:color="auto" w:fill="E0DBEA"/>
          </w:tcPr>
          <w:p>
            <w:pPr>
              <w:spacing w:after="0"/>
              <w:rPr>
                <w:sz w:val="13"/>
                <w:szCs w:val="13"/>
                <w:color w:val="auto"/>
              </w:rPr>
            </w:pPr>
          </w:p>
        </w:tc>
        <w:tc>
          <w:tcPr>
            <w:tcW w:w="740" w:type="dxa"/>
            <w:vAlign w:val="bottom"/>
            <w:shd w:val="clear" w:color="auto" w:fill="E0DBEA"/>
          </w:tcPr>
          <w:p>
            <w:pPr>
              <w:jc w:val="right"/>
              <w:spacing w:after="0"/>
              <w:rPr>
                <w:sz w:val="20"/>
                <w:szCs w:val="20"/>
                <w:color w:val="auto"/>
              </w:rPr>
            </w:pPr>
            <w:r>
              <w:rPr>
                <w:rFonts w:ascii="Arial" w:cs="Arial" w:eastAsia="Arial" w:hAnsi="Arial"/>
                <w:sz w:val="13"/>
                <w:szCs w:val="13"/>
                <w:color w:val="auto"/>
              </w:rPr>
              <w:t>03/17/2025</w:t>
            </w:r>
          </w:p>
        </w:tc>
        <w:tc>
          <w:tcPr>
            <w:tcW w:w="900" w:type="dxa"/>
            <w:vAlign w:val="bottom"/>
            <w:shd w:val="clear" w:color="auto" w:fill="E0DBEA"/>
          </w:tcPr>
          <w:p>
            <w:pPr>
              <w:jc w:val="right"/>
              <w:spacing w:after="0"/>
              <w:rPr>
                <w:sz w:val="20"/>
                <w:szCs w:val="20"/>
                <w:color w:val="auto"/>
              </w:rPr>
            </w:pPr>
            <w:r>
              <w:rPr>
                <w:rFonts w:ascii="Arial" w:cs="Arial" w:eastAsia="Arial" w:hAnsi="Arial"/>
                <w:sz w:val="13"/>
                <w:szCs w:val="13"/>
                <w:color w:val="auto"/>
              </w:rPr>
              <w:t>Stock Options</w:t>
            </w:r>
          </w:p>
        </w:tc>
        <w:tc>
          <w:tcPr>
            <w:tcW w:w="680" w:type="dxa"/>
            <w:vAlign w:val="bottom"/>
            <w:shd w:val="clear" w:color="auto" w:fill="E0DBEA"/>
          </w:tcPr>
          <w:p>
            <w:pPr>
              <w:jc w:val="center"/>
              <w:ind w:left="383"/>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E0DBEA"/>
          </w:tcPr>
          <w:p>
            <w:pPr>
              <w:spacing w:after="0"/>
              <w:rPr>
                <w:sz w:val="13"/>
                <w:szCs w:val="13"/>
                <w:color w:val="auto"/>
              </w:rPr>
            </w:pPr>
          </w:p>
        </w:tc>
        <w:tc>
          <w:tcPr>
            <w:tcW w:w="480" w:type="dxa"/>
            <w:vAlign w:val="bottom"/>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E0DBEA"/>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shd w:val="clear" w:color="auto" w:fill="E0DBEA"/>
          </w:tcPr>
          <w:p>
            <w:pPr>
              <w:jc w:val="right"/>
              <w:ind w:right="23"/>
              <w:spacing w:after="0"/>
              <w:rPr>
                <w:sz w:val="20"/>
                <w:szCs w:val="20"/>
                <w:color w:val="auto"/>
              </w:rPr>
            </w:pPr>
            <w:r>
              <w:rPr>
                <w:rFonts w:ascii="Arial" w:cs="Arial" w:eastAsia="Arial" w:hAnsi="Arial"/>
                <w:sz w:val="13"/>
                <w:szCs w:val="13"/>
                <w:color w:val="auto"/>
              </w:rPr>
              <w:t>—</w:t>
            </w:r>
          </w:p>
        </w:tc>
        <w:tc>
          <w:tcPr>
            <w:tcW w:w="640" w:type="dxa"/>
            <w:vAlign w:val="bottom"/>
            <w:shd w:val="clear" w:color="auto" w:fill="E0DBEA"/>
          </w:tcPr>
          <w:p>
            <w:pPr>
              <w:jc w:val="right"/>
              <w:ind w:right="103"/>
              <w:spacing w:after="0"/>
              <w:rPr>
                <w:sz w:val="20"/>
                <w:szCs w:val="20"/>
                <w:color w:val="auto"/>
              </w:rPr>
            </w:pPr>
            <w:r>
              <w:rPr>
                <w:rFonts w:ascii="Arial" w:cs="Arial" w:eastAsia="Arial" w:hAnsi="Arial"/>
                <w:sz w:val="13"/>
                <w:szCs w:val="13"/>
                <w:color w:val="auto"/>
              </w:rPr>
              <w:t>—</w:t>
            </w:r>
          </w:p>
        </w:tc>
        <w:tc>
          <w:tcPr>
            <w:tcW w:w="500" w:type="dxa"/>
            <w:vAlign w:val="bottom"/>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E0DBEA"/>
          </w:tcPr>
          <w:p>
            <w:pPr>
              <w:jc w:val="right"/>
              <w:ind w:right="10"/>
              <w:spacing w:after="0"/>
              <w:rPr>
                <w:sz w:val="20"/>
                <w:szCs w:val="20"/>
                <w:color w:val="auto"/>
              </w:rPr>
            </w:pPr>
            <w:r>
              <w:rPr>
                <w:rFonts w:ascii="Arial" w:cs="Arial" w:eastAsia="Arial" w:hAnsi="Arial"/>
                <w:sz w:val="13"/>
                <w:szCs w:val="13"/>
                <w:color w:val="auto"/>
              </w:rPr>
              <w:t>—</w:t>
            </w:r>
          </w:p>
        </w:tc>
        <w:tc>
          <w:tcPr>
            <w:tcW w:w="720" w:type="dxa"/>
            <w:vAlign w:val="bottom"/>
            <w:shd w:val="clear" w:color="auto" w:fill="E0DBEA"/>
          </w:tcPr>
          <w:p>
            <w:pPr>
              <w:jc w:val="right"/>
              <w:ind w:right="8"/>
              <w:spacing w:after="0"/>
              <w:rPr>
                <w:sz w:val="20"/>
                <w:szCs w:val="20"/>
                <w:color w:val="auto"/>
              </w:rPr>
            </w:pPr>
            <w:r>
              <w:rPr>
                <w:rFonts w:ascii="Arial" w:cs="Arial" w:eastAsia="Arial" w:hAnsi="Arial"/>
                <w:sz w:val="13"/>
                <w:szCs w:val="13"/>
                <w:color w:val="auto"/>
              </w:rPr>
              <w:t>82,010</w:t>
            </w:r>
          </w:p>
        </w:tc>
        <w:tc>
          <w:tcPr>
            <w:tcW w:w="660" w:type="dxa"/>
            <w:vAlign w:val="bottom"/>
            <w:shd w:val="clear" w:color="auto" w:fill="E0DBEA"/>
          </w:tcPr>
          <w:p>
            <w:pPr>
              <w:jc w:val="right"/>
              <w:ind w:right="47"/>
              <w:spacing w:after="0"/>
              <w:rPr>
                <w:sz w:val="20"/>
                <w:szCs w:val="20"/>
                <w:color w:val="auto"/>
              </w:rPr>
            </w:pPr>
            <w:r>
              <w:rPr>
                <w:rFonts w:ascii="Arial" w:cs="Arial" w:eastAsia="Arial" w:hAnsi="Arial"/>
                <w:sz w:val="13"/>
                <w:szCs w:val="13"/>
                <w:color w:val="auto"/>
              </w:rPr>
              <w:t>65.09</w:t>
            </w:r>
          </w:p>
        </w:tc>
        <w:tc>
          <w:tcPr>
            <w:tcW w:w="700" w:type="dxa"/>
            <w:vAlign w:val="bottom"/>
            <w:shd w:val="clear" w:color="auto" w:fill="E0DBEA"/>
          </w:tcPr>
          <w:p>
            <w:pPr>
              <w:jc w:val="right"/>
              <w:spacing w:after="0"/>
              <w:rPr>
                <w:sz w:val="20"/>
                <w:szCs w:val="20"/>
                <w:color w:val="auto"/>
              </w:rPr>
            </w:pPr>
            <w:r>
              <w:rPr>
                <w:rFonts w:ascii="Arial" w:cs="Arial" w:eastAsia="Arial" w:hAnsi="Arial"/>
                <w:sz w:val="13"/>
                <w:szCs w:val="13"/>
                <w:color w:val="auto"/>
              </w:rPr>
              <w:t>1,035,786</w:t>
            </w:r>
          </w:p>
        </w:tc>
        <w:tc>
          <w:tcPr>
            <w:tcW w:w="0" w:type="dxa"/>
            <w:vAlign w:val="bottom"/>
          </w:tcPr>
          <w:p>
            <w:pPr>
              <w:spacing w:after="0"/>
              <w:rPr>
                <w:sz w:val="1"/>
                <w:szCs w:val="1"/>
                <w:color w:val="auto"/>
              </w:rPr>
            </w:pPr>
          </w:p>
        </w:tc>
      </w:tr>
      <w:tr>
        <w:trPr>
          <w:trHeight w:val="212"/>
        </w:trPr>
        <w:tc>
          <w:tcPr>
            <w:tcW w:w="800" w:type="dxa"/>
            <w:vAlign w:val="bottom"/>
            <w:tcBorders>
              <w:bottom w:val="single" w:sz="8" w:color="E0DBEA"/>
            </w:tcBorders>
            <w:shd w:val="clear" w:color="auto" w:fill="E0DBEA"/>
          </w:tcPr>
          <w:p>
            <w:pPr>
              <w:ind w:left="60"/>
              <w:spacing w:after="0"/>
              <w:rPr>
                <w:sz w:val="20"/>
                <w:szCs w:val="20"/>
                <w:color w:val="auto"/>
              </w:rPr>
            </w:pPr>
            <w:r>
              <w:rPr>
                <w:rFonts w:ascii="Arial" w:cs="Arial" w:eastAsia="Arial" w:hAnsi="Arial"/>
                <w:sz w:val="13"/>
                <w:szCs w:val="13"/>
                <w:b w:val="1"/>
                <w:bCs w:val="1"/>
                <w:color w:val="auto"/>
              </w:rPr>
              <w:t>Renaud,</w:t>
            </w:r>
          </w:p>
        </w:tc>
        <w:tc>
          <w:tcPr>
            <w:tcW w:w="740" w:type="dxa"/>
            <w:vAlign w:val="bottom"/>
            <w:tcBorders>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AIP</w:t>
            </w:r>
          </w:p>
        </w:tc>
        <w:tc>
          <w:tcPr>
            <w:tcW w:w="680" w:type="dxa"/>
            <w:vAlign w:val="bottom"/>
            <w:tcBorders>
              <w:bottom w:val="single" w:sz="8" w:color="E0DBEA"/>
            </w:tcBorders>
            <w:shd w:val="clear" w:color="auto" w:fill="E0DBEA"/>
          </w:tcPr>
          <w:p>
            <w:pPr>
              <w:jc w:val="center"/>
              <w:ind w:left="383"/>
              <w:spacing w:after="0"/>
              <w:rPr>
                <w:sz w:val="20"/>
                <w:szCs w:val="20"/>
                <w:color w:val="auto"/>
              </w:rPr>
            </w:pPr>
            <w:r>
              <w:rPr>
                <w:rFonts w:ascii="Arial" w:cs="Arial" w:eastAsia="Arial" w:hAnsi="Arial"/>
                <w:sz w:val="13"/>
                <w:szCs w:val="13"/>
                <w:color w:val="auto"/>
                <w:w w:val="91"/>
              </w:rPr>
              <w:t>—</w:t>
            </w:r>
          </w:p>
        </w:tc>
        <w:tc>
          <w:tcPr>
            <w:tcW w:w="660" w:type="dxa"/>
            <w:vAlign w:val="bottom"/>
            <w:tcBorders>
              <w:bottom w:val="single" w:sz="8" w:color="E0DBEA"/>
            </w:tcBorders>
            <w:gridSpan w:val="2"/>
            <w:shd w:val="clear" w:color="auto" w:fill="E0DBEA"/>
          </w:tcPr>
          <w:p>
            <w:pPr>
              <w:jc w:val="right"/>
              <w:spacing w:after="0"/>
              <w:rPr>
                <w:sz w:val="20"/>
                <w:szCs w:val="20"/>
                <w:color w:val="auto"/>
              </w:rPr>
            </w:pPr>
            <w:r>
              <w:rPr>
                <w:rFonts w:ascii="Arial" w:cs="Arial" w:eastAsia="Arial" w:hAnsi="Arial"/>
                <w:sz w:val="13"/>
                <w:szCs w:val="13"/>
                <w:color w:val="auto"/>
              </w:rPr>
              <w:t>785,000</w:t>
            </w:r>
          </w:p>
        </w:tc>
        <w:tc>
          <w:tcPr>
            <w:tcW w:w="660" w:type="dxa"/>
            <w:vAlign w:val="bottom"/>
            <w:tcBorders>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1,570,000</w:t>
            </w:r>
          </w:p>
        </w:tc>
        <w:tc>
          <w:tcPr>
            <w:tcW w:w="60" w:type="dxa"/>
            <w:vAlign w:val="bottom"/>
            <w:tcBorders>
              <w:bottom w:val="single" w:sz="8" w:color="E0DBEA"/>
            </w:tcBorders>
            <w:shd w:val="clear" w:color="auto" w:fill="E0DBEA"/>
          </w:tcPr>
          <w:p>
            <w:pPr>
              <w:spacing w:after="0"/>
              <w:rPr>
                <w:sz w:val="18"/>
                <w:szCs w:val="18"/>
                <w:color w:val="auto"/>
              </w:rPr>
            </w:pPr>
          </w:p>
        </w:tc>
        <w:tc>
          <w:tcPr>
            <w:tcW w:w="700" w:type="dxa"/>
            <w:vAlign w:val="bottom"/>
            <w:tcBorders>
              <w:bottom w:val="single" w:sz="8" w:color="E0DBEA"/>
            </w:tcBorders>
            <w:shd w:val="clear" w:color="auto" w:fill="E0DBEA"/>
          </w:tcPr>
          <w:p>
            <w:pPr>
              <w:jc w:val="right"/>
              <w:ind w:right="2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E0DBEA"/>
            </w:tcBorders>
            <w:shd w:val="clear" w:color="auto" w:fill="E0DBEA"/>
          </w:tcPr>
          <w:p>
            <w:pPr>
              <w:jc w:val="right"/>
              <w:ind w:right="103"/>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E0DBEA"/>
            </w:tcBorders>
            <w:shd w:val="clear" w:color="auto" w:fill="E0DBEA"/>
          </w:tcPr>
          <w:p>
            <w:pPr>
              <w:jc w:val="right"/>
              <w:ind w:right="1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E0DBEA"/>
            </w:tcBorders>
            <w:shd w:val="clear" w:color="auto" w:fill="E0DBEA"/>
          </w:tcPr>
          <w:p>
            <w:pPr>
              <w:jc w:val="right"/>
              <w:ind w:right="8"/>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E0DBEA"/>
            </w:tcBorders>
            <w:shd w:val="clear" w:color="auto" w:fill="E0DBEA"/>
          </w:tcPr>
          <w:p>
            <w:pPr>
              <w:jc w:val="right"/>
              <w:ind w:right="4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800" w:type="dxa"/>
            <w:vAlign w:val="bottom"/>
            <w:tcBorders>
              <w:top w:val="single" w:sz="8" w:color="E0DBEA"/>
              <w:bottom w:val="single" w:sz="8" w:color="E0DBEA"/>
            </w:tcBorders>
            <w:shd w:val="clear" w:color="auto" w:fill="E0DBEA"/>
          </w:tcPr>
          <w:p>
            <w:pPr>
              <w:ind w:left="60"/>
              <w:spacing w:after="0" w:line="94" w:lineRule="exact"/>
              <w:rPr>
                <w:sz w:val="20"/>
                <w:szCs w:val="20"/>
                <w:color w:val="auto"/>
              </w:rPr>
            </w:pPr>
            <w:r>
              <w:rPr>
                <w:rFonts w:ascii="Arial" w:cs="Arial" w:eastAsia="Arial" w:hAnsi="Arial"/>
                <w:sz w:val="10"/>
                <w:szCs w:val="10"/>
                <w:b w:val="1"/>
                <w:bCs w:val="1"/>
                <w:color w:val="auto"/>
              </w:rPr>
              <w:t>Martin</w:t>
            </w:r>
          </w:p>
        </w:tc>
        <w:tc>
          <w:tcPr>
            <w:tcW w:w="740" w:type="dxa"/>
            <w:vAlign w:val="bottom"/>
            <w:tcBorders>
              <w:top w:val="single" w:sz="8" w:color="582C83"/>
              <w:bottom w:val="single" w:sz="8" w:color="E0DBEA"/>
            </w:tcBorders>
            <w:shd w:val="clear" w:color="auto" w:fill="E0DBEA"/>
          </w:tcPr>
          <w:p>
            <w:pPr>
              <w:jc w:val="right"/>
              <w:spacing w:after="0" w:line="124" w:lineRule="exact"/>
              <w:rPr>
                <w:sz w:val="20"/>
                <w:szCs w:val="20"/>
                <w:color w:val="auto"/>
              </w:rPr>
            </w:pPr>
            <w:r>
              <w:rPr>
                <w:rFonts w:ascii="Arial" w:cs="Arial" w:eastAsia="Arial" w:hAnsi="Arial"/>
                <w:sz w:val="13"/>
                <w:szCs w:val="13"/>
                <w:color w:val="auto"/>
              </w:rPr>
              <w:t>03/17/2025</w:t>
            </w:r>
          </w:p>
        </w:tc>
        <w:tc>
          <w:tcPr>
            <w:tcW w:w="900" w:type="dxa"/>
            <w:vAlign w:val="bottom"/>
            <w:tcBorders>
              <w:top w:val="single" w:sz="8" w:color="582C83"/>
            </w:tcBorders>
          </w:tcPr>
          <w:p>
            <w:pPr>
              <w:jc w:val="right"/>
              <w:spacing w:after="0" w:line="124" w:lineRule="exact"/>
              <w:rPr>
                <w:sz w:val="20"/>
                <w:szCs w:val="20"/>
                <w:color w:val="auto"/>
              </w:rPr>
            </w:pPr>
            <w:r>
              <w:rPr>
                <w:rFonts w:ascii="Arial" w:cs="Arial" w:eastAsia="Arial" w:hAnsi="Arial"/>
                <w:sz w:val="13"/>
                <w:szCs w:val="13"/>
                <w:color w:val="auto"/>
              </w:rPr>
              <w:t>Performance</w:t>
            </w:r>
          </w:p>
        </w:tc>
        <w:tc>
          <w:tcPr>
            <w:tcW w:w="680" w:type="dxa"/>
            <w:vAlign w:val="bottom"/>
            <w:tcBorders>
              <w:top w:val="single" w:sz="8" w:color="582C83"/>
              <w:bottom w:val="single" w:sz="8" w:color="E0DBEA"/>
            </w:tcBorders>
            <w:shd w:val="clear" w:color="auto" w:fill="E0DBEA"/>
          </w:tcPr>
          <w:p>
            <w:pPr>
              <w:jc w:val="center"/>
              <w:ind w:left="383"/>
              <w:spacing w:after="0" w:line="124" w:lineRule="exact"/>
              <w:rPr>
                <w:sz w:val="20"/>
                <w:szCs w:val="20"/>
                <w:color w:val="auto"/>
              </w:rPr>
            </w:pPr>
            <w:r>
              <w:rPr>
                <w:rFonts w:ascii="Arial" w:cs="Arial" w:eastAsia="Arial" w:hAnsi="Arial"/>
                <w:sz w:val="13"/>
                <w:szCs w:val="13"/>
                <w:color w:val="auto"/>
                <w:w w:val="91"/>
              </w:rPr>
              <w:t>—</w:t>
            </w:r>
          </w:p>
        </w:tc>
        <w:tc>
          <w:tcPr>
            <w:tcW w:w="180" w:type="dxa"/>
            <w:vAlign w:val="bottom"/>
            <w:tcBorders>
              <w:top w:val="single" w:sz="8" w:color="582C83"/>
              <w:bottom w:val="single" w:sz="8" w:color="E0DBEA"/>
            </w:tcBorders>
            <w:shd w:val="clear" w:color="auto" w:fill="E0DBEA"/>
          </w:tcPr>
          <w:p>
            <w:pPr>
              <w:spacing w:after="0"/>
              <w:rPr>
                <w:sz w:val="14"/>
                <w:szCs w:val="14"/>
                <w:color w:val="auto"/>
              </w:rPr>
            </w:pPr>
          </w:p>
        </w:tc>
        <w:tc>
          <w:tcPr>
            <w:tcW w:w="480" w:type="dxa"/>
            <w:vAlign w:val="bottom"/>
            <w:tcBorders>
              <w:top w:val="single" w:sz="8" w:color="582C83"/>
              <w:bottom w:val="single" w:sz="8" w:color="E0DBEA"/>
            </w:tcBorders>
            <w:shd w:val="clear" w:color="auto" w:fill="E0DBEA"/>
          </w:tcPr>
          <w:p>
            <w:pPr>
              <w:jc w:val="right"/>
              <w:spacing w:after="0" w:line="124"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582C83"/>
              <w:bottom w:val="single" w:sz="8" w:color="E0DBEA"/>
            </w:tcBorders>
            <w:gridSpan w:val="2"/>
            <w:shd w:val="clear" w:color="auto" w:fill="E0DBEA"/>
          </w:tcPr>
          <w:p>
            <w:pPr>
              <w:jc w:val="right"/>
              <w:ind w:right="100"/>
              <w:spacing w:after="0" w:line="124"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582C83"/>
              <w:bottom w:val="single" w:sz="8" w:color="E0DBEA"/>
            </w:tcBorders>
            <w:shd w:val="clear" w:color="auto" w:fill="E0DBEA"/>
          </w:tcPr>
          <w:p>
            <w:pPr>
              <w:jc w:val="right"/>
              <w:ind w:right="23"/>
              <w:spacing w:after="0" w:line="124" w:lineRule="exact"/>
              <w:rPr>
                <w:sz w:val="20"/>
                <w:szCs w:val="20"/>
                <w:color w:val="auto"/>
              </w:rPr>
            </w:pPr>
            <w:r>
              <w:rPr>
                <w:rFonts w:ascii="Arial" w:cs="Arial" w:eastAsia="Arial" w:hAnsi="Arial"/>
                <w:sz w:val="13"/>
                <w:szCs w:val="13"/>
                <w:color w:val="auto"/>
              </w:rPr>
              <w:t>16,385</w:t>
            </w:r>
          </w:p>
        </w:tc>
        <w:tc>
          <w:tcPr>
            <w:tcW w:w="640" w:type="dxa"/>
            <w:vAlign w:val="bottom"/>
            <w:tcBorders>
              <w:top w:val="single" w:sz="8" w:color="582C83"/>
              <w:bottom w:val="single" w:sz="8" w:color="E0DBEA"/>
            </w:tcBorders>
            <w:shd w:val="clear" w:color="auto" w:fill="E0DBEA"/>
          </w:tcPr>
          <w:p>
            <w:pPr>
              <w:jc w:val="right"/>
              <w:ind w:right="103"/>
              <w:spacing w:after="0" w:line="124" w:lineRule="exact"/>
              <w:rPr>
                <w:sz w:val="20"/>
                <w:szCs w:val="20"/>
                <w:color w:val="auto"/>
              </w:rPr>
            </w:pPr>
            <w:r>
              <w:rPr>
                <w:rFonts w:ascii="Arial" w:cs="Arial" w:eastAsia="Arial" w:hAnsi="Arial"/>
                <w:sz w:val="13"/>
                <w:szCs w:val="13"/>
                <w:color w:val="auto"/>
              </w:rPr>
              <w:t>32,770</w:t>
            </w:r>
          </w:p>
        </w:tc>
        <w:tc>
          <w:tcPr>
            <w:tcW w:w="500" w:type="dxa"/>
            <w:vAlign w:val="bottom"/>
            <w:tcBorders>
              <w:top w:val="single" w:sz="8" w:color="582C83"/>
              <w:bottom w:val="single" w:sz="8" w:color="E0DBEA"/>
            </w:tcBorders>
            <w:shd w:val="clear" w:color="auto" w:fill="E0DBEA"/>
          </w:tcPr>
          <w:p>
            <w:pPr>
              <w:jc w:val="right"/>
              <w:spacing w:after="0" w:line="124" w:lineRule="exact"/>
              <w:rPr>
                <w:sz w:val="20"/>
                <w:szCs w:val="20"/>
                <w:color w:val="auto"/>
              </w:rPr>
            </w:pPr>
            <w:r>
              <w:rPr>
                <w:rFonts w:ascii="Arial" w:cs="Arial" w:eastAsia="Arial" w:hAnsi="Arial"/>
                <w:sz w:val="13"/>
                <w:szCs w:val="13"/>
                <w:color w:val="auto"/>
              </w:rPr>
              <w:t>65,540</w:t>
            </w:r>
          </w:p>
        </w:tc>
        <w:tc>
          <w:tcPr>
            <w:tcW w:w="620" w:type="dxa"/>
            <w:vAlign w:val="bottom"/>
            <w:tcBorders>
              <w:top w:val="single" w:sz="8" w:color="582C83"/>
              <w:bottom w:val="single" w:sz="8" w:color="E0DBEA"/>
            </w:tcBorders>
            <w:shd w:val="clear" w:color="auto" w:fill="E0DBEA"/>
          </w:tcPr>
          <w:p>
            <w:pPr>
              <w:jc w:val="right"/>
              <w:ind w:right="10"/>
              <w:spacing w:after="0" w:line="124"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582C83"/>
              <w:bottom w:val="single" w:sz="8" w:color="E0DBEA"/>
            </w:tcBorders>
            <w:shd w:val="clear" w:color="auto" w:fill="E0DBEA"/>
          </w:tcPr>
          <w:p>
            <w:pPr>
              <w:jc w:val="right"/>
              <w:ind w:right="8"/>
              <w:spacing w:after="0" w:line="124"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582C83"/>
              <w:bottom w:val="single" w:sz="8" w:color="E0DBEA"/>
            </w:tcBorders>
            <w:shd w:val="clear" w:color="auto" w:fill="E0DBEA"/>
          </w:tcPr>
          <w:p>
            <w:pPr>
              <w:jc w:val="right"/>
              <w:ind w:right="47"/>
              <w:spacing w:after="0" w:line="124"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582C83"/>
              <w:bottom w:val="single" w:sz="8" w:color="E0DBEA"/>
            </w:tcBorders>
            <w:shd w:val="clear" w:color="auto" w:fill="E0DBEA"/>
          </w:tcPr>
          <w:p>
            <w:pPr>
              <w:jc w:val="right"/>
              <w:spacing w:after="0" w:line="124" w:lineRule="exact"/>
              <w:rPr>
                <w:sz w:val="20"/>
                <w:szCs w:val="20"/>
                <w:color w:val="auto"/>
              </w:rPr>
            </w:pPr>
            <w:r>
              <w:rPr>
                <w:rFonts w:ascii="Arial" w:cs="Arial" w:eastAsia="Arial" w:hAnsi="Arial"/>
                <w:sz w:val="13"/>
                <w:szCs w:val="13"/>
                <w:color w:val="auto"/>
              </w:rPr>
              <w:t>2,277,187</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00" w:type="dxa"/>
            <w:vAlign w:val="bottom"/>
          </w:tcPr>
          <w:p>
            <w:pPr>
              <w:jc w:val="right"/>
              <w:spacing w:after="0" w:line="107" w:lineRule="exact"/>
              <w:rPr>
                <w:sz w:val="20"/>
                <w:szCs w:val="20"/>
                <w:color w:val="auto"/>
              </w:rPr>
            </w:pPr>
            <w:r>
              <w:rPr>
                <w:rFonts w:ascii="Arial" w:cs="Arial" w:eastAsia="Arial" w:hAnsi="Arial"/>
                <w:sz w:val="12"/>
                <w:szCs w:val="12"/>
                <w:color w:val="auto"/>
              </w:rPr>
              <w:t>Share Units</w:t>
            </w: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03/17/2025</w:t>
            </w:r>
          </w:p>
        </w:tc>
        <w:tc>
          <w:tcPr>
            <w:tcW w:w="900" w:type="dxa"/>
            <w:vAlign w:val="bottom"/>
          </w:tcPr>
          <w:p>
            <w:pPr>
              <w:jc w:val="right"/>
              <w:spacing w:after="0"/>
              <w:rPr>
                <w:sz w:val="20"/>
                <w:szCs w:val="20"/>
                <w:color w:val="auto"/>
              </w:rPr>
            </w:pPr>
            <w:r>
              <w:rPr>
                <w:rFonts w:ascii="Arial" w:cs="Arial" w:eastAsia="Arial" w:hAnsi="Arial"/>
                <w:sz w:val="13"/>
                <w:szCs w:val="13"/>
                <w:color w:val="auto"/>
              </w:rPr>
              <w:t>Stock Options</w:t>
            </w:r>
          </w:p>
        </w:tc>
        <w:tc>
          <w:tcPr>
            <w:tcW w:w="680" w:type="dxa"/>
            <w:vAlign w:val="bottom"/>
          </w:tcPr>
          <w:p>
            <w:pPr>
              <w:jc w:val="center"/>
              <w:ind w:left="383"/>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2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03"/>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8"/>
              <w:spacing w:after="0"/>
              <w:rPr>
                <w:sz w:val="20"/>
                <w:szCs w:val="20"/>
                <w:color w:val="auto"/>
              </w:rPr>
            </w:pPr>
            <w:r>
              <w:rPr>
                <w:rFonts w:ascii="Arial" w:cs="Arial" w:eastAsia="Arial" w:hAnsi="Arial"/>
                <w:sz w:val="13"/>
                <w:szCs w:val="13"/>
                <w:color w:val="auto"/>
              </w:rPr>
              <w:t>54,610</w:t>
            </w:r>
          </w:p>
        </w:tc>
        <w:tc>
          <w:tcPr>
            <w:tcW w:w="660" w:type="dxa"/>
            <w:vAlign w:val="bottom"/>
          </w:tcPr>
          <w:p>
            <w:pPr>
              <w:jc w:val="right"/>
              <w:ind w:right="47"/>
              <w:spacing w:after="0"/>
              <w:rPr>
                <w:sz w:val="20"/>
                <w:szCs w:val="20"/>
                <w:color w:val="auto"/>
              </w:rPr>
            </w:pPr>
            <w:r>
              <w:rPr>
                <w:rFonts w:ascii="Arial" w:cs="Arial" w:eastAsia="Arial" w:hAnsi="Arial"/>
                <w:sz w:val="13"/>
                <w:szCs w:val="13"/>
                <w:color w:val="auto"/>
              </w:rPr>
              <w:t>65.09</w:t>
            </w:r>
          </w:p>
        </w:tc>
        <w:tc>
          <w:tcPr>
            <w:tcW w:w="700" w:type="dxa"/>
            <w:vAlign w:val="bottom"/>
          </w:tcPr>
          <w:p>
            <w:pPr>
              <w:jc w:val="right"/>
              <w:spacing w:after="0"/>
              <w:rPr>
                <w:sz w:val="20"/>
                <w:szCs w:val="20"/>
                <w:color w:val="auto"/>
              </w:rPr>
            </w:pPr>
            <w:r>
              <w:rPr>
                <w:rFonts w:ascii="Arial" w:cs="Arial" w:eastAsia="Arial" w:hAnsi="Arial"/>
                <w:sz w:val="13"/>
                <w:szCs w:val="13"/>
                <w:color w:val="auto"/>
              </w:rPr>
              <w:t>689,724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-1619250</wp:posOffset>
            </wp:positionV>
            <wp:extent cx="6810375" cy="54197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10375" cy="5419725"/>
                    </a:xfrm>
                    <a:prstGeom prst="rect">
                      <a:avLst/>
                    </a:prstGeom>
                    <a:noFill/>
                  </pic:spPr>
                </pic:pic>
              </a:graphicData>
            </a:graphic>
          </wp:anchor>
        </w:drawing>
      </w:r>
    </w:p>
    <w:p>
      <w:pPr>
        <w:spacing w:after="0" w:line="57" w:lineRule="exact"/>
        <w:rPr>
          <w:sz w:val="20"/>
          <w:szCs w:val="20"/>
          <w:color w:val="auto"/>
        </w:rPr>
      </w:pPr>
    </w:p>
    <w:p>
      <w:pPr>
        <w:ind w:left="260" w:right="220" w:hanging="253"/>
        <w:spacing w:after="0" w:line="267" w:lineRule="auto"/>
        <w:tabs>
          <w:tab w:leader="none" w:pos="26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final payout of the 2025 AIP can range from 0% to 200% of the target amount, with performance at the threshold level resulting in a 0% payout and interpolation for performance between the performance levels; thus, payout at threshold performance is reflected at 0%. Actual amounts earned under our 2025 AIP are disclosed in the “Non-Equity Incentive Plan Compensation Annual Incentive Awards” column in the 2025 SCT. Amounts for Mr. Kuhn were converted to USD using the Applicable Exchange Rate.</w:t>
      </w:r>
    </w:p>
    <w:p>
      <w:pPr>
        <w:ind w:left="260" w:right="100" w:hanging="253"/>
        <w:spacing w:after="0" w:line="263" w:lineRule="auto"/>
        <w:tabs>
          <w:tab w:leader="none" w:pos="26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Threshold equals 50% of target and maximum equals 200% of target. A zero payout is possible if threshold performance levels are not achieved. The target number of units shown in the table reflects the number of shares of our Common Stock earned if performance is achieved at target levels. Actual shares earned under the 2025-2027 PSUs will be determined and settled no later than March 15, 2028. Any shares earned will be settled net of applicable tax withholding. Dividend equivalents accrue during the performance cycle and will be paid at the end of the performance cycle in cash, net of applicable tax withholding, based on the actual number of shares earned for the performance cycle, if any.</w:t>
      </w:r>
    </w:p>
    <w:p>
      <w:pPr>
        <w:ind w:left="260" w:hanging="253"/>
        <w:spacing w:after="0"/>
        <w:tabs>
          <w:tab w:leader="none" w:pos="26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Dividend equivalents accrue on unvested DSUs and will be paid upon vesting, net of applicable tax withholding.</w:t>
      </w:r>
    </w:p>
    <w:p>
      <w:pPr>
        <w:spacing w:after="0" w:line="16" w:lineRule="exact"/>
        <w:rPr>
          <w:rFonts w:ascii="Arial" w:cs="Arial" w:eastAsia="Arial" w:hAnsi="Arial"/>
          <w:sz w:val="13"/>
          <w:szCs w:val="13"/>
          <w:color w:val="auto"/>
        </w:rPr>
      </w:pPr>
    </w:p>
    <w:p>
      <w:pPr>
        <w:ind w:left="260" w:hanging="253"/>
        <w:spacing w:after="0"/>
        <w:tabs>
          <w:tab w:leader="none" w:pos="26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Exercise price equals the closing price of our Common Stock on the grant date.</w:t>
      </w:r>
    </w:p>
    <w:p>
      <w:pPr>
        <w:spacing w:after="0" w:line="12" w:lineRule="exact"/>
        <w:rPr>
          <w:rFonts w:ascii="Arial" w:cs="Arial" w:eastAsia="Arial" w:hAnsi="Arial"/>
          <w:sz w:val="13"/>
          <w:szCs w:val="13"/>
          <w:color w:val="auto"/>
        </w:rPr>
      </w:pPr>
    </w:p>
    <w:p>
      <w:pPr>
        <w:ind w:left="260" w:right="460" w:hanging="253"/>
        <w:spacing w:after="0" w:line="260" w:lineRule="auto"/>
        <w:tabs>
          <w:tab w:leader="none" w:pos="26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Amounts represent the grant date fair value of the awards as computed in accordance with FASB ASC Topic 718, which for PSUs are based upon the probable outcome of the performance conditions.</w:t>
      </w:r>
    </w:p>
    <w:p>
      <w:pPr>
        <w:ind w:left="260" w:right="400" w:hanging="253"/>
        <w:spacing w:after="0" w:line="280" w:lineRule="auto"/>
        <w:tabs>
          <w:tab w:leader="none" w:pos="26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Reflects Mr. Kuhn’s sign-on DSUs which vests annually over three years. The sign-on equity award was designed to offset compensation opportunities forfeited upon leaving his prior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50139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10375" cy="5013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EXECUTIVE COMPENSATION TABLES</w:t>
      </w:r>
    </w:p>
    <w:p>
      <w:pPr>
        <w:spacing w:after="0" w:line="33" w:lineRule="exact"/>
        <w:rPr>
          <w:sz w:val="20"/>
          <w:szCs w:val="20"/>
          <w:color w:val="auto"/>
        </w:rPr>
      </w:pPr>
    </w:p>
    <w:p>
      <w:pPr>
        <w:ind w:left="60"/>
        <w:spacing w:after="0" w:line="161" w:lineRule="exact"/>
        <w:rPr>
          <w:sz w:val="20"/>
          <w:szCs w:val="20"/>
          <w:color w:val="auto"/>
        </w:rPr>
      </w:pPr>
      <w:r>
        <w:rPr>
          <w:rFonts w:ascii="Arial" w:cs="Arial" w:eastAsia="Arial" w:hAnsi="Arial"/>
          <w:sz w:val="14"/>
          <w:szCs w:val="14"/>
          <w:color w:val="auto"/>
        </w:rPr>
        <w:t>2025 Outstanding Equity Awards at Fiscal Year</w:t>
      </w:r>
      <w:r>
        <w:rPr>
          <w:rFonts w:ascii="MS PGothic" w:cs="MS PGothic" w:eastAsia="MS PGothic" w:hAnsi="MS PGothic"/>
          <w:sz w:val="14"/>
          <w:szCs w:val="14"/>
          <w:color w:val="auto"/>
        </w:rPr>
        <w:t>‑</w:t>
      </w:r>
      <w:r>
        <w:rPr>
          <w:rFonts w:ascii="Arial" w:cs="Arial" w:eastAsia="Arial" w:hAnsi="Arial"/>
          <w:sz w:val="14"/>
          <w:szCs w:val="14"/>
          <w:color w:val="auto"/>
        </w:rPr>
        <w:t>End</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2025 OUTSTANDING EQUITY AWARDS AT FISCAL YEAR-END</w:t>
      </w:r>
    </w:p>
    <w:p>
      <w:pPr>
        <w:spacing w:after="0" w:line="200" w:lineRule="exact"/>
        <w:rPr>
          <w:sz w:val="20"/>
          <w:szCs w:val="20"/>
          <w:color w:val="auto"/>
        </w:rPr>
      </w:pP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Equity</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Incentive Plan</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Incentive Plan</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w w:val="99"/>
              </w:rPr>
              <w:t>Awards: Market</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Awards:</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or Payout</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auto"/>
              </w:rPr>
              <w:t>Number of</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Market</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1140" w:type="dxa"/>
            <w:vAlign w:val="bottom"/>
          </w:tcPr>
          <w:p>
            <w:pPr>
              <w:jc w:val="right"/>
              <w:ind w:right="57"/>
              <w:spacing w:after="0"/>
              <w:rPr>
                <w:sz w:val="20"/>
                <w:szCs w:val="20"/>
                <w:color w:val="auto"/>
              </w:rPr>
            </w:pPr>
            <w:r>
              <w:rPr>
                <w:rFonts w:ascii="Arial" w:cs="Arial" w:eastAsia="Arial" w:hAnsi="Arial"/>
                <w:sz w:val="13"/>
                <w:szCs w:val="13"/>
                <w:b w:val="1"/>
                <w:bCs w:val="1"/>
                <w:color w:val="auto"/>
              </w:rPr>
              <w:t>Number of</w:t>
            </w: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auto"/>
              </w:rPr>
              <w:t>Shares or</w:t>
            </w: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Value of</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Unearned</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Unearned</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Securities</w:t>
            </w:r>
          </w:p>
        </w:tc>
        <w:tc>
          <w:tcPr>
            <w:tcW w:w="1140" w:type="dxa"/>
            <w:vAlign w:val="bottom"/>
          </w:tcPr>
          <w:p>
            <w:pPr>
              <w:jc w:val="right"/>
              <w:ind w:right="57"/>
              <w:spacing w:after="0"/>
              <w:rPr>
                <w:sz w:val="20"/>
                <w:szCs w:val="20"/>
                <w:color w:val="auto"/>
              </w:rPr>
            </w:pPr>
            <w:r>
              <w:rPr>
                <w:rFonts w:ascii="Arial" w:cs="Arial" w:eastAsia="Arial" w:hAnsi="Arial"/>
                <w:sz w:val="13"/>
                <w:szCs w:val="13"/>
                <w:b w:val="1"/>
                <w:bCs w:val="1"/>
                <w:color w:val="auto"/>
              </w:rPr>
              <w:t>Securities</w:t>
            </w: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auto"/>
              </w:rPr>
              <w:t>Units of</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Shares or</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Shares, Units</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Shares, Units</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Underlying</w:t>
            </w:r>
          </w:p>
        </w:tc>
        <w:tc>
          <w:tcPr>
            <w:tcW w:w="1140" w:type="dxa"/>
            <w:vAlign w:val="bottom"/>
          </w:tcPr>
          <w:p>
            <w:pPr>
              <w:jc w:val="right"/>
              <w:ind w:right="57"/>
              <w:spacing w:after="0"/>
              <w:rPr>
                <w:sz w:val="20"/>
                <w:szCs w:val="20"/>
                <w:color w:val="auto"/>
              </w:rPr>
            </w:pPr>
            <w:r>
              <w:rPr>
                <w:rFonts w:ascii="Arial" w:cs="Arial" w:eastAsia="Arial" w:hAnsi="Arial"/>
                <w:sz w:val="13"/>
                <w:szCs w:val="13"/>
                <w:b w:val="1"/>
                <w:bCs w:val="1"/>
                <w:color w:val="auto"/>
              </w:rPr>
              <w:t>Underlying</w:t>
            </w: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auto"/>
              </w:rPr>
              <w:t>Stock</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Units of</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or Other Rights</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or Other Rights</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Unexercised</w:t>
            </w:r>
          </w:p>
        </w:tc>
        <w:tc>
          <w:tcPr>
            <w:tcW w:w="1140" w:type="dxa"/>
            <w:vAlign w:val="bottom"/>
          </w:tcPr>
          <w:p>
            <w:pPr>
              <w:jc w:val="right"/>
              <w:ind w:right="57"/>
              <w:spacing w:after="0"/>
              <w:rPr>
                <w:sz w:val="20"/>
                <w:szCs w:val="20"/>
                <w:color w:val="auto"/>
              </w:rPr>
            </w:pPr>
            <w:r>
              <w:rPr>
                <w:rFonts w:ascii="Arial" w:cs="Arial" w:eastAsia="Arial" w:hAnsi="Arial"/>
                <w:sz w:val="13"/>
                <w:szCs w:val="13"/>
                <w:b w:val="1"/>
                <w:bCs w:val="1"/>
                <w:color w:val="auto"/>
              </w:rPr>
              <w:t>Unexercised</w:t>
            </w:r>
          </w:p>
        </w:tc>
        <w:tc>
          <w:tcPr>
            <w:tcW w:w="740" w:type="dxa"/>
            <w:vAlign w:val="bottom"/>
          </w:tcPr>
          <w:p>
            <w:pPr>
              <w:jc w:val="right"/>
              <w:ind w:right="37"/>
              <w:spacing w:after="0"/>
              <w:rPr>
                <w:sz w:val="20"/>
                <w:szCs w:val="20"/>
                <w:color w:val="auto"/>
              </w:rPr>
            </w:pPr>
            <w:r>
              <w:rPr>
                <w:rFonts w:ascii="Arial" w:cs="Arial" w:eastAsia="Arial" w:hAnsi="Arial"/>
                <w:sz w:val="13"/>
                <w:szCs w:val="13"/>
                <w:b w:val="1"/>
                <w:bCs w:val="1"/>
                <w:color w:val="auto"/>
              </w:rPr>
              <w:t>Options</w:t>
            </w:r>
          </w:p>
        </w:tc>
        <w:tc>
          <w:tcPr>
            <w:tcW w:w="84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auto"/>
              </w:rPr>
              <w:t>That Have</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Stock That</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That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That</w:t>
            </w:r>
          </w:p>
        </w:tc>
        <w:tc>
          <w:tcPr>
            <w:tcW w:w="0" w:type="dxa"/>
            <w:vAlign w:val="bottom"/>
          </w:tcPr>
          <w:p>
            <w:pPr>
              <w:spacing w:after="0"/>
              <w:rPr>
                <w:sz w:val="1"/>
                <w:szCs w:val="1"/>
                <w:color w:val="auto"/>
              </w:rPr>
            </w:pPr>
          </w:p>
        </w:tc>
      </w:tr>
      <w:tr>
        <w:trPr>
          <w:trHeight w:val="138"/>
        </w:trPr>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Options</w:t>
            </w:r>
          </w:p>
        </w:tc>
        <w:tc>
          <w:tcPr>
            <w:tcW w:w="1140" w:type="dxa"/>
            <w:vAlign w:val="bottom"/>
          </w:tcPr>
          <w:p>
            <w:pPr>
              <w:jc w:val="right"/>
              <w:ind w:right="57"/>
              <w:spacing w:after="0" w:line="139" w:lineRule="exact"/>
              <w:rPr>
                <w:sz w:val="20"/>
                <w:szCs w:val="20"/>
                <w:color w:val="auto"/>
              </w:rPr>
            </w:pPr>
            <w:r>
              <w:rPr>
                <w:rFonts w:ascii="Arial" w:cs="Arial" w:eastAsia="Arial" w:hAnsi="Arial"/>
                <w:sz w:val="13"/>
                <w:szCs w:val="13"/>
                <w:b w:val="1"/>
                <w:bCs w:val="1"/>
                <w:color w:val="auto"/>
              </w:rPr>
              <w:t>Options</w:t>
            </w: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b w:val="1"/>
                <w:bCs w:val="1"/>
                <w:color w:val="auto"/>
              </w:rPr>
              <w:t>Exercise</w:t>
            </w:r>
          </w:p>
        </w:tc>
        <w:tc>
          <w:tcPr>
            <w:tcW w:w="840" w:type="dxa"/>
            <w:vAlign w:val="bottom"/>
          </w:tcPr>
          <w:p>
            <w:pPr>
              <w:jc w:val="right"/>
              <w:ind w:right="57"/>
              <w:spacing w:after="0" w:line="139" w:lineRule="exact"/>
              <w:rPr>
                <w:sz w:val="20"/>
                <w:szCs w:val="20"/>
                <w:color w:val="auto"/>
              </w:rPr>
            </w:pPr>
            <w:r>
              <w:rPr>
                <w:rFonts w:ascii="Arial" w:cs="Arial" w:eastAsia="Arial" w:hAnsi="Arial"/>
                <w:sz w:val="13"/>
                <w:szCs w:val="13"/>
                <w:b w:val="1"/>
                <w:bCs w:val="1"/>
                <w:color w:val="auto"/>
              </w:rPr>
              <w:t>Options</w:t>
            </w:r>
          </w:p>
        </w:tc>
        <w:tc>
          <w:tcPr>
            <w:tcW w:w="820" w:type="dxa"/>
            <w:vAlign w:val="bottom"/>
          </w:tcPr>
          <w:p>
            <w:pPr>
              <w:jc w:val="right"/>
              <w:ind w:right="17"/>
              <w:spacing w:after="0" w:line="139" w:lineRule="exact"/>
              <w:rPr>
                <w:sz w:val="20"/>
                <w:szCs w:val="20"/>
                <w:color w:val="auto"/>
              </w:rPr>
            </w:pPr>
            <w:r>
              <w:rPr>
                <w:rFonts w:ascii="Arial" w:cs="Arial" w:eastAsia="Arial" w:hAnsi="Arial"/>
                <w:sz w:val="13"/>
                <w:szCs w:val="13"/>
                <w:b w:val="1"/>
                <w:bCs w:val="1"/>
                <w:color w:val="auto"/>
              </w:rPr>
              <w:t>Not</w:t>
            </w:r>
          </w:p>
        </w:tc>
        <w:tc>
          <w:tcPr>
            <w:tcW w:w="80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Have Not</w:t>
            </w:r>
          </w:p>
        </w:tc>
        <w:tc>
          <w:tcPr>
            <w:tcW w:w="102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Have Not</w:t>
            </w:r>
          </w:p>
        </w:tc>
        <w:tc>
          <w:tcPr>
            <w:tcW w:w="100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Have Not</w:t>
            </w: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Exercisable</w:t>
            </w:r>
          </w:p>
        </w:tc>
        <w:tc>
          <w:tcPr>
            <w:tcW w:w="1140" w:type="dxa"/>
            <w:vAlign w:val="bottom"/>
          </w:tcPr>
          <w:p>
            <w:pPr>
              <w:jc w:val="right"/>
              <w:ind w:right="57"/>
              <w:spacing w:after="0" w:line="158" w:lineRule="exact"/>
              <w:rPr>
                <w:sz w:val="20"/>
                <w:szCs w:val="20"/>
                <w:color w:val="auto"/>
              </w:rPr>
            </w:pPr>
            <w:r>
              <w:rPr>
                <w:rFonts w:ascii="Arial" w:cs="Arial" w:eastAsia="Arial" w:hAnsi="Arial"/>
                <w:sz w:val="13"/>
                <w:szCs w:val="13"/>
                <w:b w:val="1"/>
                <w:bCs w:val="1"/>
                <w:color w:val="auto"/>
                <w:w w:val="98"/>
              </w:rPr>
              <w:t>Unexercisable</w:t>
            </w:r>
            <w:r>
              <w:rPr>
                <w:rFonts w:ascii="Arial" w:cs="Arial" w:eastAsia="Arial" w:hAnsi="Arial"/>
                <w:sz w:val="16"/>
                <w:szCs w:val="16"/>
                <w:b w:val="1"/>
                <w:bCs w:val="1"/>
                <w:color w:val="auto"/>
                <w:w w:val="98"/>
                <w:vertAlign w:val="superscript"/>
              </w:rPr>
              <w:t>(1)</w:t>
            </w:r>
          </w:p>
        </w:tc>
        <w:tc>
          <w:tcPr>
            <w:tcW w:w="740" w:type="dxa"/>
            <w:vAlign w:val="bottom"/>
          </w:tcPr>
          <w:p>
            <w:pPr>
              <w:jc w:val="right"/>
              <w:ind w:right="37"/>
              <w:spacing w:after="0"/>
              <w:rPr>
                <w:sz w:val="20"/>
                <w:szCs w:val="20"/>
                <w:color w:val="auto"/>
              </w:rPr>
            </w:pPr>
            <w:r>
              <w:rPr>
                <w:rFonts w:ascii="Arial" w:cs="Arial" w:eastAsia="Arial" w:hAnsi="Arial"/>
                <w:sz w:val="13"/>
                <w:szCs w:val="13"/>
                <w:b w:val="1"/>
                <w:bCs w:val="1"/>
                <w:color w:val="auto"/>
              </w:rPr>
              <w:t>Price</w:t>
            </w:r>
          </w:p>
        </w:tc>
        <w:tc>
          <w:tcPr>
            <w:tcW w:w="840" w:type="dxa"/>
            <w:vAlign w:val="bottom"/>
          </w:tcPr>
          <w:p>
            <w:pPr>
              <w:jc w:val="right"/>
              <w:ind w:right="57"/>
              <w:spacing w:after="0"/>
              <w:rPr>
                <w:sz w:val="20"/>
                <w:szCs w:val="20"/>
                <w:color w:val="auto"/>
              </w:rPr>
            </w:pPr>
            <w:r>
              <w:rPr>
                <w:rFonts w:ascii="Arial" w:cs="Arial" w:eastAsia="Arial" w:hAnsi="Arial"/>
                <w:sz w:val="13"/>
                <w:szCs w:val="13"/>
                <w:b w:val="1"/>
                <w:bCs w:val="1"/>
                <w:color w:val="auto"/>
              </w:rPr>
              <w:t>Expiration</w:t>
            </w:r>
          </w:p>
        </w:tc>
        <w:tc>
          <w:tcPr>
            <w:tcW w:w="820" w:type="dxa"/>
            <w:vAlign w:val="bottom"/>
          </w:tcPr>
          <w:p>
            <w:pPr>
              <w:jc w:val="right"/>
              <w:ind w:right="17"/>
              <w:spacing w:after="0" w:line="158" w:lineRule="exact"/>
              <w:rPr>
                <w:sz w:val="20"/>
                <w:szCs w:val="20"/>
                <w:color w:val="auto"/>
              </w:rPr>
            </w:pPr>
            <w:r>
              <w:rPr>
                <w:rFonts w:ascii="Arial" w:cs="Arial" w:eastAsia="Arial" w:hAnsi="Arial"/>
                <w:sz w:val="13"/>
                <w:szCs w:val="13"/>
                <w:b w:val="1"/>
                <w:bCs w:val="1"/>
                <w:color w:val="auto"/>
              </w:rPr>
              <w:t>Vested</w:t>
            </w:r>
            <w:r>
              <w:rPr>
                <w:rFonts w:ascii="Arial" w:cs="Arial" w:eastAsia="Arial" w:hAnsi="Arial"/>
                <w:sz w:val="16"/>
                <w:szCs w:val="16"/>
                <w:b w:val="1"/>
                <w:bCs w:val="1"/>
                <w:color w:val="auto"/>
                <w:vertAlign w:val="superscript"/>
              </w:rPr>
              <w:t>(1)</w:t>
            </w: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Vested</w:t>
            </w:r>
          </w:p>
        </w:tc>
        <w:tc>
          <w:tcPr>
            <w:tcW w:w="1020" w:type="dxa"/>
            <w:vAlign w:val="bottom"/>
          </w:tcPr>
          <w:p>
            <w:pPr>
              <w:jc w:val="right"/>
              <w:spacing w:after="0" w:line="158" w:lineRule="exact"/>
              <w:rPr>
                <w:sz w:val="20"/>
                <w:szCs w:val="20"/>
                <w:color w:val="auto"/>
              </w:rPr>
            </w:pPr>
            <w:r>
              <w:rPr>
                <w:rFonts w:ascii="Arial" w:cs="Arial" w:eastAsia="Arial" w:hAnsi="Arial"/>
                <w:sz w:val="18"/>
                <w:szCs w:val="18"/>
                <w:b w:val="1"/>
                <w:bCs w:val="1"/>
                <w:color w:val="auto"/>
                <w:vertAlign w:val="subscript"/>
              </w:rPr>
              <w:t>Vested</w:t>
            </w:r>
            <w:r>
              <w:rPr>
                <w:rFonts w:ascii="Arial" w:cs="Arial" w:eastAsia="Arial" w:hAnsi="Arial"/>
                <w:sz w:val="7"/>
                <w:szCs w:val="7"/>
                <w:b w:val="1"/>
                <w:bCs w:val="1"/>
                <w:color w:val="auto"/>
              </w:rPr>
              <w:t>(1)(3)</w:t>
            </w:r>
          </w:p>
        </w:tc>
        <w:tc>
          <w:tcPr>
            <w:tcW w:w="1000" w:type="dxa"/>
            <w:vAlign w:val="bottom"/>
          </w:tcPr>
          <w:p>
            <w:pPr>
              <w:jc w:val="right"/>
              <w:spacing w:after="0" w:line="158" w:lineRule="exact"/>
              <w:rPr>
                <w:sz w:val="20"/>
                <w:szCs w:val="20"/>
                <w:color w:val="auto"/>
              </w:rPr>
            </w:pPr>
            <w:r>
              <w:rPr>
                <w:rFonts w:ascii="Arial" w:cs="Arial" w:eastAsia="Arial" w:hAnsi="Arial"/>
                <w:sz w:val="13"/>
                <w:szCs w:val="13"/>
                <w:b w:val="1"/>
                <w:bCs w:val="1"/>
                <w:color w:val="auto"/>
              </w:rPr>
              <w:t>Vested</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172"/>
        </w:trPr>
        <w:tc>
          <w:tcPr>
            <w:tcW w:w="8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880" w:type="dxa"/>
            <w:vAlign w:val="bottom"/>
          </w:tcPr>
          <w:p>
            <w:pPr>
              <w:jc w:val="right"/>
              <w:ind w:right="17"/>
              <w:spacing w:after="0"/>
              <w:rPr>
                <w:sz w:val="20"/>
                <w:szCs w:val="20"/>
                <w:color w:val="auto"/>
              </w:rPr>
            </w:pPr>
            <w:r>
              <w:rPr>
                <w:rFonts w:ascii="Arial" w:cs="Arial" w:eastAsia="Arial" w:hAnsi="Arial"/>
                <w:sz w:val="13"/>
                <w:szCs w:val="13"/>
                <w:b w:val="1"/>
                <w:bCs w:val="1"/>
                <w:color w:val="auto"/>
              </w:rPr>
              <w:t>Grant Date</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b w:val="1"/>
                <w:bCs w:val="1"/>
                <w:color w:val="auto"/>
              </w:rPr>
              <w:t>Date</w:t>
            </w: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6"/>
        </w:trPr>
        <w:tc>
          <w:tcPr>
            <w:tcW w:w="820" w:type="dxa"/>
            <w:vAlign w:val="bottom"/>
          </w:tcPr>
          <w:p>
            <w:pPr>
              <w:spacing w:after="0"/>
              <w:rPr>
                <w:sz w:val="20"/>
                <w:szCs w:val="20"/>
                <w:color w:val="auto"/>
              </w:rPr>
            </w:pPr>
            <w:r>
              <w:rPr>
                <w:rFonts w:ascii="Arial" w:cs="Arial" w:eastAsia="Arial" w:hAnsi="Arial"/>
                <w:sz w:val="13"/>
                <w:szCs w:val="13"/>
                <w:b w:val="1"/>
                <w:bCs w:val="1"/>
                <w:color w:val="auto"/>
              </w:rPr>
              <w:t>Van de Put,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11/20/2017</w:t>
            </w:r>
          </w:p>
        </w:tc>
        <w:tc>
          <w:tcPr>
            <w:tcW w:w="880" w:type="dxa"/>
            <w:vAlign w:val="bottom"/>
          </w:tcPr>
          <w:p>
            <w:pPr>
              <w:jc w:val="right"/>
              <w:spacing w:after="0"/>
              <w:rPr>
                <w:sz w:val="20"/>
                <w:szCs w:val="20"/>
                <w:color w:val="auto"/>
              </w:rPr>
            </w:pPr>
            <w:r>
              <w:rPr>
                <w:rFonts w:ascii="Arial" w:cs="Arial" w:eastAsia="Arial" w:hAnsi="Arial"/>
                <w:sz w:val="13"/>
                <w:szCs w:val="13"/>
                <w:color w:val="auto"/>
              </w:rPr>
              <w:t>133,580</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ind w:left="320"/>
              <w:spacing w:after="0"/>
              <w:rPr>
                <w:sz w:val="20"/>
                <w:szCs w:val="20"/>
                <w:color w:val="auto"/>
              </w:rPr>
            </w:pPr>
            <w:r>
              <w:rPr>
                <w:rFonts w:ascii="Arial" w:cs="Arial" w:eastAsia="Arial" w:hAnsi="Arial"/>
                <w:sz w:val="13"/>
                <w:szCs w:val="13"/>
                <w:color w:val="auto"/>
              </w:rPr>
              <w:t>42.11</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11/20/2027</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820" w:type="dxa"/>
            <w:vAlign w:val="bottom"/>
          </w:tcPr>
          <w:p>
            <w:pPr>
              <w:spacing w:after="0"/>
              <w:rPr>
                <w:sz w:val="20"/>
                <w:szCs w:val="20"/>
                <w:color w:val="auto"/>
              </w:rPr>
            </w:pPr>
            <w:r>
              <w:rPr>
                <w:rFonts w:ascii="Arial" w:cs="Arial" w:eastAsia="Arial" w:hAnsi="Arial"/>
                <w:sz w:val="13"/>
                <w:szCs w:val="13"/>
                <w:b w:val="1"/>
                <w:bCs w:val="1"/>
                <w:color w:val="auto"/>
              </w:rPr>
              <w:t>Dirk</w:t>
            </w:r>
          </w:p>
        </w:tc>
        <w:tc>
          <w:tcPr>
            <w:tcW w:w="880" w:type="dxa"/>
            <w:vAlign w:val="bottom"/>
            <w:vMerge w:val="restart"/>
          </w:tcPr>
          <w:p>
            <w:pPr>
              <w:jc w:val="right"/>
              <w:ind w:right="17"/>
              <w:spacing w:after="0"/>
              <w:rPr>
                <w:sz w:val="20"/>
                <w:szCs w:val="20"/>
                <w:color w:val="auto"/>
              </w:rPr>
            </w:pPr>
            <w:r>
              <w:rPr>
                <w:rFonts w:ascii="Arial" w:cs="Arial" w:eastAsia="Arial" w:hAnsi="Arial"/>
                <w:sz w:val="13"/>
                <w:szCs w:val="13"/>
                <w:color w:val="auto"/>
              </w:rPr>
              <w:t>02/22/2018</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258,570</w:t>
            </w:r>
          </w:p>
        </w:tc>
        <w:tc>
          <w:tcPr>
            <w:tcW w:w="11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auto"/>
              </w:rPr>
              <w:t>43.51</w:t>
            </w:r>
          </w:p>
        </w:tc>
        <w:tc>
          <w:tcPr>
            <w:tcW w:w="840" w:type="dxa"/>
            <w:vAlign w:val="bottom"/>
            <w:vMerge w:val="restart"/>
          </w:tcPr>
          <w:p>
            <w:pPr>
              <w:jc w:val="right"/>
              <w:ind w:right="57"/>
              <w:spacing w:after="0"/>
              <w:rPr>
                <w:sz w:val="20"/>
                <w:szCs w:val="20"/>
                <w:color w:val="auto"/>
              </w:rPr>
            </w:pPr>
            <w:r>
              <w:rPr>
                <w:rFonts w:ascii="Arial" w:cs="Arial" w:eastAsia="Arial" w:hAnsi="Arial"/>
                <w:sz w:val="13"/>
                <w:szCs w:val="13"/>
                <w:color w:val="auto"/>
              </w:rPr>
              <w:t>02/22/2028</w:t>
            </w: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8"/>
        </w:trPr>
        <w:tc>
          <w:tcPr>
            <w:tcW w:w="8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02/22/2019</w:t>
            </w:r>
          </w:p>
        </w:tc>
        <w:tc>
          <w:tcPr>
            <w:tcW w:w="880" w:type="dxa"/>
            <w:vAlign w:val="bottom"/>
          </w:tcPr>
          <w:p>
            <w:pPr>
              <w:jc w:val="right"/>
              <w:spacing w:after="0"/>
              <w:rPr>
                <w:sz w:val="20"/>
                <w:szCs w:val="20"/>
                <w:color w:val="auto"/>
              </w:rPr>
            </w:pPr>
            <w:r>
              <w:rPr>
                <w:rFonts w:ascii="Arial" w:cs="Arial" w:eastAsia="Arial" w:hAnsi="Arial"/>
                <w:sz w:val="13"/>
                <w:szCs w:val="13"/>
                <w:color w:val="auto"/>
              </w:rPr>
              <w:t>273,740</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ind w:left="320"/>
              <w:spacing w:after="0"/>
              <w:rPr>
                <w:sz w:val="20"/>
                <w:szCs w:val="20"/>
                <w:color w:val="auto"/>
              </w:rPr>
            </w:pPr>
            <w:r>
              <w:rPr>
                <w:rFonts w:ascii="Arial" w:cs="Arial" w:eastAsia="Arial" w:hAnsi="Arial"/>
                <w:sz w:val="13"/>
                <w:szCs w:val="13"/>
                <w:color w:val="auto"/>
              </w:rPr>
              <w:t>47.72</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02/22/2029</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02/20/2020</w:t>
            </w:r>
          </w:p>
        </w:tc>
        <w:tc>
          <w:tcPr>
            <w:tcW w:w="880" w:type="dxa"/>
            <w:vAlign w:val="bottom"/>
          </w:tcPr>
          <w:p>
            <w:pPr>
              <w:jc w:val="right"/>
              <w:spacing w:after="0"/>
              <w:rPr>
                <w:sz w:val="20"/>
                <w:szCs w:val="20"/>
                <w:color w:val="auto"/>
              </w:rPr>
            </w:pPr>
            <w:r>
              <w:rPr>
                <w:rFonts w:ascii="Arial" w:cs="Arial" w:eastAsia="Arial" w:hAnsi="Arial"/>
                <w:sz w:val="13"/>
                <w:szCs w:val="13"/>
                <w:color w:val="auto"/>
              </w:rPr>
              <w:t>232,900</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ind w:left="320"/>
              <w:spacing w:after="0"/>
              <w:rPr>
                <w:sz w:val="20"/>
                <w:szCs w:val="20"/>
                <w:color w:val="auto"/>
              </w:rPr>
            </w:pPr>
            <w:r>
              <w:rPr>
                <w:rFonts w:ascii="Arial" w:cs="Arial" w:eastAsia="Arial" w:hAnsi="Arial"/>
                <w:sz w:val="13"/>
                <w:szCs w:val="13"/>
                <w:color w:val="auto"/>
              </w:rPr>
              <w:t>59.04</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02/20/2030</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02/18/2021</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256,110</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ind w:left="320"/>
              <w:spacing w:after="0"/>
              <w:rPr>
                <w:sz w:val="20"/>
                <w:szCs w:val="20"/>
                <w:color w:val="auto"/>
              </w:rPr>
            </w:pPr>
            <w:r>
              <w:rPr>
                <w:rFonts w:ascii="Arial" w:cs="Arial" w:eastAsia="Arial" w:hAnsi="Arial"/>
                <w:sz w:val="13"/>
                <w:szCs w:val="13"/>
                <w:color w:val="auto"/>
              </w:rPr>
              <w:t>56.13</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02/18/2031</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02/24/2022</w:t>
            </w:r>
          </w:p>
        </w:tc>
        <w:tc>
          <w:tcPr>
            <w:tcW w:w="880" w:type="dxa"/>
            <w:vAlign w:val="bottom"/>
          </w:tcPr>
          <w:p>
            <w:pPr>
              <w:jc w:val="right"/>
              <w:spacing w:after="0"/>
              <w:rPr>
                <w:sz w:val="20"/>
                <w:szCs w:val="20"/>
                <w:color w:val="auto"/>
              </w:rPr>
            </w:pPr>
            <w:r>
              <w:rPr>
                <w:rFonts w:ascii="Arial" w:cs="Arial" w:eastAsia="Arial" w:hAnsi="Arial"/>
                <w:sz w:val="13"/>
                <w:szCs w:val="13"/>
                <w:color w:val="auto"/>
              </w:rPr>
              <w:t>232,020</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ind w:left="320"/>
              <w:spacing w:after="0"/>
              <w:rPr>
                <w:sz w:val="20"/>
                <w:szCs w:val="20"/>
                <w:color w:val="auto"/>
              </w:rPr>
            </w:pPr>
            <w:r>
              <w:rPr>
                <w:rFonts w:ascii="Arial" w:cs="Arial" w:eastAsia="Arial" w:hAnsi="Arial"/>
                <w:sz w:val="13"/>
                <w:szCs w:val="13"/>
                <w:color w:val="auto"/>
              </w:rPr>
              <w:t>64.65</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02/24/2032</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03/02/2023</w:t>
            </w:r>
          </w:p>
        </w:tc>
        <w:tc>
          <w:tcPr>
            <w:tcW w:w="880" w:type="dxa"/>
            <w:vAlign w:val="bottom"/>
          </w:tcPr>
          <w:p>
            <w:pPr>
              <w:jc w:val="right"/>
              <w:spacing w:after="0"/>
              <w:rPr>
                <w:sz w:val="20"/>
                <w:szCs w:val="20"/>
                <w:color w:val="auto"/>
              </w:rPr>
            </w:pPr>
            <w:r>
              <w:rPr>
                <w:rFonts w:ascii="Arial" w:cs="Arial" w:eastAsia="Arial" w:hAnsi="Arial"/>
                <w:sz w:val="13"/>
                <w:szCs w:val="13"/>
                <w:color w:val="auto"/>
              </w:rPr>
              <w:t>170,405</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87,785</w:t>
            </w:r>
          </w:p>
        </w:tc>
        <w:tc>
          <w:tcPr>
            <w:tcW w:w="740" w:type="dxa"/>
            <w:vAlign w:val="bottom"/>
          </w:tcPr>
          <w:p>
            <w:pPr>
              <w:ind w:left="320"/>
              <w:spacing w:after="0"/>
              <w:rPr>
                <w:sz w:val="20"/>
                <w:szCs w:val="20"/>
                <w:color w:val="auto"/>
              </w:rPr>
            </w:pPr>
            <w:r>
              <w:rPr>
                <w:rFonts w:ascii="Arial" w:cs="Arial" w:eastAsia="Arial" w:hAnsi="Arial"/>
                <w:sz w:val="13"/>
                <w:szCs w:val="13"/>
                <w:color w:val="auto"/>
              </w:rPr>
              <w:t>65.36</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03/02/2033</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02/27/2024</w:t>
            </w:r>
          </w:p>
        </w:tc>
        <w:tc>
          <w:tcPr>
            <w:tcW w:w="880" w:type="dxa"/>
            <w:vAlign w:val="bottom"/>
          </w:tcPr>
          <w:p>
            <w:pPr>
              <w:jc w:val="right"/>
              <w:spacing w:after="0"/>
              <w:rPr>
                <w:sz w:val="20"/>
                <w:szCs w:val="20"/>
                <w:color w:val="auto"/>
              </w:rPr>
            </w:pPr>
            <w:r>
              <w:rPr>
                <w:rFonts w:ascii="Arial" w:cs="Arial" w:eastAsia="Arial" w:hAnsi="Arial"/>
                <w:sz w:val="13"/>
                <w:szCs w:val="13"/>
                <w:color w:val="auto"/>
              </w:rPr>
              <w:t>94,762</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192,398</w:t>
            </w:r>
          </w:p>
        </w:tc>
        <w:tc>
          <w:tcPr>
            <w:tcW w:w="740" w:type="dxa"/>
            <w:vAlign w:val="bottom"/>
          </w:tcPr>
          <w:p>
            <w:pPr>
              <w:ind w:left="320"/>
              <w:spacing w:after="0"/>
              <w:rPr>
                <w:sz w:val="20"/>
                <w:szCs w:val="20"/>
                <w:color w:val="auto"/>
              </w:rPr>
            </w:pPr>
            <w:r>
              <w:rPr>
                <w:rFonts w:ascii="Arial" w:cs="Arial" w:eastAsia="Arial" w:hAnsi="Arial"/>
                <w:sz w:val="13"/>
                <w:szCs w:val="13"/>
                <w:color w:val="auto"/>
              </w:rPr>
              <w:t>73.13</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02/27/2034</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86,150</w:t>
            </w:r>
          </w:p>
        </w:tc>
        <w:tc>
          <w:tcPr>
            <w:tcW w:w="1000" w:type="dxa"/>
            <w:vAlign w:val="bottom"/>
          </w:tcPr>
          <w:p>
            <w:pPr>
              <w:jc w:val="right"/>
              <w:spacing w:after="0"/>
              <w:rPr>
                <w:sz w:val="20"/>
                <w:szCs w:val="20"/>
                <w:color w:val="auto"/>
              </w:rPr>
            </w:pPr>
            <w:r>
              <w:rPr>
                <w:rFonts w:ascii="Arial" w:cs="Arial" w:eastAsia="Arial" w:hAnsi="Arial"/>
                <w:sz w:val="13"/>
                <w:szCs w:val="13"/>
                <w:color w:val="auto"/>
              </w:rPr>
              <w:t>4,637,455</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03/17/2025</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348,500</w:t>
            </w:r>
          </w:p>
        </w:tc>
        <w:tc>
          <w:tcPr>
            <w:tcW w:w="740" w:type="dxa"/>
            <w:vAlign w:val="bottom"/>
          </w:tcPr>
          <w:p>
            <w:pPr>
              <w:ind w:left="320"/>
              <w:spacing w:after="0"/>
              <w:rPr>
                <w:sz w:val="20"/>
                <w:szCs w:val="20"/>
                <w:color w:val="auto"/>
              </w:rPr>
            </w:pPr>
            <w:r>
              <w:rPr>
                <w:rFonts w:ascii="Arial" w:cs="Arial" w:eastAsia="Arial" w:hAnsi="Arial"/>
                <w:sz w:val="13"/>
                <w:szCs w:val="13"/>
                <w:color w:val="auto"/>
              </w:rPr>
              <w:t>65.09</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03/17/2035</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209,100</w:t>
            </w:r>
          </w:p>
        </w:tc>
        <w:tc>
          <w:tcPr>
            <w:tcW w:w="1000" w:type="dxa"/>
            <w:vAlign w:val="bottom"/>
          </w:tcPr>
          <w:p>
            <w:pPr>
              <w:jc w:val="right"/>
              <w:spacing w:after="0"/>
              <w:rPr>
                <w:sz w:val="20"/>
                <w:szCs w:val="20"/>
                <w:color w:val="auto"/>
              </w:rPr>
            </w:pPr>
            <w:r>
              <w:rPr>
                <w:rFonts w:ascii="Arial" w:cs="Arial" w:eastAsia="Arial" w:hAnsi="Arial"/>
                <w:sz w:val="13"/>
                <w:szCs w:val="13"/>
                <w:color w:val="auto"/>
              </w:rPr>
              <w:t>11,255,853</w:t>
            </w:r>
          </w:p>
        </w:tc>
        <w:tc>
          <w:tcPr>
            <w:tcW w:w="0" w:type="dxa"/>
            <w:vAlign w:val="bottom"/>
          </w:tcPr>
          <w:p>
            <w:pPr>
              <w:spacing w:after="0"/>
              <w:rPr>
                <w:sz w:val="1"/>
                <w:szCs w:val="1"/>
                <w:color w:val="auto"/>
              </w:rPr>
            </w:pPr>
          </w:p>
        </w:tc>
      </w:tr>
      <w:tr>
        <w:trPr>
          <w:trHeight w:val="185"/>
        </w:trPr>
        <w:tc>
          <w:tcPr>
            <w:tcW w:w="820" w:type="dxa"/>
            <w:vAlign w:val="bottom"/>
          </w:tcPr>
          <w:p>
            <w:pPr>
              <w:spacing w:after="0"/>
              <w:rPr>
                <w:sz w:val="20"/>
                <w:szCs w:val="20"/>
                <w:color w:val="auto"/>
              </w:rPr>
            </w:pPr>
            <w:r>
              <w:rPr>
                <w:rFonts w:ascii="Arial" w:cs="Arial" w:eastAsia="Arial" w:hAnsi="Arial"/>
                <w:sz w:val="13"/>
                <w:szCs w:val="13"/>
                <w:b w:val="1"/>
                <w:bCs w:val="1"/>
                <w:color w:val="auto"/>
              </w:rPr>
              <w:t>Zaramella,</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02/16/2017</w:t>
            </w:r>
          </w:p>
        </w:tc>
        <w:tc>
          <w:tcPr>
            <w:tcW w:w="880" w:type="dxa"/>
            <w:vAlign w:val="bottom"/>
          </w:tcPr>
          <w:p>
            <w:pPr>
              <w:jc w:val="right"/>
              <w:spacing w:after="0"/>
              <w:rPr>
                <w:sz w:val="20"/>
                <w:szCs w:val="20"/>
                <w:color w:val="auto"/>
              </w:rPr>
            </w:pPr>
            <w:r>
              <w:rPr>
                <w:rFonts w:ascii="Arial" w:cs="Arial" w:eastAsia="Arial" w:hAnsi="Arial"/>
                <w:sz w:val="13"/>
                <w:szCs w:val="13"/>
                <w:color w:val="auto"/>
              </w:rPr>
              <w:t>22,570</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ind w:left="320"/>
              <w:spacing w:after="0"/>
              <w:rPr>
                <w:sz w:val="20"/>
                <w:szCs w:val="20"/>
                <w:color w:val="auto"/>
              </w:rPr>
            </w:pPr>
            <w:r>
              <w:rPr>
                <w:rFonts w:ascii="Arial" w:cs="Arial" w:eastAsia="Arial" w:hAnsi="Arial"/>
                <w:sz w:val="13"/>
                <w:szCs w:val="13"/>
                <w:color w:val="auto"/>
              </w:rPr>
              <w:t>43.20</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02/16/2027</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820" w:type="dxa"/>
            <w:vAlign w:val="bottom"/>
          </w:tcPr>
          <w:p>
            <w:pPr>
              <w:spacing w:after="0"/>
              <w:rPr>
                <w:sz w:val="20"/>
                <w:szCs w:val="20"/>
                <w:color w:val="auto"/>
              </w:rPr>
            </w:pPr>
            <w:r>
              <w:rPr>
                <w:rFonts w:ascii="Arial" w:cs="Arial" w:eastAsia="Arial" w:hAnsi="Arial"/>
                <w:sz w:val="13"/>
                <w:szCs w:val="13"/>
                <w:b w:val="1"/>
                <w:bCs w:val="1"/>
                <w:color w:val="auto"/>
              </w:rPr>
              <w:t>Luca</w:t>
            </w:r>
          </w:p>
        </w:tc>
        <w:tc>
          <w:tcPr>
            <w:tcW w:w="880" w:type="dxa"/>
            <w:vAlign w:val="bottom"/>
            <w:vMerge w:val="restart"/>
          </w:tcPr>
          <w:p>
            <w:pPr>
              <w:jc w:val="right"/>
              <w:ind w:right="17"/>
              <w:spacing w:after="0"/>
              <w:rPr>
                <w:sz w:val="20"/>
                <w:szCs w:val="20"/>
                <w:color w:val="auto"/>
              </w:rPr>
            </w:pPr>
            <w:r>
              <w:rPr>
                <w:rFonts w:ascii="Arial" w:cs="Arial" w:eastAsia="Arial" w:hAnsi="Arial"/>
                <w:sz w:val="13"/>
                <w:szCs w:val="13"/>
                <w:color w:val="auto"/>
              </w:rPr>
              <w:t>02/22/2018</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22,410</w:t>
            </w:r>
          </w:p>
        </w:tc>
        <w:tc>
          <w:tcPr>
            <w:tcW w:w="11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auto"/>
              </w:rPr>
              <w:t>43.51</w:t>
            </w:r>
          </w:p>
        </w:tc>
        <w:tc>
          <w:tcPr>
            <w:tcW w:w="840" w:type="dxa"/>
            <w:vAlign w:val="bottom"/>
            <w:vMerge w:val="restart"/>
          </w:tcPr>
          <w:p>
            <w:pPr>
              <w:jc w:val="right"/>
              <w:ind w:right="57"/>
              <w:spacing w:after="0"/>
              <w:rPr>
                <w:sz w:val="20"/>
                <w:szCs w:val="20"/>
                <w:color w:val="auto"/>
              </w:rPr>
            </w:pPr>
            <w:r>
              <w:rPr>
                <w:rFonts w:ascii="Arial" w:cs="Arial" w:eastAsia="Arial" w:hAnsi="Arial"/>
                <w:sz w:val="13"/>
                <w:szCs w:val="13"/>
                <w:color w:val="auto"/>
              </w:rPr>
              <w:t>02/22/2028</w:t>
            </w: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8"/>
        </w:trPr>
        <w:tc>
          <w:tcPr>
            <w:tcW w:w="8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08/01/2018</w:t>
            </w:r>
          </w:p>
        </w:tc>
        <w:tc>
          <w:tcPr>
            <w:tcW w:w="880" w:type="dxa"/>
            <w:vAlign w:val="bottom"/>
          </w:tcPr>
          <w:p>
            <w:pPr>
              <w:jc w:val="right"/>
              <w:spacing w:after="0"/>
              <w:rPr>
                <w:sz w:val="20"/>
                <w:szCs w:val="20"/>
                <w:color w:val="auto"/>
              </w:rPr>
            </w:pPr>
            <w:r>
              <w:rPr>
                <w:rFonts w:ascii="Arial" w:cs="Arial" w:eastAsia="Arial" w:hAnsi="Arial"/>
                <w:sz w:val="13"/>
                <w:szCs w:val="13"/>
                <w:color w:val="auto"/>
              </w:rPr>
              <w:t>29,190</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ind w:left="320"/>
              <w:spacing w:after="0"/>
              <w:rPr>
                <w:sz w:val="20"/>
                <w:szCs w:val="20"/>
                <w:color w:val="auto"/>
              </w:rPr>
            </w:pPr>
            <w:r>
              <w:rPr>
                <w:rFonts w:ascii="Arial" w:cs="Arial" w:eastAsia="Arial" w:hAnsi="Arial"/>
                <w:sz w:val="13"/>
                <w:szCs w:val="13"/>
                <w:color w:val="auto"/>
              </w:rPr>
              <w:t>42.83</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08/01/2028</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02/22/2019</w:t>
            </w:r>
          </w:p>
        </w:tc>
        <w:tc>
          <w:tcPr>
            <w:tcW w:w="880" w:type="dxa"/>
            <w:vAlign w:val="bottom"/>
          </w:tcPr>
          <w:p>
            <w:pPr>
              <w:jc w:val="right"/>
              <w:spacing w:after="0"/>
              <w:rPr>
                <w:sz w:val="20"/>
                <w:szCs w:val="20"/>
                <w:color w:val="auto"/>
              </w:rPr>
            </w:pPr>
            <w:r>
              <w:rPr>
                <w:rFonts w:ascii="Arial" w:cs="Arial" w:eastAsia="Arial" w:hAnsi="Arial"/>
                <w:sz w:val="13"/>
                <w:szCs w:val="13"/>
                <w:color w:val="auto"/>
              </w:rPr>
              <w:t>58,940</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ind w:left="320"/>
              <w:spacing w:after="0"/>
              <w:rPr>
                <w:sz w:val="20"/>
                <w:szCs w:val="20"/>
                <w:color w:val="auto"/>
              </w:rPr>
            </w:pPr>
            <w:r>
              <w:rPr>
                <w:rFonts w:ascii="Arial" w:cs="Arial" w:eastAsia="Arial" w:hAnsi="Arial"/>
                <w:sz w:val="13"/>
                <w:szCs w:val="13"/>
                <w:color w:val="auto"/>
              </w:rPr>
              <w:t>47.72</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02/22/2029</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02/20/2020</w:t>
            </w:r>
          </w:p>
        </w:tc>
        <w:tc>
          <w:tcPr>
            <w:tcW w:w="880" w:type="dxa"/>
            <w:vAlign w:val="bottom"/>
          </w:tcPr>
          <w:p>
            <w:pPr>
              <w:jc w:val="right"/>
              <w:spacing w:after="0"/>
              <w:rPr>
                <w:sz w:val="20"/>
                <w:szCs w:val="20"/>
                <w:color w:val="auto"/>
              </w:rPr>
            </w:pPr>
            <w:r>
              <w:rPr>
                <w:rFonts w:ascii="Arial" w:cs="Arial" w:eastAsia="Arial" w:hAnsi="Arial"/>
                <w:sz w:val="13"/>
                <w:szCs w:val="13"/>
                <w:color w:val="auto"/>
              </w:rPr>
              <w:t>65,640</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ind w:left="320"/>
              <w:spacing w:after="0"/>
              <w:rPr>
                <w:sz w:val="20"/>
                <w:szCs w:val="20"/>
                <w:color w:val="auto"/>
              </w:rPr>
            </w:pPr>
            <w:r>
              <w:rPr>
                <w:rFonts w:ascii="Arial" w:cs="Arial" w:eastAsia="Arial" w:hAnsi="Arial"/>
                <w:sz w:val="13"/>
                <w:szCs w:val="13"/>
                <w:color w:val="auto"/>
              </w:rPr>
              <w:t>59.04</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02/20/2030</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02/18/2021</w:t>
            </w:r>
          </w:p>
        </w:tc>
        <w:tc>
          <w:tcPr>
            <w:tcW w:w="880" w:type="dxa"/>
            <w:vAlign w:val="bottom"/>
          </w:tcPr>
          <w:p>
            <w:pPr>
              <w:jc w:val="right"/>
              <w:spacing w:after="0"/>
              <w:rPr>
                <w:sz w:val="20"/>
                <w:szCs w:val="20"/>
                <w:color w:val="auto"/>
              </w:rPr>
            </w:pPr>
            <w:r>
              <w:rPr>
                <w:rFonts w:ascii="Arial" w:cs="Arial" w:eastAsia="Arial" w:hAnsi="Arial"/>
                <w:sz w:val="13"/>
                <w:szCs w:val="13"/>
                <w:color w:val="auto"/>
              </w:rPr>
              <w:t>73,500</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ind w:left="320"/>
              <w:spacing w:after="0"/>
              <w:rPr>
                <w:sz w:val="20"/>
                <w:szCs w:val="20"/>
                <w:color w:val="auto"/>
              </w:rPr>
            </w:pPr>
            <w:r>
              <w:rPr>
                <w:rFonts w:ascii="Arial" w:cs="Arial" w:eastAsia="Arial" w:hAnsi="Arial"/>
                <w:sz w:val="13"/>
                <w:szCs w:val="13"/>
                <w:color w:val="auto"/>
              </w:rPr>
              <w:t>56.13</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02/18/2031</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02/24/2022</w:t>
            </w:r>
          </w:p>
        </w:tc>
        <w:tc>
          <w:tcPr>
            <w:tcW w:w="880" w:type="dxa"/>
            <w:vAlign w:val="bottom"/>
          </w:tcPr>
          <w:p>
            <w:pPr>
              <w:jc w:val="right"/>
              <w:spacing w:after="0"/>
              <w:rPr>
                <w:sz w:val="20"/>
                <w:szCs w:val="20"/>
                <w:color w:val="auto"/>
              </w:rPr>
            </w:pPr>
            <w:r>
              <w:rPr>
                <w:rFonts w:ascii="Arial" w:cs="Arial" w:eastAsia="Arial" w:hAnsi="Arial"/>
                <w:sz w:val="13"/>
                <w:szCs w:val="13"/>
                <w:color w:val="auto"/>
              </w:rPr>
              <w:t>77,340</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ind w:left="320"/>
              <w:spacing w:after="0"/>
              <w:rPr>
                <w:sz w:val="20"/>
                <w:szCs w:val="20"/>
                <w:color w:val="auto"/>
              </w:rPr>
            </w:pPr>
            <w:r>
              <w:rPr>
                <w:rFonts w:ascii="Arial" w:cs="Arial" w:eastAsia="Arial" w:hAnsi="Arial"/>
                <w:sz w:val="13"/>
                <w:szCs w:val="13"/>
                <w:color w:val="auto"/>
              </w:rPr>
              <w:t>64.65</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02/24/2032</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03/02/2023</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63,115</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32,515</w:t>
            </w:r>
          </w:p>
        </w:tc>
        <w:tc>
          <w:tcPr>
            <w:tcW w:w="740" w:type="dxa"/>
            <w:vAlign w:val="bottom"/>
          </w:tcPr>
          <w:p>
            <w:pPr>
              <w:ind w:left="320"/>
              <w:spacing w:after="0"/>
              <w:rPr>
                <w:sz w:val="20"/>
                <w:szCs w:val="20"/>
                <w:color w:val="auto"/>
              </w:rPr>
            </w:pPr>
            <w:r>
              <w:rPr>
                <w:rFonts w:ascii="Arial" w:cs="Arial" w:eastAsia="Arial" w:hAnsi="Arial"/>
                <w:sz w:val="13"/>
                <w:szCs w:val="13"/>
                <w:color w:val="auto"/>
              </w:rPr>
              <w:t>65.36</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03/02/2033</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ectPr>
          <w:pgSz w:w="11900" w:h="16838" w:orient="portrait"/>
          <w:cols w:equalWidth="0" w:num="1">
            <w:col w:w="9040"/>
          </w:cols>
          <w:pgMar w:left="1420" w:top="85" w:right="1439" w:bottom="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02/27/2024</w:t>
            </w:r>
          </w:p>
        </w:tc>
        <w:tc>
          <w:tcPr>
            <w:tcW w:w="900" w:type="dxa"/>
            <w:vAlign w:val="bottom"/>
          </w:tcPr>
          <w:p>
            <w:pPr>
              <w:jc w:val="right"/>
              <w:spacing w:after="0"/>
              <w:rPr>
                <w:sz w:val="20"/>
                <w:szCs w:val="20"/>
                <w:color w:val="auto"/>
              </w:rPr>
            </w:pPr>
            <w:r>
              <w:rPr>
                <w:rFonts w:ascii="Arial" w:cs="Arial" w:eastAsia="Arial" w:hAnsi="Arial"/>
                <w:sz w:val="13"/>
                <w:szCs w:val="13"/>
                <w:color w:val="auto"/>
              </w:rPr>
              <w:t>31,871</w:t>
            </w:r>
          </w:p>
        </w:tc>
        <w:tc>
          <w:tcPr>
            <w:tcW w:w="1400" w:type="dxa"/>
            <w:vAlign w:val="bottom"/>
          </w:tcPr>
          <w:p>
            <w:pPr>
              <w:jc w:val="right"/>
              <w:ind w:right="298"/>
              <w:spacing w:after="0"/>
              <w:rPr>
                <w:sz w:val="20"/>
                <w:szCs w:val="20"/>
                <w:color w:val="auto"/>
              </w:rPr>
            </w:pPr>
            <w:r>
              <w:rPr>
                <w:rFonts w:ascii="Arial" w:cs="Arial" w:eastAsia="Arial" w:hAnsi="Arial"/>
                <w:sz w:val="13"/>
                <w:szCs w:val="13"/>
                <w:color w:val="auto"/>
              </w:rPr>
              <w:t>64,709</w:t>
            </w:r>
          </w:p>
        </w:tc>
        <w:tc>
          <w:tcPr>
            <w:tcW w:w="440" w:type="dxa"/>
            <w:vAlign w:val="bottom"/>
          </w:tcPr>
          <w:p>
            <w:pPr>
              <w:jc w:val="right"/>
              <w:spacing w:after="0"/>
              <w:rPr>
                <w:sz w:val="20"/>
                <w:szCs w:val="20"/>
                <w:color w:val="auto"/>
              </w:rPr>
            </w:pPr>
            <w:r>
              <w:rPr>
                <w:rFonts w:ascii="Arial" w:cs="Arial" w:eastAsia="Arial" w:hAnsi="Arial"/>
                <w:sz w:val="13"/>
                <w:szCs w:val="13"/>
                <w:color w:val="auto"/>
              </w:rPr>
              <w:t>73.13</w:t>
            </w:r>
          </w:p>
        </w:tc>
        <w:tc>
          <w:tcPr>
            <w:tcW w:w="820" w:type="dxa"/>
            <w:vAlign w:val="bottom"/>
          </w:tcPr>
          <w:p>
            <w:pPr>
              <w:jc w:val="right"/>
              <w:spacing w:after="0"/>
              <w:rPr>
                <w:sz w:val="20"/>
                <w:szCs w:val="20"/>
                <w:color w:val="auto"/>
              </w:rPr>
            </w:pPr>
            <w:r>
              <w:rPr>
                <w:rFonts w:ascii="Arial" w:cs="Arial" w:eastAsia="Arial" w:hAnsi="Arial"/>
                <w:sz w:val="13"/>
                <w:szCs w:val="13"/>
                <w:color w:val="auto"/>
              </w:rPr>
              <w:t>02/27/2034</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8"/>
              <w:spacing w:after="0"/>
              <w:rPr>
                <w:sz w:val="20"/>
                <w:szCs w:val="20"/>
                <w:color w:val="auto"/>
              </w:rPr>
            </w:pPr>
            <w:r>
              <w:rPr>
                <w:rFonts w:ascii="Arial" w:cs="Arial" w:eastAsia="Arial" w:hAnsi="Arial"/>
                <w:sz w:val="13"/>
                <w:szCs w:val="13"/>
                <w:color w:val="auto"/>
              </w:rPr>
              <w:t>28,975</w:t>
            </w:r>
          </w:p>
        </w:tc>
        <w:tc>
          <w:tcPr>
            <w:tcW w:w="860" w:type="dxa"/>
            <w:vAlign w:val="bottom"/>
          </w:tcPr>
          <w:p>
            <w:pPr>
              <w:jc w:val="right"/>
              <w:spacing w:after="0"/>
              <w:rPr>
                <w:sz w:val="20"/>
                <w:szCs w:val="20"/>
                <w:color w:val="auto"/>
              </w:rPr>
            </w:pPr>
            <w:r>
              <w:rPr>
                <w:rFonts w:ascii="Arial" w:cs="Arial" w:eastAsia="Arial" w:hAnsi="Arial"/>
                <w:sz w:val="13"/>
                <w:szCs w:val="13"/>
                <w:color w:val="auto"/>
              </w:rPr>
              <w:t>1,559,724</w:t>
            </w: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760" w:type="dxa"/>
            <w:vAlign w:val="bottom"/>
          </w:tcPr>
          <w:p>
            <w:pPr>
              <w:jc w:val="right"/>
              <w:spacing w:after="0" w:line="95" w:lineRule="exact"/>
              <w:rPr>
                <w:sz w:val="20"/>
                <w:szCs w:val="20"/>
                <w:color w:val="auto"/>
              </w:rPr>
            </w:pPr>
            <w:r>
              <w:rPr>
                <w:rFonts w:ascii="Arial" w:cs="Arial" w:eastAsia="Arial" w:hAnsi="Arial"/>
                <w:sz w:val="10"/>
                <w:szCs w:val="10"/>
                <w:color w:val="auto"/>
              </w:rPr>
              <w:t>03/17/2025</w:t>
            </w:r>
          </w:p>
        </w:tc>
        <w:tc>
          <w:tcPr>
            <w:tcW w:w="900" w:type="dxa"/>
            <w:vAlign w:val="bottom"/>
            <w:tcBorders>
              <w:bottom w:val="single" w:sz="8" w:color="582C83"/>
            </w:tcBorders>
          </w:tcPr>
          <w:p>
            <w:pPr>
              <w:jc w:val="right"/>
              <w:spacing w:after="0" w:line="95" w:lineRule="exact"/>
              <w:rPr>
                <w:sz w:val="20"/>
                <w:szCs w:val="20"/>
                <w:color w:val="auto"/>
              </w:rPr>
            </w:pPr>
            <w:r>
              <w:rPr>
                <w:rFonts w:ascii="Arial" w:cs="Arial" w:eastAsia="Arial" w:hAnsi="Arial"/>
                <w:sz w:val="10"/>
                <w:szCs w:val="10"/>
                <w:color w:val="auto"/>
              </w:rPr>
              <w:t>—</w:t>
            </w:r>
          </w:p>
        </w:tc>
        <w:tc>
          <w:tcPr>
            <w:tcW w:w="1400" w:type="dxa"/>
            <w:vAlign w:val="bottom"/>
            <w:tcBorders>
              <w:bottom w:val="single" w:sz="8" w:color="582C83"/>
            </w:tcBorders>
          </w:tcPr>
          <w:p>
            <w:pPr>
              <w:jc w:val="right"/>
              <w:ind w:right="18"/>
              <w:spacing w:after="0" w:line="95" w:lineRule="exact"/>
              <w:rPr>
                <w:sz w:val="20"/>
                <w:szCs w:val="20"/>
                <w:color w:val="auto"/>
              </w:rPr>
            </w:pPr>
            <w:r>
              <w:rPr>
                <w:rFonts w:ascii="Arial" w:cs="Arial" w:eastAsia="Arial" w:hAnsi="Arial"/>
                <w:sz w:val="10"/>
                <w:szCs w:val="10"/>
                <w:b w:val="1"/>
                <w:bCs w:val="1"/>
                <w:color w:val="auto"/>
              </w:rPr>
              <w:t>Option</w:t>
            </w:r>
            <w:r>
              <w:rPr>
                <w:rFonts w:ascii="Arial" w:cs="Arial" w:eastAsia="Arial" w:hAnsi="Arial"/>
                <w:sz w:val="10"/>
                <w:szCs w:val="10"/>
                <w:color w:val="auto"/>
              </w:rPr>
              <w:t>123,910</w:t>
            </w:r>
            <w:r>
              <w:rPr>
                <w:rFonts w:ascii="Arial" w:cs="Arial" w:eastAsia="Arial" w:hAnsi="Arial"/>
                <w:sz w:val="10"/>
                <w:szCs w:val="10"/>
                <w:b w:val="1"/>
                <w:bCs w:val="1"/>
                <w:color w:val="auto"/>
              </w:rPr>
              <w:t>Awards</w:t>
            </w:r>
          </w:p>
        </w:tc>
        <w:tc>
          <w:tcPr>
            <w:tcW w:w="440" w:type="dxa"/>
            <w:vAlign w:val="bottom"/>
            <w:tcBorders>
              <w:bottom w:val="single" w:sz="8" w:color="582C83"/>
            </w:tcBorders>
          </w:tcPr>
          <w:p>
            <w:pPr>
              <w:jc w:val="right"/>
              <w:spacing w:after="0" w:line="95" w:lineRule="exact"/>
              <w:rPr>
                <w:sz w:val="20"/>
                <w:szCs w:val="20"/>
                <w:color w:val="auto"/>
              </w:rPr>
            </w:pPr>
            <w:r>
              <w:rPr>
                <w:rFonts w:ascii="Arial" w:cs="Arial" w:eastAsia="Arial" w:hAnsi="Arial"/>
                <w:sz w:val="10"/>
                <w:szCs w:val="10"/>
                <w:color w:val="auto"/>
              </w:rPr>
              <w:t>65.09</w:t>
            </w:r>
          </w:p>
        </w:tc>
        <w:tc>
          <w:tcPr>
            <w:tcW w:w="820" w:type="dxa"/>
            <w:vAlign w:val="bottom"/>
            <w:tcBorders>
              <w:bottom w:val="single" w:sz="8" w:color="582C83"/>
            </w:tcBorders>
          </w:tcPr>
          <w:p>
            <w:pPr>
              <w:jc w:val="right"/>
              <w:spacing w:after="0" w:line="95" w:lineRule="exact"/>
              <w:rPr>
                <w:sz w:val="20"/>
                <w:szCs w:val="20"/>
                <w:color w:val="auto"/>
              </w:rPr>
            </w:pPr>
            <w:r>
              <w:rPr>
                <w:rFonts w:ascii="Arial" w:cs="Arial" w:eastAsia="Arial" w:hAnsi="Arial"/>
                <w:sz w:val="10"/>
                <w:szCs w:val="10"/>
                <w:color w:val="auto"/>
              </w:rPr>
              <w:t>03/17/2035</w:t>
            </w:r>
          </w:p>
        </w:tc>
        <w:tc>
          <w:tcPr>
            <w:tcW w:w="60" w:type="dxa"/>
            <w:vAlign w:val="bottom"/>
          </w:tcPr>
          <w:p>
            <w:pPr>
              <w:spacing w:after="0"/>
              <w:rPr>
                <w:sz w:val="8"/>
                <w:szCs w:val="8"/>
                <w:color w:val="auto"/>
              </w:rPr>
            </w:pPr>
          </w:p>
        </w:tc>
        <w:tc>
          <w:tcPr>
            <w:tcW w:w="800" w:type="dxa"/>
            <w:vAlign w:val="bottom"/>
            <w:tcBorders>
              <w:bottom w:val="single" w:sz="8" w:color="582C83"/>
            </w:tcBorders>
          </w:tcPr>
          <w:p>
            <w:pPr>
              <w:jc w:val="right"/>
              <w:spacing w:after="0" w:line="95" w:lineRule="exact"/>
              <w:rPr>
                <w:sz w:val="20"/>
                <w:szCs w:val="20"/>
                <w:color w:val="auto"/>
              </w:rPr>
            </w:pPr>
            <w:r>
              <w:rPr>
                <w:rFonts w:ascii="Arial" w:cs="Arial" w:eastAsia="Arial" w:hAnsi="Arial"/>
                <w:sz w:val="10"/>
                <w:szCs w:val="10"/>
                <w:color w:val="auto"/>
              </w:rPr>
              <w:t>—</w:t>
            </w:r>
          </w:p>
        </w:tc>
        <w:tc>
          <w:tcPr>
            <w:tcW w:w="1000" w:type="dxa"/>
            <w:vAlign w:val="bottom"/>
            <w:tcBorders>
              <w:bottom w:val="single" w:sz="8" w:color="582C83"/>
            </w:tcBorders>
            <w:gridSpan w:val="2"/>
          </w:tcPr>
          <w:p>
            <w:pPr>
              <w:ind w:left="640"/>
              <w:spacing w:after="0" w:line="95" w:lineRule="exact"/>
              <w:rPr>
                <w:sz w:val="20"/>
                <w:szCs w:val="20"/>
                <w:color w:val="auto"/>
              </w:rPr>
            </w:pPr>
            <w:r>
              <w:rPr>
                <w:rFonts w:ascii="Arial" w:cs="Arial" w:eastAsia="Arial" w:hAnsi="Arial"/>
                <w:sz w:val="10"/>
                <w:szCs w:val="10"/>
                <w:b w:val="1"/>
                <w:bCs w:val="1"/>
                <w:color w:val="auto"/>
                <w:w w:val="91"/>
              </w:rPr>
              <w:t>Stock</w:t>
            </w:r>
            <w:r>
              <w:rPr>
                <w:rFonts w:ascii="Arial" w:cs="Arial" w:eastAsia="Arial" w:hAnsi="Arial"/>
                <w:sz w:val="10"/>
                <w:szCs w:val="10"/>
                <w:color w:val="auto"/>
                <w:w w:val="91"/>
              </w:rPr>
              <w:t>—</w:t>
            </w:r>
          </w:p>
        </w:tc>
        <w:tc>
          <w:tcPr>
            <w:tcW w:w="1040" w:type="dxa"/>
            <w:vAlign w:val="bottom"/>
            <w:tcBorders>
              <w:bottom w:val="single" w:sz="8" w:color="582C83"/>
            </w:tcBorders>
          </w:tcPr>
          <w:p>
            <w:pPr>
              <w:jc w:val="right"/>
              <w:ind w:right="178"/>
              <w:spacing w:after="0" w:line="95"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0"/>
                <w:szCs w:val="10"/>
                <w:color w:val="auto"/>
              </w:rPr>
              <w:t>74,350</w:t>
            </w:r>
          </w:p>
        </w:tc>
        <w:tc>
          <w:tcPr>
            <w:tcW w:w="860" w:type="dxa"/>
            <w:vAlign w:val="bottom"/>
            <w:tcBorders>
              <w:bottom w:val="single" w:sz="8" w:color="582C83"/>
            </w:tcBorders>
          </w:tcPr>
          <w:p>
            <w:pPr>
              <w:jc w:val="right"/>
              <w:spacing w:after="0" w:line="95" w:lineRule="exact"/>
              <w:rPr>
                <w:sz w:val="20"/>
                <w:szCs w:val="20"/>
                <w:color w:val="auto"/>
              </w:rPr>
            </w:pPr>
            <w:r>
              <w:rPr>
                <w:rFonts w:ascii="Arial" w:cs="Arial" w:eastAsia="Arial" w:hAnsi="Arial"/>
                <w:sz w:val="10"/>
                <w:szCs w:val="10"/>
                <w:color w:val="auto"/>
              </w:rPr>
              <w:t>4,002,261</w:t>
            </w:r>
          </w:p>
        </w:tc>
        <w:tc>
          <w:tcPr>
            <w:tcW w:w="0" w:type="dxa"/>
            <w:vAlign w:val="bottom"/>
          </w:tcPr>
          <w:p>
            <w:pPr>
              <w:spacing w:after="0"/>
              <w:rPr>
                <w:sz w:val="1"/>
                <w:szCs w:val="1"/>
                <w:color w:val="auto"/>
              </w:rPr>
            </w:pPr>
          </w:p>
        </w:tc>
      </w:tr>
      <w:tr>
        <w:trPr>
          <w:trHeight w:val="185"/>
        </w:trPr>
        <w:tc>
          <w:tcPr>
            <w:tcW w:w="960" w:type="dxa"/>
            <w:vAlign w:val="bottom"/>
          </w:tcPr>
          <w:p>
            <w:pPr>
              <w:ind w:left="60"/>
              <w:spacing w:after="0"/>
              <w:rPr>
                <w:sz w:val="20"/>
                <w:szCs w:val="20"/>
                <w:color w:val="auto"/>
              </w:rPr>
            </w:pPr>
            <w:r>
              <w:rPr>
                <w:rFonts w:ascii="Arial" w:cs="Arial" w:eastAsia="Arial" w:hAnsi="Arial"/>
                <w:sz w:val="13"/>
                <w:szCs w:val="13"/>
                <w:b w:val="1"/>
                <w:bCs w:val="1"/>
                <w:color w:val="auto"/>
              </w:rPr>
              <w:t>Kuhn,</w:t>
            </w:r>
          </w:p>
        </w:tc>
        <w:tc>
          <w:tcPr>
            <w:tcW w:w="760" w:type="dxa"/>
            <w:vAlign w:val="bottom"/>
          </w:tcPr>
          <w:p>
            <w:pPr>
              <w:jc w:val="right"/>
              <w:spacing w:after="0"/>
              <w:rPr>
                <w:sz w:val="20"/>
                <w:szCs w:val="20"/>
                <w:color w:val="auto"/>
              </w:rPr>
            </w:pPr>
            <w:r>
              <w:rPr>
                <w:rFonts w:ascii="Arial" w:cs="Arial" w:eastAsia="Arial" w:hAnsi="Arial"/>
                <w:sz w:val="13"/>
                <w:szCs w:val="13"/>
                <w:color w:val="auto"/>
              </w:rPr>
              <w:t>03/17/2025</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298"/>
              <w:spacing w:after="0"/>
              <w:rPr>
                <w:sz w:val="20"/>
                <w:szCs w:val="20"/>
                <w:color w:val="auto"/>
              </w:rPr>
            </w:pPr>
            <w:r>
              <w:rPr>
                <w:rFonts w:ascii="Arial" w:cs="Arial" w:eastAsia="Arial" w:hAnsi="Arial"/>
                <w:sz w:val="13"/>
                <w:szCs w:val="13"/>
                <w:color w:val="auto"/>
              </w:rPr>
              <w:t>90,350</w:t>
            </w:r>
          </w:p>
        </w:tc>
        <w:tc>
          <w:tcPr>
            <w:tcW w:w="440" w:type="dxa"/>
            <w:vAlign w:val="bottom"/>
          </w:tcPr>
          <w:p>
            <w:pPr>
              <w:jc w:val="right"/>
              <w:spacing w:after="0"/>
              <w:rPr>
                <w:sz w:val="20"/>
                <w:szCs w:val="20"/>
                <w:color w:val="auto"/>
              </w:rPr>
            </w:pPr>
            <w:r>
              <w:rPr>
                <w:rFonts w:ascii="Arial" w:cs="Arial" w:eastAsia="Arial" w:hAnsi="Arial"/>
                <w:sz w:val="13"/>
                <w:szCs w:val="13"/>
                <w:color w:val="auto"/>
              </w:rPr>
              <w:t>65.09</w:t>
            </w:r>
          </w:p>
        </w:tc>
        <w:tc>
          <w:tcPr>
            <w:tcW w:w="820" w:type="dxa"/>
            <w:vAlign w:val="bottom"/>
          </w:tcPr>
          <w:p>
            <w:pPr>
              <w:jc w:val="right"/>
              <w:spacing w:after="0"/>
              <w:rPr>
                <w:sz w:val="20"/>
                <w:szCs w:val="20"/>
                <w:color w:val="auto"/>
              </w:rPr>
            </w:pPr>
            <w:r>
              <w:rPr>
                <w:rFonts w:ascii="Arial" w:cs="Arial" w:eastAsia="Arial" w:hAnsi="Arial"/>
                <w:sz w:val="13"/>
                <w:szCs w:val="13"/>
                <w:color w:val="auto"/>
              </w:rPr>
              <w:t>03/17/2035</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8"/>
              <w:spacing w:after="0"/>
              <w:rPr>
                <w:sz w:val="20"/>
                <w:szCs w:val="20"/>
                <w:color w:val="auto"/>
              </w:rPr>
            </w:pPr>
            <w:r>
              <w:rPr>
                <w:rFonts w:ascii="Arial" w:cs="Arial" w:eastAsia="Arial" w:hAnsi="Arial"/>
                <w:sz w:val="13"/>
                <w:szCs w:val="13"/>
                <w:color w:val="auto"/>
              </w:rPr>
              <w:t>54,210</w:t>
            </w:r>
          </w:p>
        </w:tc>
        <w:tc>
          <w:tcPr>
            <w:tcW w:w="860" w:type="dxa"/>
            <w:vAlign w:val="bottom"/>
          </w:tcPr>
          <w:p>
            <w:pPr>
              <w:jc w:val="right"/>
              <w:spacing w:after="0"/>
              <w:rPr>
                <w:sz w:val="20"/>
                <w:szCs w:val="20"/>
                <w:color w:val="auto"/>
              </w:rPr>
            </w:pPr>
            <w:r>
              <w:rPr>
                <w:rFonts w:ascii="Arial" w:cs="Arial" w:eastAsia="Arial" w:hAnsi="Arial"/>
                <w:sz w:val="13"/>
                <w:szCs w:val="13"/>
                <w:color w:val="auto"/>
              </w:rPr>
              <w:t>2,918,124</w:t>
            </w:r>
          </w:p>
        </w:tc>
        <w:tc>
          <w:tcPr>
            <w:tcW w:w="0" w:type="dxa"/>
            <w:vAlign w:val="bottom"/>
          </w:tcPr>
          <w:p>
            <w:pPr>
              <w:spacing w:after="0"/>
              <w:rPr>
                <w:sz w:val="1"/>
                <w:szCs w:val="1"/>
                <w:color w:val="auto"/>
              </w:rPr>
            </w:pPr>
          </w:p>
        </w:tc>
      </w:tr>
      <w:tr>
        <w:trPr>
          <w:trHeight w:val="172"/>
        </w:trPr>
        <w:tc>
          <w:tcPr>
            <w:tcW w:w="960" w:type="dxa"/>
            <w:vAlign w:val="bottom"/>
          </w:tcPr>
          <w:p>
            <w:pPr>
              <w:ind w:left="60"/>
              <w:spacing w:after="0"/>
              <w:rPr>
                <w:sz w:val="20"/>
                <w:szCs w:val="20"/>
                <w:color w:val="auto"/>
              </w:rPr>
            </w:pPr>
            <w:r>
              <w:rPr>
                <w:rFonts w:ascii="Arial" w:cs="Arial" w:eastAsia="Arial" w:hAnsi="Arial"/>
                <w:sz w:val="13"/>
                <w:szCs w:val="13"/>
                <w:b w:val="1"/>
                <w:bCs w:val="1"/>
                <w:color w:val="auto"/>
              </w:rPr>
              <w:t>Volker</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04/01/2025</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0" w:type="dxa"/>
            <w:vAlign w:val="bottom"/>
            <w:vMerge w:val="restart"/>
          </w:tcPr>
          <w:p>
            <w:pPr>
              <w:jc w:val="right"/>
              <w:ind w:right="298"/>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color w:val="auto"/>
              </w:rPr>
              <w:t>5,130</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276,148</w:t>
            </w:r>
          </w:p>
        </w:tc>
        <w:tc>
          <w:tcPr>
            <w:tcW w:w="180" w:type="dxa"/>
            <w:vAlign w:val="bottom"/>
          </w:tcPr>
          <w:p>
            <w:pPr>
              <w:spacing w:after="0"/>
              <w:rPr>
                <w:sz w:val="14"/>
                <w:szCs w:val="14"/>
                <w:color w:val="auto"/>
              </w:rPr>
            </w:pPr>
          </w:p>
        </w:tc>
        <w:tc>
          <w:tcPr>
            <w:tcW w:w="1040" w:type="dxa"/>
            <w:vAlign w:val="bottom"/>
            <w:vMerge w:val="restart"/>
          </w:tcPr>
          <w:p>
            <w:pPr>
              <w:jc w:val="right"/>
              <w:ind w:right="178"/>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8"/>
        </w:trPr>
        <w:tc>
          <w:tcPr>
            <w:tcW w:w="9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960" w:type="dxa"/>
            <w:vAlign w:val="bottom"/>
          </w:tcPr>
          <w:p>
            <w:pPr>
              <w:ind w:left="60"/>
              <w:spacing w:after="0"/>
              <w:rPr>
                <w:sz w:val="20"/>
                <w:szCs w:val="20"/>
                <w:color w:val="auto"/>
              </w:rPr>
            </w:pPr>
            <w:r>
              <w:rPr>
                <w:rFonts w:ascii="Arial" w:cs="Arial" w:eastAsia="Arial" w:hAnsi="Arial"/>
                <w:sz w:val="13"/>
                <w:szCs w:val="13"/>
                <w:b w:val="1"/>
                <w:bCs w:val="1"/>
                <w:color w:val="auto"/>
              </w:rPr>
              <w:t>Valle,</w:t>
            </w:r>
          </w:p>
        </w:tc>
        <w:tc>
          <w:tcPr>
            <w:tcW w:w="760" w:type="dxa"/>
            <w:vAlign w:val="bottom"/>
          </w:tcPr>
          <w:p>
            <w:pPr>
              <w:jc w:val="right"/>
              <w:spacing w:after="0"/>
              <w:rPr>
                <w:sz w:val="20"/>
                <w:szCs w:val="20"/>
                <w:color w:val="auto"/>
              </w:rPr>
            </w:pPr>
            <w:r>
              <w:rPr>
                <w:rFonts w:ascii="Arial" w:cs="Arial" w:eastAsia="Arial" w:hAnsi="Arial"/>
                <w:sz w:val="13"/>
                <w:szCs w:val="13"/>
                <w:color w:val="auto"/>
              </w:rPr>
              <w:t>02/20/2020</w:t>
            </w:r>
          </w:p>
        </w:tc>
        <w:tc>
          <w:tcPr>
            <w:tcW w:w="900" w:type="dxa"/>
            <w:vAlign w:val="bottom"/>
          </w:tcPr>
          <w:p>
            <w:pPr>
              <w:jc w:val="right"/>
              <w:spacing w:after="0"/>
              <w:rPr>
                <w:sz w:val="20"/>
                <w:szCs w:val="20"/>
                <w:color w:val="auto"/>
              </w:rPr>
            </w:pPr>
            <w:r>
              <w:rPr>
                <w:rFonts w:ascii="Arial" w:cs="Arial" w:eastAsia="Arial" w:hAnsi="Arial"/>
                <w:sz w:val="13"/>
                <w:szCs w:val="13"/>
                <w:color w:val="auto"/>
              </w:rPr>
              <w:t>33,880</w:t>
            </w:r>
          </w:p>
        </w:tc>
        <w:tc>
          <w:tcPr>
            <w:tcW w:w="1400" w:type="dxa"/>
            <w:vAlign w:val="bottom"/>
          </w:tcPr>
          <w:p>
            <w:pPr>
              <w:jc w:val="right"/>
              <w:ind w:right="298"/>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59.04</w:t>
            </w:r>
          </w:p>
        </w:tc>
        <w:tc>
          <w:tcPr>
            <w:tcW w:w="820" w:type="dxa"/>
            <w:vAlign w:val="bottom"/>
          </w:tcPr>
          <w:p>
            <w:pPr>
              <w:jc w:val="right"/>
              <w:spacing w:after="0"/>
              <w:rPr>
                <w:sz w:val="20"/>
                <w:szCs w:val="20"/>
                <w:color w:val="auto"/>
              </w:rPr>
            </w:pPr>
            <w:r>
              <w:rPr>
                <w:rFonts w:ascii="Arial" w:cs="Arial" w:eastAsia="Arial" w:hAnsi="Arial"/>
                <w:sz w:val="13"/>
                <w:szCs w:val="13"/>
                <w:color w:val="auto"/>
              </w:rPr>
              <w:t>02/20/2030</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960" w:type="dxa"/>
            <w:vAlign w:val="bottom"/>
          </w:tcPr>
          <w:p>
            <w:pPr>
              <w:ind w:left="60"/>
              <w:spacing w:after="0"/>
              <w:rPr>
                <w:sz w:val="20"/>
                <w:szCs w:val="20"/>
                <w:color w:val="auto"/>
              </w:rPr>
            </w:pPr>
            <w:r>
              <w:rPr>
                <w:rFonts w:ascii="Arial" w:cs="Arial" w:eastAsia="Arial" w:hAnsi="Arial"/>
                <w:sz w:val="13"/>
                <w:szCs w:val="13"/>
                <w:b w:val="1"/>
                <w:bCs w:val="1"/>
                <w:color w:val="auto"/>
              </w:rPr>
              <w:t>Gustavo</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02/18/2021</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35,640</w:t>
            </w:r>
          </w:p>
        </w:tc>
        <w:tc>
          <w:tcPr>
            <w:tcW w:w="1400" w:type="dxa"/>
            <w:vAlign w:val="bottom"/>
            <w:vMerge w:val="restart"/>
          </w:tcPr>
          <w:p>
            <w:pPr>
              <w:jc w:val="right"/>
              <w:ind w:right="298"/>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56.13</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02/18/2031</w:t>
            </w:r>
          </w:p>
        </w:tc>
        <w:tc>
          <w:tcPr>
            <w:tcW w:w="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178"/>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8"/>
        </w:trPr>
        <w:tc>
          <w:tcPr>
            <w:tcW w:w="9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02/24/2022</w:t>
            </w:r>
          </w:p>
        </w:tc>
        <w:tc>
          <w:tcPr>
            <w:tcW w:w="900" w:type="dxa"/>
            <w:vAlign w:val="bottom"/>
          </w:tcPr>
          <w:p>
            <w:pPr>
              <w:jc w:val="right"/>
              <w:spacing w:after="0"/>
              <w:rPr>
                <w:sz w:val="20"/>
                <w:szCs w:val="20"/>
                <w:color w:val="auto"/>
              </w:rPr>
            </w:pPr>
            <w:r>
              <w:rPr>
                <w:rFonts w:ascii="Arial" w:cs="Arial" w:eastAsia="Arial" w:hAnsi="Arial"/>
                <w:sz w:val="13"/>
                <w:szCs w:val="13"/>
                <w:color w:val="auto"/>
              </w:rPr>
              <w:t>40,610</w:t>
            </w:r>
          </w:p>
        </w:tc>
        <w:tc>
          <w:tcPr>
            <w:tcW w:w="1400" w:type="dxa"/>
            <w:vAlign w:val="bottom"/>
          </w:tcPr>
          <w:p>
            <w:pPr>
              <w:jc w:val="right"/>
              <w:ind w:right="298"/>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64.65</w:t>
            </w:r>
          </w:p>
        </w:tc>
        <w:tc>
          <w:tcPr>
            <w:tcW w:w="820" w:type="dxa"/>
            <w:vAlign w:val="bottom"/>
          </w:tcPr>
          <w:p>
            <w:pPr>
              <w:jc w:val="right"/>
              <w:spacing w:after="0"/>
              <w:rPr>
                <w:sz w:val="20"/>
                <w:szCs w:val="20"/>
                <w:color w:val="auto"/>
              </w:rPr>
            </w:pPr>
            <w:r>
              <w:rPr>
                <w:rFonts w:ascii="Arial" w:cs="Arial" w:eastAsia="Arial" w:hAnsi="Arial"/>
                <w:sz w:val="13"/>
                <w:szCs w:val="13"/>
                <w:color w:val="auto"/>
              </w:rPr>
              <w:t>02/24/2032</w:t>
            </w: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03/02/2023</w:t>
            </w:r>
          </w:p>
        </w:tc>
        <w:tc>
          <w:tcPr>
            <w:tcW w:w="900" w:type="dxa"/>
            <w:vAlign w:val="bottom"/>
          </w:tcPr>
          <w:p>
            <w:pPr>
              <w:jc w:val="right"/>
              <w:spacing w:after="0"/>
              <w:rPr>
                <w:sz w:val="20"/>
                <w:szCs w:val="20"/>
                <w:color w:val="auto"/>
              </w:rPr>
            </w:pPr>
            <w:r>
              <w:rPr>
                <w:rFonts w:ascii="Arial" w:cs="Arial" w:eastAsia="Arial" w:hAnsi="Arial"/>
                <w:sz w:val="13"/>
                <w:szCs w:val="13"/>
                <w:color w:val="auto"/>
              </w:rPr>
              <w:t>29,033</w:t>
            </w:r>
          </w:p>
        </w:tc>
        <w:tc>
          <w:tcPr>
            <w:tcW w:w="1400" w:type="dxa"/>
            <w:vAlign w:val="bottom"/>
          </w:tcPr>
          <w:p>
            <w:pPr>
              <w:jc w:val="right"/>
              <w:ind w:right="298"/>
              <w:spacing w:after="0"/>
              <w:rPr>
                <w:sz w:val="20"/>
                <w:szCs w:val="20"/>
                <w:color w:val="auto"/>
              </w:rPr>
            </w:pPr>
            <w:r>
              <w:rPr>
                <w:rFonts w:ascii="Arial" w:cs="Arial" w:eastAsia="Arial" w:hAnsi="Arial"/>
                <w:sz w:val="13"/>
                <w:szCs w:val="13"/>
                <w:color w:val="auto"/>
              </w:rPr>
              <w:t>14,957</w:t>
            </w:r>
          </w:p>
        </w:tc>
        <w:tc>
          <w:tcPr>
            <w:tcW w:w="440" w:type="dxa"/>
            <w:vAlign w:val="bottom"/>
          </w:tcPr>
          <w:p>
            <w:pPr>
              <w:jc w:val="right"/>
              <w:spacing w:after="0"/>
              <w:rPr>
                <w:sz w:val="20"/>
                <w:szCs w:val="20"/>
                <w:color w:val="auto"/>
              </w:rPr>
            </w:pPr>
            <w:r>
              <w:rPr>
                <w:rFonts w:ascii="Arial" w:cs="Arial" w:eastAsia="Arial" w:hAnsi="Arial"/>
                <w:sz w:val="13"/>
                <w:szCs w:val="13"/>
                <w:color w:val="auto"/>
              </w:rPr>
              <w:t>65.36</w:t>
            </w:r>
          </w:p>
        </w:tc>
        <w:tc>
          <w:tcPr>
            <w:tcW w:w="820" w:type="dxa"/>
            <w:vAlign w:val="bottom"/>
          </w:tcPr>
          <w:p>
            <w:pPr>
              <w:jc w:val="right"/>
              <w:spacing w:after="0"/>
              <w:rPr>
                <w:sz w:val="20"/>
                <w:szCs w:val="20"/>
                <w:color w:val="auto"/>
              </w:rPr>
            </w:pPr>
            <w:r>
              <w:rPr>
                <w:rFonts w:ascii="Arial" w:cs="Arial" w:eastAsia="Arial" w:hAnsi="Arial"/>
                <w:sz w:val="13"/>
                <w:szCs w:val="13"/>
                <w:color w:val="auto"/>
              </w:rPr>
              <w:t>03/02/2033</w:t>
            </w: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02/27/2024</w:t>
            </w:r>
          </w:p>
        </w:tc>
        <w:tc>
          <w:tcPr>
            <w:tcW w:w="900" w:type="dxa"/>
            <w:vAlign w:val="bottom"/>
          </w:tcPr>
          <w:p>
            <w:pPr>
              <w:jc w:val="right"/>
              <w:spacing w:after="0"/>
              <w:rPr>
                <w:sz w:val="20"/>
                <w:szCs w:val="20"/>
                <w:color w:val="auto"/>
              </w:rPr>
            </w:pPr>
            <w:r>
              <w:rPr>
                <w:rFonts w:ascii="Arial" w:cs="Arial" w:eastAsia="Arial" w:hAnsi="Arial"/>
                <w:sz w:val="13"/>
                <w:szCs w:val="13"/>
                <w:color w:val="auto"/>
              </w:rPr>
              <w:t>16,922</w:t>
            </w:r>
          </w:p>
        </w:tc>
        <w:tc>
          <w:tcPr>
            <w:tcW w:w="1400" w:type="dxa"/>
            <w:vAlign w:val="bottom"/>
          </w:tcPr>
          <w:p>
            <w:pPr>
              <w:jc w:val="right"/>
              <w:ind w:right="298"/>
              <w:spacing w:after="0"/>
              <w:rPr>
                <w:sz w:val="20"/>
                <w:szCs w:val="20"/>
                <w:color w:val="auto"/>
              </w:rPr>
            </w:pPr>
            <w:r>
              <w:rPr>
                <w:rFonts w:ascii="Arial" w:cs="Arial" w:eastAsia="Arial" w:hAnsi="Arial"/>
                <w:sz w:val="13"/>
                <w:szCs w:val="13"/>
                <w:color w:val="auto"/>
              </w:rPr>
              <w:t>34,358</w:t>
            </w:r>
          </w:p>
        </w:tc>
        <w:tc>
          <w:tcPr>
            <w:tcW w:w="440" w:type="dxa"/>
            <w:vAlign w:val="bottom"/>
          </w:tcPr>
          <w:p>
            <w:pPr>
              <w:jc w:val="right"/>
              <w:spacing w:after="0"/>
              <w:rPr>
                <w:sz w:val="20"/>
                <w:szCs w:val="20"/>
                <w:color w:val="auto"/>
              </w:rPr>
            </w:pPr>
            <w:r>
              <w:rPr>
                <w:rFonts w:ascii="Arial" w:cs="Arial" w:eastAsia="Arial" w:hAnsi="Arial"/>
                <w:sz w:val="13"/>
                <w:szCs w:val="13"/>
                <w:color w:val="auto"/>
              </w:rPr>
              <w:t>73.13</w:t>
            </w:r>
          </w:p>
        </w:tc>
        <w:tc>
          <w:tcPr>
            <w:tcW w:w="820" w:type="dxa"/>
            <w:vAlign w:val="bottom"/>
          </w:tcPr>
          <w:p>
            <w:pPr>
              <w:jc w:val="right"/>
              <w:spacing w:after="0"/>
              <w:rPr>
                <w:sz w:val="20"/>
                <w:szCs w:val="20"/>
                <w:color w:val="auto"/>
              </w:rPr>
            </w:pPr>
            <w:r>
              <w:rPr>
                <w:rFonts w:ascii="Arial" w:cs="Arial" w:eastAsia="Arial" w:hAnsi="Arial"/>
                <w:sz w:val="13"/>
                <w:szCs w:val="13"/>
                <w:color w:val="auto"/>
              </w:rPr>
              <w:t>02/27/2034</w:t>
            </w: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8"/>
              <w:spacing w:after="0"/>
              <w:rPr>
                <w:sz w:val="20"/>
                <w:szCs w:val="20"/>
                <w:color w:val="auto"/>
              </w:rPr>
            </w:pPr>
            <w:r>
              <w:rPr>
                <w:rFonts w:ascii="Arial" w:cs="Arial" w:eastAsia="Arial" w:hAnsi="Arial"/>
                <w:sz w:val="13"/>
                <w:szCs w:val="13"/>
                <w:color w:val="auto"/>
              </w:rPr>
              <w:t>15,385</w:t>
            </w:r>
          </w:p>
        </w:tc>
        <w:tc>
          <w:tcPr>
            <w:tcW w:w="860" w:type="dxa"/>
            <w:vAlign w:val="bottom"/>
          </w:tcPr>
          <w:p>
            <w:pPr>
              <w:jc w:val="right"/>
              <w:spacing w:after="0"/>
              <w:rPr>
                <w:sz w:val="20"/>
                <w:szCs w:val="20"/>
                <w:color w:val="auto"/>
              </w:rPr>
            </w:pPr>
            <w:r>
              <w:rPr>
                <w:rFonts w:ascii="Arial" w:cs="Arial" w:eastAsia="Arial" w:hAnsi="Arial"/>
                <w:sz w:val="13"/>
                <w:szCs w:val="13"/>
                <w:color w:val="auto"/>
              </w:rPr>
              <w:t>828,175</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03/17/2025</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298"/>
              <w:spacing w:after="0"/>
              <w:rPr>
                <w:sz w:val="20"/>
                <w:szCs w:val="20"/>
                <w:color w:val="auto"/>
              </w:rPr>
            </w:pPr>
            <w:r>
              <w:rPr>
                <w:rFonts w:ascii="Arial" w:cs="Arial" w:eastAsia="Arial" w:hAnsi="Arial"/>
                <w:sz w:val="13"/>
                <w:szCs w:val="13"/>
                <w:color w:val="auto"/>
              </w:rPr>
              <w:t>82,010</w:t>
            </w:r>
          </w:p>
        </w:tc>
        <w:tc>
          <w:tcPr>
            <w:tcW w:w="440" w:type="dxa"/>
            <w:vAlign w:val="bottom"/>
          </w:tcPr>
          <w:p>
            <w:pPr>
              <w:jc w:val="right"/>
              <w:spacing w:after="0"/>
              <w:rPr>
                <w:sz w:val="20"/>
                <w:szCs w:val="20"/>
                <w:color w:val="auto"/>
              </w:rPr>
            </w:pPr>
            <w:r>
              <w:rPr>
                <w:rFonts w:ascii="Arial" w:cs="Arial" w:eastAsia="Arial" w:hAnsi="Arial"/>
                <w:sz w:val="13"/>
                <w:szCs w:val="13"/>
                <w:color w:val="auto"/>
              </w:rPr>
              <w:t>65.09</w:t>
            </w:r>
          </w:p>
        </w:tc>
        <w:tc>
          <w:tcPr>
            <w:tcW w:w="820" w:type="dxa"/>
            <w:vAlign w:val="bottom"/>
          </w:tcPr>
          <w:p>
            <w:pPr>
              <w:jc w:val="right"/>
              <w:spacing w:after="0"/>
              <w:rPr>
                <w:sz w:val="20"/>
                <w:szCs w:val="20"/>
                <w:color w:val="auto"/>
              </w:rPr>
            </w:pPr>
            <w:r>
              <w:rPr>
                <w:rFonts w:ascii="Arial" w:cs="Arial" w:eastAsia="Arial" w:hAnsi="Arial"/>
                <w:sz w:val="13"/>
                <w:szCs w:val="13"/>
                <w:color w:val="auto"/>
              </w:rPr>
              <w:t>03/17/2035</w:t>
            </w: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8"/>
              <w:spacing w:after="0"/>
              <w:rPr>
                <w:sz w:val="20"/>
                <w:szCs w:val="20"/>
                <w:color w:val="auto"/>
              </w:rPr>
            </w:pPr>
            <w:r>
              <w:rPr>
                <w:rFonts w:ascii="Arial" w:cs="Arial" w:eastAsia="Arial" w:hAnsi="Arial"/>
                <w:sz w:val="13"/>
                <w:szCs w:val="13"/>
                <w:color w:val="auto"/>
              </w:rPr>
              <w:t>49,210</w:t>
            </w:r>
          </w:p>
        </w:tc>
        <w:tc>
          <w:tcPr>
            <w:tcW w:w="860" w:type="dxa"/>
            <w:vAlign w:val="bottom"/>
          </w:tcPr>
          <w:p>
            <w:pPr>
              <w:jc w:val="right"/>
              <w:spacing w:after="0"/>
              <w:rPr>
                <w:sz w:val="20"/>
                <w:szCs w:val="20"/>
                <w:color w:val="auto"/>
              </w:rPr>
            </w:pPr>
            <w:r>
              <w:rPr>
                <w:rFonts w:ascii="Arial" w:cs="Arial" w:eastAsia="Arial" w:hAnsi="Arial"/>
                <w:sz w:val="13"/>
                <w:szCs w:val="13"/>
                <w:color w:val="auto"/>
              </w:rPr>
              <w:t>2,648,974</w:t>
            </w:r>
          </w:p>
        </w:tc>
        <w:tc>
          <w:tcPr>
            <w:tcW w:w="0" w:type="dxa"/>
            <w:vAlign w:val="bottom"/>
          </w:tcPr>
          <w:p>
            <w:pPr>
              <w:spacing w:after="0"/>
              <w:rPr>
                <w:sz w:val="1"/>
                <w:szCs w:val="1"/>
                <w:color w:val="auto"/>
              </w:rPr>
            </w:pPr>
          </w:p>
        </w:tc>
      </w:tr>
      <w:tr>
        <w:trPr>
          <w:trHeight w:val="185"/>
        </w:trPr>
        <w:tc>
          <w:tcPr>
            <w:tcW w:w="960" w:type="dxa"/>
            <w:vAlign w:val="bottom"/>
          </w:tcPr>
          <w:p>
            <w:pPr>
              <w:ind w:left="60"/>
              <w:spacing w:after="0"/>
              <w:rPr>
                <w:sz w:val="20"/>
                <w:szCs w:val="20"/>
                <w:color w:val="auto"/>
              </w:rPr>
            </w:pPr>
            <w:r>
              <w:rPr>
                <w:rFonts w:ascii="Arial" w:cs="Arial" w:eastAsia="Arial" w:hAnsi="Arial"/>
                <w:sz w:val="13"/>
                <w:szCs w:val="13"/>
                <w:b w:val="1"/>
                <w:bCs w:val="1"/>
                <w:color w:val="auto"/>
              </w:rPr>
              <w:t>Renaud,</w:t>
            </w:r>
          </w:p>
        </w:tc>
        <w:tc>
          <w:tcPr>
            <w:tcW w:w="760" w:type="dxa"/>
            <w:vAlign w:val="bottom"/>
          </w:tcPr>
          <w:p>
            <w:pPr>
              <w:jc w:val="right"/>
              <w:spacing w:after="0"/>
              <w:rPr>
                <w:sz w:val="20"/>
                <w:szCs w:val="20"/>
                <w:color w:val="auto"/>
              </w:rPr>
            </w:pPr>
            <w:r>
              <w:rPr>
                <w:rFonts w:ascii="Arial" w:cs="Arial" w:eastAsia="Arial" w:hAnsi="Arial"/>
                <w:sz w:val="13"/>
                <w:szCs w:val="13"/>
                <w:color w:val="auto"/>
              </w:rPr>
              <w:t>02/22/2018</w:t>
            </w:r>
          </w:p>
        </w:tc>
        <w:tc>
          <w:tcPr>
            <w:tcW w:w="900" w:type="dxa"/>
            <w:vAlign w:val="bottom"/>
          </w:tcPr>
          <w:p>
            <w:pPr>
              <w:jc w:val="right"/>
              <w:spacing w:after="0"/>
              <w:rPr>
                <w:sz w:val="20"/>
                <w:szCs w:val="20"/>
                <w:color w:val="auto"/>
              </w:rPr>
            </w:pPr>
            <w:r>
              <w:rPr>
                <w:rFonts w:ascii="Arial" w:cs="Arial" w:eastAsia="Arial" w:hAnsi="Arial"/>
                <w:sz w:val="13"/>
                <w:szCs w:val="13"/>
                <w:color w:val="auto"/>
              </w:rPr>
              <w:t>22,990</w:t>
            </w:r>
          </w:p>
        </w:tc>
        <w:tc>
          <w:tcPr>
            <w:tcW w:w="1400" w:type="dxa"/>
            <w:vAlign w:val="bottom"/>
          </w:tcPr>
          <w:p>
            <w:pPr>
              <w:jc w:val="right"/>
              <w:ind w:right="298"/>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43.51</w:t>
            </w:r>
          </w:p>
        </w:tc>
        <w:tc>
          <w:tcPr>
            <w:tcW w:w="820" w:type="dxa"/>
            <w:vAlign w:val="bottom"/>
          </w:tcPr>
          <w:p>
            <w:pPr>
              <w:jc w:val="right"/>
              <w:spacing w:after="0"/>
              <w:rPr>
                <w:sz w:val="20"/>
                <w:szCs w:val="20"/>
                <w:color w:val="auto"/>
              </w:rPr>
            </w:pPr>
            <w:r>
              <w:rPr>
                <w:rFonts w:ascii="Arial" w:cs="Arial" w:eastAsia="Arial" w:hAnsi="Arial"/>
                <w:sz w:val="13"/>
                <w:szCs w:val="13"/>
                <w:color w:val="auto"/>
              </w:rPr>
              <w:t>02/22/2028</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8"/>
        </w:trPr>
        <w:tc>
          <w:tcPr>
            <w:tcW w:w="9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Martin</w:t>
            </w:r>
          </w:p>
        </w:tc>
        <w:tc>
          <w:tcPr>
            <w:tcW w:w="7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960" w:type="dxa"/>
            <w:vAlign w:val="bottom"/>
            <w:vMerge w:val="continue"/>
          </w:tcPr>
          <w:p>
            <w:pPr>
              <w:spacing w:after="0"/>
              <w:rPr>
                <w:sz w:val="9"/>
                <w:szCs w:val="9"/>
                <w:color w:val="auto"/>
              </w:rPr>
            </w:pPr>
          </w:p>
        </w:tc>
        <w:tc>
          <w:tcPr>
            <w:tcW w:w="760" w:type="dxa"/>
            <w:vAlign w:val="bottom"/>
            <w:vMerge w:val="restart"/>
            <w:shd w:val="clear" w:color="auto" w:fill="E0DBEA"/>
          </w:tcPr>
          <w:p>
            <w:pPr>
              <w:jc w:val="right"/>
              <w:spacing w:after="0"/>
              <w:rPr>
                <w:sz w:val="20"/>
                <w:szCs w:val="20"/>
                <w:color w:val="auto"/>
              </w:rPr>
            </w:pPr>
            <w:r>
              <w:rPr>
                <w:rFonts w:ascii="Arial" w:cs="Arial" w:eastAsia="Arial" w:hAnsi="Arial"/>
                <w:sz w:val="13"/>
                <w:szCs w:val="13"/>
                <w:color w:val="auto"/>
              </w:rPr>
              <w:t>02/22/2019</w:t>
            </w:r>
          </w:p>
        </w:tc>
        <w:tc>
          <w:tcPr>
            <w:tcW w:w="900" w:type="dxa"/>
            <w:vAlign w:val="bottom"/>
            <w:vMerge w:val="restart"/>
            <w:shd w:val="clear" w:color="auto" w:fill="E0DBEA"/>
          </w:tcPr>
          <w:p>
            <w:pPr>
              <w:jc w:val="right"/>
              <w:spacing w:after="0"/>
              <w:rPr>
                <w:sz w:val="20"/>
                <w:szCs w:val="20"/>
                <w:color w:val="auto"/>
              </w:rPr>
            </w:pPr>
            <w:r>
              <w:rPr>
                <w:rFonts w:ascii="Arial" w:cs="Arial" w:eastAsia="Arial" w:hAnsi="Arial"/>
                <w:sz w:val="13"/>
                <w:szCs w:val="13"/>
                <w:color w:val="auto"/>
              </w:rPr>
              <w:t>26,200</w:t>
            </w:r>
          </w:p>
        </w:tc>
        <w:tc>
          <w:tcPr>
            <w:tcW w:w="1400" w:type="dxa"/>
            <w:vAlign w:val="bottom"/>
            <w:vMerge w:val="restart"/>
            <w:shd w:val="clear" w:color="auto" w:fill="E0DBEA"/>
          </w:tcPr>
          <w:p>
            <w:pPr>
              <w:jc w:val="right"/>
              <w:ind w:right="298"/>
              <w:spacing w:after="0"/>
              <w:rPr>
                <w:sz w:val="20"/>
                <w:szCs w:val="20"/>
                <w:color w:val="auto"/>
              </w:rPr>
            </w:pPr>
            <w:r>
              <w:rPr>
                <w:rFonts w:ascii="Arial" w:cs="Arial" w:eastAsia="Arial" w:hAnsi="Arial"/>
                <w:sz w:val="13"/>
                <w:szCs w:val="13"/>
                <w:color w:val="auto"/>
              </w:rPr>
              <w:t>—</w:t>
            </w:r>
          </w:p>
        </w:tc>
        <w:tc>
          <w:tcPr>
            <w:tcW w:w="440" w:type="dxa"/>
            <w:vAlign w:val="bottom"/>
            <w:vMerge w:val="restart"/>
            <w:shd w:val="clear" w:color="auto" w:fill="E0DBEA"/>
          </w:tcPr>
          <w:p>
            <w:pPr>
              <w:jc w:val="right"/>
              <w:spacing w:after="0"/>
              <w:rPr>
                <w:sz w:val="20"/>
                <w:szCs w:val="20"/>
                <w:color w:val="auto"/>
              </w:rPr>
            </w:pPr>
            <w:r>
              <w:rPr>
                <w:rFonts w:ascii="Arial" w:cs="Arial" w:eastAsia="Arial" w:hAnsi="Arial"/>
                <w:sz w:val="13"/>
                <w:szCs w:val="13"/>
                <w:color w:val="auto"/>
              </w:rPr>
              <w:t>47.72</w:t>
            </w:r>
          </w:p>
        </w:tc>
        <w:tc>
          <w:tcPr>
            <w:tcW w:w="820" w:type="dxa"/>
            <w:vAlign w:val="bottom"/>
            <w:vMerge w:val="restart"/>
            <w:shd w:val="clear" w:color="auto" w:fill="E0DBEA"/>
          </w:tcPr>
          <w:p>
            <w:pPr>
              <w:jc w:val="right"/>
              <w:spacing w:after="0"/>
              <w:rPr>
                <w:sz w:val="20"/>
                <w:szCs w:val="20"/>
                <w:color w:val="auto"/>
              </w:rPr>
            </w:pPr>
            <w:r>
              <w:rPr>
                <w:rFonts w:ascii="Arial" w:cs="Arial" w:eastAsia="Arial" w:hAnsi="Arial"/>
                <w:sz w:val="13"/>
                <w:szCs w:val="13"/>
                <w:color w:val="auto"/>
              </w:rPr>
              <w:t>02/22/2029</w:t>
            </w:r>
          </w:p>
        </w:tc>
        <w:tc>
          <w:tcPr>
            <w:tcW w:w="60" w:type="dxa"/>
            <w:vAlign w:val="bottom"/>
            <w:shd w:val="clear" w:color="auto" w:fill="E0DBEA"/>
          </w:tcPr>
          <w:p>
            <w:pPr>
              <w:spacing w:after="0"/>
              <w:rPr>
                <w:sz w:val="9"/>
                <w:szCs w:val="9"/>
                <w:color w:val="auto"/>
              </w:rPr>
            </w:pPr>
          </w:p>
        </w:tc>
        <w:tc>
          <w:tcPr>
            <w:tcW w:w="800" w:type="dxa"/>
            <w:vAlign w:val="bottom"/>
            <w:vMerge w:val="restart"/>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vMerge w:val="restart"/>
            <w:shd w:val="clear" w:color="auto" w:fill="E0DBEA"/>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vMerge w:val="restart"/>
            <w:shd w:val="clear" w:color="auto" w:fill="E0DBEA"/>
          </w:tcPr>
          <w:p>
            <w:pPr>
              <w:jc w:val="right"/>
              <w:ind w:right="178"/>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9"/>
        </w:trPr>
        <w:tc>
          <w:tcPr>
            <w:tcW w:w="960" w:type="dxa"/>
            <w:vAlign w:val="bottom"/>
          </w:tcPr>
          <w:p>
            <w:pPr>
              <w:spacing w:after="0"/>
              <w:rPr>
                <w:sz w:val="7"/>
                <w:szCs w:val="7"/>
                <w:color w:val="auto"/>
              </w:rPr>
            </w:pPr>
          </w:p>
        </w:tc>
        <w:tc>
          <w:tcPr>
            <w:tcW w:w="760" w:type="dxa"/>
            <w:vAlign w:val="bottom"/>
            <w:tcBorders>
              <w:bottom w:val="single" w:sz="8" w:color="E0DBEA"/>
            </w:tcBorders>
            <w:vMerge w:val="continue"/>
            <w:shd w:val="clear" w:color="auto" w:fill="E0DBEA"/>
          </w:tcPr>
          <w:p>
            <w:pPr>
              <w:spacing w:after="0"/>
              <w:rPr>
                <w:sz w:val="7"/>
                <w:szCs w:val="7"/>
                <w:color w:val="auto"/>
              </w:rPr>
            </w:pPr>
          </w:p>
        </w:tc>
        <w:tc>
          <w:tcPr>
            <w:tcW w:w="900" w:type="dxa"/>
            <w:vAlign w:val="bottom"/>
            <w:tcBorders>
              <w:bottom w:val="single" w:sz="8" w:color="E0DBEA"/>
            </w:tcBorders>
            <w:vMerge w:val="continue"/>
            <w:shd w:val="clear" w:color="auto" w:fill="E0DBEA"/>
          </w:tcPr>
          <w:p>
            <w:pPr>
              <w:spacing w:after="0"/>
              <w:rPr>
                <w:sz w:val="7"/>
                <w:szCs w:val="7"/>
                <w:color w:val="auto"/>
              </w:rPr>
            </w:pPr>
          </w:p>
        </w:tc>
        <w:tc>
          <w:tcPr>
            <w:tcW w:w="1400" w:type="dxa"/>
            <w:vAlign w:val="bottom"/>
            <w:tcBorders>
              <w:bottom w:val="single" w:sz="8" w:color="E0DBEA"/>
            </w:tcBorders>
            <w:vMerge w:val="continue"/>
            <w:shd w:val="clear" w:color="auto" w:fill="E0DBEA"/>
          </w:tcPr>
          <w:p>
            <w:pPr>
              <w:spacing w:after="0"/>
              <w:rPr>
                <w:sz w:val="7"/>
                <w:szCs w:val="7"/>
                <w:color w:val="auto"/>
              </w:rPr>
            </w:pPr>
          </w:p>
        </w:tc>
        <w:tc>
          <w:tcPr>
            <w:tcW w:w="440" w:type="dxa"/>
            <w:vAlign w:val="bottom"/>
            <w:tcBorders>
              <w:bottom w:val="single" w:sz="8" w:color="E0DBEA"/>
            </w:tcBorders>
            <w:vMerge w:val="continue"/>
            <w:shd w:val="clear" w:color="auto" w:fill="E0DBEA"/>
          </w:tcPr>
          <w:p>
            <w:pPr>
              <w:spacing w:after="0"/>
              <w:rPr>
                <w:sz w:val="7"/>
                <w:szCs w:val="7"/>
                <w:color w:val="auto"/>
              </w:rPr>
            </w:pPr>
          </w:p>
        </w:tc>
        <w:tc>
          <w:tcPr>
            <w:tcW w:w="820" w:type="dxa"/>
            <w:vAlign w:val="bottom"/>
            <w:tcBorders>
              <w:bottom w:val="single" w:sz="8" w:color="E0DBEA"/>
            </w:tcBorders>
            <w:vMerge w:val="continue"/>
            <w:shd w:val="clear" w:color="auto" w:fill="E0DBEA"/>
          </w:tcPr>
          <w:p>
            <w:pPr>
              <w:spacing w:after="0"/>
              <w:rPr>
                <w:sz w:val="7"/>
                <w:szCs w:val="7"/>
                <w:color w:val="auto"/>
              </w:rPr>
            </w:pPr>
          </w:p>
        </w:tc>
        <w:tc>
          <w:tcPr>
            <w:tcW w:w="60" w:type="dxa"/>
            <w:vAlign w:val="bottom"/>
            <w:tcBorders>
              <w:bottom w:val="single" w:sz="8" w:color="E0DBEA"/>
            </w:tcBorders>
            <w:shd w:val="clear" w:color="auto" w:fill="E0DBEA"/>
          </w:tcPr>
          <w:p>
            <w:pPr>
              <w:spacing w:after="0"/>
              <w:rPr>
                <w:sz w:val="7"/>
                <w:szCs w:val="7"/>
                <w:color w:val="auto"/>
              </w:rPr>
            </w:pPr>
          </w:p>
        </w:tc>
        <w:tc>
          <w:tcPr>
            <w:tcW w:w="800" w:type="dxa"/>
            <w:vAlign w:val="bottom"/>
            <w:tcBorders>
              <w:bottom w:val="single" w:sz="8" w:color="E0DBEA"/>
            </w:tcBorders>
            <w:vMerge w:val="continue"/>
            <w:shd w:val="clear" w:color="auto" w:fill="E0DBEA"/>
          </w:tcPr>
          <w:p>
            <w:pPr>
              <w:spacing w:after="0"/>
              <w:rPr>
                <w:sz w:val="7"/>
                <w:szCs w:val="7"/>
                <w:color w:val="auto"/>
              </w:rPr>
            </w:pPr>
          </w:p>
        </w:tc>
        <w:tc>
          <w:tcPr>
            <w:tcW w:w="1000" w:type="dxa"/>
            <w:vAlign w:val="bottom"/>
            <w:tcBorders>
              <w:bottom w:val="single" w:sz="8" w:color="E0DBEA"/>
            </w:tcBorders>
            <w:gridSpan w:val="2"/>
            <w:vMerge w:val="continue"/>
            <w:shd w:val="clear" w:color="auto" w:fill="E0DBEA"/>
          </w:tcPr>
          <w:p>
            <w:pPr>
              <w:spacing w:after="0"/>
              <w:rPr>
                <w:sz w:val="7"/>
                <w:szCs w:val="7"/>
                <w:color w:val="auto"/>
              </w:rPr>
            </w:pPr>
          </w:p>
        </w:tc>
        <w:tc>
          <w:tcPr>
            <w:tcW w:w="1040" w:type="dxa"/>
            <w:vAlign w:val="bottom"/>
            <w:tcBorders>
              <w:bottom w:val="single" w:sz="8" w:color="E0DBEA"/>
            </w:tcBorders>
            <w:vMerge w:val="continue"/>
            <w:shd w:val="clear" w:color="auto" w:fill="E0DBEA"/>
          </w:tcPr>
          <w:p>
            <w:pPr>
              <w:spacing w:after="0"/>
              <w:rPr>
                <w:sz w:val="7"/>
                <w:szCs w:val="7"/>
                <w:color w:val="auto"/>
              </w:rPr>
            </w:pPr>
          </w:p>
        </w:tc>
        <w:tc>
          <w:tcPr>
            <w:tcW w:w="860" w:type="dxa"/>
            <w:vAlign w:val="bottom"/>
            <w:tcBorders>
              <w:bottom w:val="single" w:sz="8" w:color="E0DBEA"/>
            </w:tcBorders>
            <w:vMerge w:val="continue"/>
            <w:shd w:val="clear" w:color="auto" w:fill="E0DBEA"/>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760" w:type="dxa"/>
            <w:vAlign w:val="bottom"/>
            <w:tcBorders>
              <w:top w:val="single" w:sz="8" w:color="582C83"/>
            </w:tcBorders>
          </w:tcPr>
          <w:p>
            <w:pPr>
              <w:jc w:val="right"/>
              <w:spacing w:after="0"/>
              <w:rPr>
                <w:sz w:val="20"/>
                <w:szCs w:val="20"/>
                <w:color w:val="auto"/>
              </w:rPr>
            </w:pPr>
            <w:r>
              <w:rPr>
                <w:rFonts w:ascii="Arial" w:cs="Arial" w:eastAsia="Arial" w:hAnsi="Arial"/>
                <w:sz w:val="13"/>
                <w:szCs w:val="13"/>
                <w:color w:val="auto"/>
              </w:rPr>
              <w:t>02/20/2020</w:t>
            </w:r>
          </w:p>
        </w:tc>
        <w:tc>
          <w:tcPr>
            <w:tcW w:w="90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25,410</w:t>
            </w:r>
          </w:p>
        </w:tc>
        <w:tc>
          <w:tcPr>
            <w:tcW w:w="1400" w:type="dxa"/>
            <w:vAlign w:val="bottom"/>
            <w:tcBorders>
              <w:top w:val="single" w:sz="8" w:color="582C83"/>
              <w:bottom w:val="single" w:sz="8" w:color="E0DBEA"/>
            </w:tcBorders>
            <w:shd w:val="clear" w:color="auto" w:fill="E0DBEA"/>
          </w:tcPr>
          <w:p>
            <w:pPr>
              <w:jc w:val="right"/>
              <w:ind w:right="298"/>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59.04</w:t>
            </w:r>
          </w:p>
        </w:tc>
        <w:tc>
          <w:tcPr>
            <w:tcW w:w="82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02/20/2030</w:t>
            </w:r>
          </w:p>
        </w:tc>
        <w:tc>
          <w:tcPr>
            <w:tcW w:w="60" w:type="dxa"/>
            <w:vAlign w:val="bottom"/>
            <w:tcBorders>
              <w:top w:val="single" w:sz="8" w:color="582C83"/>
              <w:bottom w:val="single" w:sz="8" w:color="E0DBEA"/>
            </w:tcBorders>
            <w:shd w:val="clear" w:color="auto" w:fill="E0DBEA"/>
          </w:tcPr>
          <w:p>
            <w:pPr>
              <w:spacing w:after="0"/>
              <w:rPr>
                <w:sz w:val="15"/>
                <w:szCs w:val="15"/>
                <w:color w:val="auto"/>
              </w:rPr>
            </w:pPr>
          </w:p>
        </w:tc>
        <w:tc>
          <w:tcPr>
            <w:tcW w:w="80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582C83"/>
              <w:bottom w:val="single" w:sz="8" w:color="E0DBEA"/>
            </w:tcBorders>
            <w:gridSpan w:val="2"/>
            <w:shd w:val="clear" w:color="auto" w:fill="E0DBEA"/>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582C83"/>
              <w:bottom w:val="single" w:sz="8" w:color="E0DBEA"/>
            </w:tcBorders>
            <w:shd w:val="clear" w:color="auto" w:fill="E0DBEA"/>
          </w:tcPr>
          <w:p>
            <w:pPr>
              <w:jc w:val="right"/>
              <w:ind w:right="178"/>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760" w:type="dxa"/>
            <w:vAlign w:val="bottom"/>
            <w:tcBorders>
              <w:top w:val="single" w:sz="8" w:color="582C83"/>
            </w:tcBorders>
          </w:tcPr>
          <w:p>
            <w:pPr>
              <w:jc w:val="right"/>
              <w:spacing w:after="0"/>
              <w:rPr>
                <w:sz w:val="20"/>
                <w:szCs w:val="20"/>
                <w:color w:val="auto"/>
              </w:rPr>
            </w:pPr>
            <w:r>
              <w:rPr>
                <w:rFonts w:ascii="Arial" w:cs="Arial" w:eastAsia="Arial" w:hAnsi="Arial"/>
                <w:sz w:val="13"/>
                <w:szCs w:val="13"/>
                <w:color w:val="auto"/>
              </w:rPr>
              <w:t>02/18/2021</w:t>
            </w:r>
          </w:p>
        </w:tc>
        <w:tc>
          <w:tcPr>
            <w:tcW w:w="90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30,070</w:t>
            </w:r>
          </w:p>
        </w:tc>
        <w:tc>
          <w:tcPr>
            <w:tcW w:w="1400" w:type="dxa"/>
            <w:vAlign w:val="bottom"/>
            <w:tcBorders>
              <w:top w:val="single" w:sz="8" w:color="582C83"/>
              <w:bottom w:val="single" w:sz="8" w:color="E0DBEA"/>
            </w:tcBorders>
            <w:shd w:val="clear" w:color="auto" w:fill="E0DBEA"/>
          </w:tcPr>
          <w:p>
            <w:pPr>
              <w:jc w:val="right"/>
              <w:ind w:right="298"/>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56.13</w:t>
            </w:r>
          </w:p>
        </w:tc>
        <w:tc>
          <w:tcPr>
            <w:tcW w:w="82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02/18/2031</w:t>
            </w:r>
          </w:p>
        </w:tc>
        <w:tc>
          <w:tcPr>
            <w:tcW w:w="60" w:type="dxa"/>
            <w:vAlign w:val="bottom"/>
            <w:tcBorders>
              <w:top w:val="single" w:sz="8" w:color="582C83"/>
              <w:bottom w:val="single" w:sz="8" w:color="E0DBEA"/>
            </w:tcBorders>
            <w:shd w:val="clear" w:color="auto" w:fill="E0DBEA"/>
          </w:tcPr>
          <w:p>
            <w:pPr>
              <w:spacing w:after="0"/>
              <w:rPr>
                <w:sz w:val="15"/>
                <w:szCs w:val="15"/>
                <w:color w:val="auto"/>
              </w:rPr>
            </w:pPr>
          </w:p>
        </w:tc>
        <w:tc>
          <w:tcPr>
            <w:tcW w:w="80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582C83"/>
              <w:bottom w:val="single" w:sz="8" w:color="E0DBEA"/>
            </w:tcBorders>
            <w:gridSpan w:val="2"/>
            <w:shd w:val="clear" w:color="auto" w:fill="E0DBEA"/>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582C83"/>
              <w:bottom w:val="single" w:sz="8" w:color="E0DBEA"/>
            </w:tcBorders>
            <w:shd w:val="clear" w:color="auto" w:fill="E0DBEA"/>
          </w:tcPr>
          <w:p>
            <w:pPr>
              <w:jc w:val="right"/>
              <w:ind w:right="178"/>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760" w:type="dxa"/>
            <w:vAlign w:val="bottom"/>
            <w:tcBorders>
              <w:top w:val="single" w:sz="8" w:color="582C83"/>
            </w:tcBorders>
          </w:tcPr>
          <w:p>
            <w:pPr>
              <w:jc w:val="right"/>
              <w:spacing w:after="0"/>
              <w:rPr>
                <w:sz w:val="20"/>
                <w:szCs w:val="20"/>
                <w:color w:val="auto"/>
              </w:rPr>
            </w:pPr>
            <w:r>
              <w:rPr>
                <w:rFonts w:ascii="Arial" w:cs="Arial" w:eastAsia="Arial" w:hAnsi="Arial"/>
                <w:sz w:val="13"/>
                <w:szCs w:val="13"/>
                <w:color w:val="auto"/>
              </w:rPr>
              <w:t>02/24/2022</w:t>
            </w:r>
          </w:p>
        </w:tc>
        <w:tc>
          <w:tcPr>
            <w:tcW w:w="90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30,940</w:t>
            </w:r>
          </w:p>
        </w:tc>
        <w:tc>
          <w:tcPr>
            <w:tcW w:w="1400" w:type="dxa"/>
            <w:vAlign w:val="bottom"/>
            <w:tcBorders>
              <w:top w:val="single" w:sz="8" w:color="582C83"/>
              <w:bottom w:val="single" w:sz="8" w:color="E0DBEA"/>
            </w:tcBorders>
            <w:shd w:val="clear" w:color="auto" w:fill="E0DBEA"/>
          </w:tcPr>
          <w:p>
            <w:pPr>
              <w:jc w:val="right"/>
              <w:ind w:right="298"/>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64.65</w:t>
            </w:r>
          </w:p>
        </w:tc>
        <w:tc>
          <w:tcPr>
            <w:tcW w:w="82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02/24/2032</w:t>
            </w:r>
          </w:p>
        </w:tc>
        <w:tc>
          <w:tcPr>
            <w:tcW w:w="60" w:type="dxa"/>
            <w:vAlign w:val="bottom"/>
            <w:tcBorders>
              <w:top w:val="single" w:sz="8" w:color="582C83"/>
              <w:bottom w:val="single" w:sz="8" w:color="E0DBEA"/>
            </w:tcBorders>
            <w:shd w:val="clear" w:color="auto" w:fill="E0DBEA"/>
          </w:tcPr>
          <w:p>
            <w:pPr>
              <w:spacing w:after="0"/>
              <w:rPr>
                <w:sz w:val="15"/>
                <w:szCs w:val="15"/>
                <w:color w:val="auto"/>
              </w:rPr>
            </w:pPr>
          </w:p>
        </w:tc>
        <w:tc>
          <w:tcPr>
            <w:tcW w:w="80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582C83"/>
              <w:bottom w:val="single" w:sz="8" w:color="E0DBEA"/>
            </w:tcBorders>
            <w:gridSpan w:val="2"/>
            <w:shd w:val="clear" w:color="auto" w:fill="E0DBEA"/>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582C83"/>
              <w:bottom w:val="single" w:sz="8" w:color="E0DBEA"/>
            </w:tcBorders>
            <w:shd w:val="clear" w:color="auto" w:fill="E0DBEA"/>
          </w:tcPr>
          <w:p>
            <w:pPr>
              <w:jc w:val="right"/>
              <w:ind w:right="178"/>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760" w:type="dxa"/>
            <w:vAlign w:val="bottom"/>
            <w:tcBorders>
              <w:top w:val="single" w:sz="8" w:color="582C83"/>
            </w:tcBorders>
          </w:tcPr>
          <w:p>
            <w:pPr>
              <w:jc w:val="right"/>
              <w:spacing w:after="0"/>
              <w:rPr>
                <w:sz w:val="20"/>
                <w:szCs w:val="20"/>
                <w:color w:val="auto"/>
              </w:rPr>
            </w:pPr>
            <w:r>
              <w:rPr>
                <w:rFonts w:ascii="Arial" w:cs="Arial" w:eastAsia="Arial" w:hAnsi="Arial"/>
                <w:sz w:val="13"/>
                <w:szCs w:val="13"/>
                <w:color w:val="auto"/>
              </w:rPr>
              <w:t>03/02/2023</w:t>
            </w:r>
          </w:p>
        </w:tc>
        <w:tc>
          <w:tcPr>
            <w:tcW w:w="90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25,244</w:t>
            </w:r>
          </w:p>
        </w:tc>
        <w:tc>
          <w:tcPr>
            <w:tcW w:w="1400" w:type="dxa"/>
            <w:vAlign w:val="bottom"/>
            <w:tcBorders>
              <w:top w:val="single" w:sz="8" w:color="582C83"/>
              <w:bottom w:val="single" w:sz="8" w:color="E0DBEA"/>
            </w:tcBorders>
            <w:shd w:val="clear" w:color="auto" w:fill="E0DBEA"/>
          </w:tcPr>
          <w:p>
            <w:pPr>
              <w:jc w:val="right"/>
              <w:ind w:right="298"/>
              <w:spacing w:after="0"/>
              <w:rPr>
                <w:sz w:val="20"/>
                <w:szCs w:val="20"/>
                <w:color w:val="auto"/>
              </w:rPr>
            </w:pPr>
            <w:r>
              <w:rPr>
                <w:rFonts w:ascii="Arial" w:cs="Arial" w:eastAsia="Arial" w:hAnsi="Arial"/>
                <w:sz w:val="13"/>
                <w:szCs w:val="13"/>
                <w:color w:val="auto"/>
              </w:rPr>
              <w:t>13,006</w:t>
            </w:r>
          </w:p>
        </w:tc>
        <w:tc>
          <w:tcPr>
            <w:tcW w:w="44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65.36</w:t>
            </w:r>
          </w:p>
        </w:tc>
        <w:tc>
          <w:tcPr>
            <w:tcW w:w="82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03/02/2033</w:t>
            </w:r>
          </w:p>
        </w:tc>
        <w:tc>
          <w:tcPr>
            <w:tcW w:w="60" w:type="dxa"/>
            <w:vAlign w:val="bottom"/>
            <w:tcBorders>
              <w:top w:val="single" w:sz="8" w:color="582C83"/>
              <w:bottom w:val="single" w:sz="8" w:color="E0DBEA"/>
            </w:tcBorders>
            <w:shd w:val="clear" w:color="auto" w:fill="E0DBEA"/>
          </w:tcPr>
          <w:p>
            <w:pPr>
              <w:spacing w:after="0"/>
              <w:rPr>
                <w:sz w:val="15"/>
                <w:szCs w:val="15"/>
                <w:color w:val="auto"/>
              </w:rPr>
            </w:pPr>
          </w:p>
        </w:tc>
        <w:tc>
          <w:tcPr>
            <w:tcW w:w="80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582C83"/>
              <w:bottom w:val="single" w:sz="8" w:color="E0DBEA"/>
            </w:tcBorders>
            <w:gridSpan w:val="2"/>
            <w:shd w:val="clear" w:color="auto" w:fill="E0DBEA"/>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582C83"/>
              <w:bottom w:val="single" w:sz="8" w:color="E0DBEA"/>
            </w:tcBorders>
            <w:shd w:val="clear" w:color="auto" w:fill="E0DBEA"/>
          </w:tcPr>
          <w:p>
            <w:pPr>
              <w:jc w:val="right"/>
              <w:ind w:right="178"/>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760" w:type="dxa"/>
            <w:vAlign w:val="bottom"/>
            <w:tcBorders>
              <w:top w:val="single" w:sz="8" w:color="582C83"/>
            </w:tcBorders>
          </w:tcPr>
          <w:p>
            <w:pPr>
              <w:jc w:val="right"/>
              <w:spacing w:after="0"/>
              <w:rPr>
                <w:sz w:val="20"/>
                <w:szCs w:val="20"/>
                <w:color w:val="auto"/>
              </w:rPr>
            </w:pPr>
            <w:r>
              <w:rPr>
                <w:rFonts w:ascii="Arial" w:cs="Arial" w:eastAsia="Arial" w:hAnsi="Arial"/>
                <w:sz w:val="13"/>
                <w:szCs w:val="13"/>
                <w:color w:val="auto"/>
              </w:rPr>
              <w:t>02/27/2024</w:t>
            </w:r>
          </w:p>
        </w:tc>
        <w:tc>
          <w:tcPr>
            <w:tcW w:w="90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13,539</w:t>
            </w:r>
          </w:p>
        </w:tc>
        <w:tc>
          <w:tcPr>
            <w:tcW w:w="1400" w:type="dxa"/>
            <w:vAlign w:val="bottom"/>
            <w:tcBorders>
              <w:top w:val="single" w:sz="8" w:color="582C83"/>
              <w:bottom w:val="single" w:sz="8" w:color="E0DBEA"/>
            </w:tcBorders>
            <w:shd w:val="clear" w:color="auto" w:fill="E0DBEA"/>
          </w:tcPr>
          <w:p>
            <w:pPr>
              <w:jc w:val="right"/>
              <w:ind w:right="298"/>
              <w:spacing w:after="0"/>
              <w:rPr>
                <w:sz w:val="20"/>
                <w:szCs w:val="20"/>
                <w:color w:val="auto"/>
              </w:rPr>
            </w:pPr>
            <w:r>
              <w:rPr>
                <w:rFonts w:ascii="Arial" w:cs="Arial" w:eastAsia="Arial" w:hAnsi="Arial"/>
                <w:sz w:val="13"/>
                <w:szCs w:val="13"/>
                <w:color w:val="auto"/>
              </w:rPr>
              <w:t>27,491</w:t>
            </w:r>
          </w:p>
        </w:tc>
        <w:tc>
          <w:tcPr>
            <w:tcW w:w="44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73.13</w:t>
            </w:r>
          </w:p>
        </w:tc>
        <w:tc>
          <w:tcPr>
            <w:tcW w:w="82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02/27/2034</w:t>
            </w:r>
          </w:p>
        </w:tc>
        <w:tc>
          <w:tcPr>
            <w:tcW w:w="60" w:type="dxa"/>
            <w:vAlign w:val="bottom"/>
            <w:tcBorders>
              <w:top w:val="single" w:sz="8" w:color="582C83"/>
              <w:bottom w:val="single" w:sz="8" w:color="E0DBEA"/>
            </w:tcBorders>
            <w:shd w:val="clear" w:color="auto" w:fill="E0DBEA"/>
          </w:tcPr>
          <w:p>
            <w:pPr>
              <w:spacing w:after="0"/>
              <w:rPr>
                <w:sz w:val="15"/>
                <w:szCs w:val="15"/>
                <w:color w:val="auto"/>
              </w:rPr>
            </w:pPr>
          </w:p>
        </w:tc>
        <w:tc>
          <w:tcPr>
            <w:tcW w:w="80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582C83"/>
              <w:bottom w:val="single" w:sz="8" w:color="E0DBEA"/>
            </w:tcBorders>
            <w:gridSpan w:val="2"/>
            <w:shd w:val="clear" w:color="auto" w:fill="E0DBEA"/>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582C83"/>
              <w:bottom w:val="single" w:sz="8" w:color="E0DBEA"/>
            </w:tcBorders>
            <w:shd w:val="clear" w:color="auto" w:fill="E0DBEA"/>
          </w:tcPr>
          <w:p>
            <w:pPr>
              <w:jc w:val="right"/>
              <w:ind w:right="178"/>
              <w:spacing w:after="0"/>
              <w:rPr>
                <w:sz w:val="20"/>
                <w:szCs w:val="20"/>
                <w:color w:val="auto"/>
              </w:rPr>
            </w:pPr>
            <w:r>
              <w:rPr>
                <w:rFonts w:ascii="Arial" w:cs="Arial" w:eastAsia="Arial" w:hAnsi="Arial"/>
                <w:sz w:val="13"/>
                <w:szCs w:val="13"/>
                <w:color w:val="auto"/>
              </w:rPr>
              <w:t>12,310</w:t>
            </w:r>
          </w:p>
        </w:tc>
        <w:tc>
          <w:tcPr>
            <w:tcW w:w="86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662,647</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760" w:type="dxa"/>
            <w:vAlign w:val="bottom"/>
            <w:tcBorders>
              <w:top w:val="single" w:sz="8" w:color="582C83"/>
            </w:tcBorders>
          </w:tcPr>
          <w:p>
            <w:pPr>
              <w:jc w:val="right"/>
              <w:spacing w:after="0"/>
              <w:rPr>
                <w:sz w:val="20"/>
                <w:szCs w:val="20"/>
                <w:color w:val="auto"/>
              </w:rPr>
            </w:pPr>
            <w:r>
              <w:rPr>
                <w:rFonts w:ascii="Arial" w:cs="Arial" w:eastAsia="Arial" w:hAnsi="Arial"/>
                <w:sz w:val="13"/>
                <w:szCs w:val="13"/>
                <w:color w:val="auto"/>
              </w:rPr>
              <w:t>03/17/2025</w:t>
            </w:r>
          </w:p>
        </w:tc>
        <w:tc>
          <w:tcPr>
            <w:tcW w:w="90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400" w:type="dxa"/>
            <w:vAlign w:val="bottom"/>
            <w:tcBorders>
              <w:top w:val="single" w:sz="8" w:color="582C83"/>
              <w:bottom w:val="single" w:sz="8" w:color="E0DBEA"/>
            </w:tcBorders>
            <w:shd w:val="clear" w:color="auto" w:fill="E0DBEA"/>
          </w:tcPr>
          <w:p>
            <w:pPr>
              <w:jc w:val="right"/>
              <w:ind w:right="298"/>
              <w:spacing w:after="0"/>
              <w:rPr>
                <w:sz w:val="20"/>
                <w:szCs w:val="20"/>
                <w:color w:val="auto"/>
              </w:rPr>
            </w:pPr>
            <w:r>
              <w:rPr>
                <w:rFonts w:ascii="Arial" w:cs="Arial" w:eastAsia="Arial" w:hAnsi="Arial"/>
                <w:sz w:val="13"/>
                <w:szCs w:val="13"/>
                <w:color w:val="auto"/>
              </w:rPr>
              <w:t>54,610</w:t>
            </w:r>
          </w:p>
        </w:tc>
        <w:tc>
          <w:tcPr>
            <w:tcW w:w="44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65.09</w:t>
            </w:r>
          </w:p>
        </w:tc>
        <w:tc>
          <w:tcPr>
            <w:tcW w:w="82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03/17/2035</w:t>
            </w:r>
          </w:p>
        </w:tc>
        <w:tc>
          <w:tcPr>
            <w:tcW w:w="60" w:type="dxa"/>
            <w:vAlign w:val="bottom"/>
            <w:tcBorders>
              <w:top w:val="single" w:sz="8" w:color="582C83"/>
              <w:bottom w:val="single" w:sz="8" w:color="E0DBEA"/>
            </w:tcBorders>
            <w:shd w:val="clear" w:color="auto" w:fill="E0DBEA"/>
          </w:tcPr>
          <w:p>
            <w:pPr>
              <w:spacing w:after="0"/>
              <w:rPr>
                <w:sz w:val="15"/>
                <w:szCs w:val="15"/>
                <w:color w:val="auto"/>
              </w:rPr>
            </w:pPr>
          </w:p>
        </w:tc>
        <w:tc>
          <w:tcPr>
            <w:tcW w:w="80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582C83"/>
              <w:bottom w:val="single" w:sz="8" w:color="E0DBEA"/>
            </w:tcBorders>
            <w:gridSpan w:val="2"/>
            <w:shd w:val="clear" w:color="auto" w:fill="E0DBEA"/>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582C83"/>
              <w:bottom w:val="single" w:sz="8" w:color="E0DBEA"/>
            </w:tcBorders>
            <w:shd w:val="clear" w:color="auto" w:fill="E0DBEA"/>
          </w:tcPr>
          <w:p>
            <w:pPr>
              <w:jc w:val="right"/>
              <w:ind w:right="178"/>
              <w:spacing w:after="0"/>
              <w:rPr>
                <w:sz w:val="20"/>
                <w:szCs w:val="20"/>
                <w:color w:val="auto"/>
              </w:rPr>
            </w:pPr>
            <w:r>
              <w:rPr>
                <w:rFonts w:ascii="Arial" w:cs="Arial" w:eastAsia="Arial" w:hAnsi="Arial"/>
                <w:sz w:val="13"/>
                <w:szCs w:val="13"/>
                <w:color w:val="auto"/>
              </w:rPr>
              <w:t>32,770</w:t>
            </w:r>
          </w:p>
        </w:tc>
        <w:tc>
          <w:tcPr>
            <w:tcW w:w="860" w:type="dxa"/>
            <w:vAlign w:val="bottom"/>
            <w:tcBorders>
              <w:top w:val="single" w:sz="8" w:color="582C83"/>
              <w:bottom w:val="single" w:sz="8" w:color="E0DBEA"/>
            </w:tcBorders>
            <w:shd w:val="clear" w:color="auto" w:fill="E0DBEA"/>
          </w:tcPr>
          <w:p>
            <w:pPr>
              <w:jc w:val="right"/>
              <w:spacing w:after="0"/>
              <w:rPr>
                <w:sz w:val="20"/>
                <w:szCs w:val="20"/>
                <w:color w:val="auto"/>
              </w:rPr>
            </w:pPr>
            <w:r>
              <w:rPr>
                <w:rFonts w:ascii="Arial" w:cs="Arial" w:eastAsia="Arial" w:hAnsi="Arial"/>
                <w:sz w:val="13"/>
                <w:szCs w:val="13"/>
                <w:color w:val="auto"/>
              </w:rPr>
              <w:t>1,764,009</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760" w:type="dxa"/>
            <w:vAlign w:val="bottom"/>
            <w:tcBorders>
              <w:top w:val="single" w:sz="8" w:color="582C83"/>
              <w:bottom w:val="single" w:sz="8" w:color="582C83"/>
            </w:tcBorders>
          </w:tcPr>
          <w:p>
            <w:pPr>
              <w:spacing w:after="0"/>
              <w:rPr>
                <w:sz w:val="15"/>
                <w:szCs w:val="15"/>
                <w:color w:val="auto"/>
              </w:rPr>
            </w:pPr>
          </w:p>
        </w:tc>
        <w:tc>
          <w:tcPr>
            <w:tcW w:w="900" w:type="dxa"/>
            <w:vAlign w:val="bottom"/>
            <w:tcBorders>
              <w:top w:val="single" w:sz="8" w:color="582C83"/>
              <w:bottom w:val="single" w:sz="8" w:color="582C83"/>
            </w:tcBorders>
            <w:shd w:val="clear" w:color="auto" w:fill="E0DBEA"/>
          </w:tcPr>
          <w:p>
            <w:pPr>
              <w:spacing w:after="0"/>
              <w:rPr>
                <w:sz w:val="15"/>
                <w:szCs w:val="15"/>
                <w:color w:val="auto"/>
              </w:rPr>
            </w:pPr>
          </w:p>
        </w:tc>
        <w:tc>
          <w:tcPr>
            <w:tcW w:w="1400" w:type="dxa"/>
            <w:vAlign w:val="bottom"/>
            <w:tcBorders>
              <w:top w:val="single" w:sz="8" w:color="582C83"/>
              <w:bottom w:val="single" w:sz="8" w:color="582C83"/>
            </w:tcBorders>
            <w:shd w:val="clear" w:color="auto" w:fill="E0DBEA"/>
          </w:tcPr>
          <w:p>
            <w:pPr>
              <w:spacing w:after="0"/>
              <w:rPr>
                <w:sz w:val="15"/>
                <w:szCs w:val="15"/>
                <w:color w:val="auto"/>
              </w:rPr>
            </w:pPr>
          </w:p>
        </w:tc>
        <w:tc>
          <w:tcPr>
            <w:tcW w:w="440" w:type="dxa"/>
            <w:vAlign w:val="bottom"/>
            <w:tcBorders>
              <w:top w:val="single" w:sz="8" w:color="582C83"/>
              <w:bottom w:val="single" w:sz="8" w:color="582C83"/>
            </w:tcBorders>
            <w:shd w:val="clear" w:color="auto" w:fill="E0DBEA"/>
          </w:tcPr>
          <w:p>
            <w:pPr>
              <w:spacing w:after="0"/>
              <w:rPr>
                <w:sz w:val="15"/>
                <w:szCs w:val="15"/>
                <w:color w:val="auto"/>
              </w:rPr>
            </w:pPr>
          </w:p>
        </w:tc>
        <w:tc>
          <w:tcPr>
            <w:tcW w:w="820" w:type="dxa"/>
            <w:vAlign w:val="bottom"/>
            <w:tcBorders>
              <w:top w:val="single" w:sz="8" w:color="582C83"/>
              <w:bottom w:val="single" w:sz="8" w:color="582C83"/>
            </w:tcBorders>
            <w:shd w:val="clear" w:color="auto" w:fill="E0DBEA"/>
          </w:tcPr>
          <w:p>
            <w:pPr>
              <w:spacing w:after="0"/>
              <w:rPr>
                <w:sz w:val="15"/>
                <w:szCs w:val="15"/>
                <w:color w:val="auto"/>
              </w:rPr>
            </w:pPr>
          </w:p>
        </w:tc>
        <w:tc>
          <w:tcPr>
            <w:tcW w:w="60" w:type="dxa"/>
            <w:vAlign w:val="bottom"/>
            <w:tcBorders>
              <w:top w:val="single" w:sz="8" w:color="582C83"/>
              <w:bottom w:val="single" w:sz="8" w:color="582C83"/>
            </w:tcBorders>
            <w:shd w:val="clear" w:color="auto" w:fill="E0DBEA"/>
          </w:tcPr>
          <w:p>
            <w:pPr>
              <w:spacing w:after="0"/>
              <w:rPr>
                <w:sz w:val="15"/>
                <w:szCs w:val="15"/>
                <w:color w:val="auto"/>
              </w:rPr>
            </w:pPr>
          </w:p>
        </w:tc>
        <w:tc>
          <w:tcPr>
            <w:tcW w:w="800" w:type="dxa"/>
            <w:vAlign w:val="bottom"/>
            <w:tcBorders>
              <w:top w:val="single" w:sz="8" w:color="582C83"/>
              <w:bottom w:val="single" w:sz="8" w:color="582C83"/>
            </w:tcBorders>
            <w:shd w:val="clear" w:color="auto" w:fill="E0DBEA"/>
          </w:tcPr>
          <w:p>
            <w:pPr>
              <w:spacing w:after="0"/>
              <w:rPr>
                <w:sz w:val="15"/>
                <w:szCs w:val="15"/>
                <w:color w:val="auto"/>
              </w:rPr>
            </w:pPr>
          </w:p>
        </w:tc>
        <w:tc>
          <w:tcPr>
            <w:tcW w:w="820" w:type="dxa"/>
            <w:vAlign w:val="bottom"/>
            <w:tcBorders>
              <w:top w:val="single" w:sz="8" w:color="582C83"/>
              <w:bottom w:val="single" w:sz="8" w:color="582C83"/>
            </w:tcBorders>
            <w:shd w:val="clear" w:color="auto" w:fill="E0DBEA"/>
          </w:tcPr>
          <w:p>
            <w:pPr>
              <w:spacing w:after="0"/>
              <w:rPr>
                <w:sz w:val="15"/>
                <w:szCs w:val="15"/>
                <w:color w:val="auto"/>
              </w:rPr>
            </w:pPr>
          </w:p>
        </w:tc>
        <w:tc>
          <w:tcPr>
            <w:tcW w:w="180" w:type="dxa"/>
            <w:vAlign w:val="bottom"/>
            <w:tcBorders>
              <w:top w:val="single" w:sz="8" w:color="582C83"/>
              <w:bottom w:val="single" w:sz="8" w:color="582C83"/>
            </w:tcBorders>
            <w:shd w:val="clear" w:color="auto" w:fill="E0DBEA"/>
          </w:tcPr>
          <w:p>
            <w:pPr>
              <w:spacing w:after="0"/>
              <w:rPr>
                <w:sz w:val="15"/>
                <w:szCs w:val="15"/>
                <w:color w:val="auto"/>
              </w:rPr>
            </w:pPr>
          </w:p>
        </w:tc>
        <w:tc>
          <w:tcPr>
            <w:tcW w:w="1040" w:type="dxa"/>
            <w:vAlign w:val="bottom"/>
            <w:tcBorders>
              <w:top w:val="single" w:sz="8" w:color="582C83"/>
              <w:bottom w:val="single" w:sz="8" w:color="582C83"/>
            </w:tcBorders>
            <w:shd w:val="clear" w:color="auto" w:fill="E0DBEA"/>
          </w:tcPr>
          <w:p>
            <w:pPr>
              <w:spacing w:after="0"/>
              <w:rPr>
                <w:sz w:val="15"/>
                <w:szCs w:val="15"/>
                <w:color w:val="auto"/>
              </w:rPr>
            </w:pPr>
          </w:p>
        </w:tc>
        <w:tc>
          <w:tcPr>
            <w:tcW w:w="860" w:type="dxa"/>
            <w:vAlign w:val="bottom"/>
            <w:tcBorders>
              <w:top w:val="single" w:sz="8" w:color="582C83"/>
              <w:bottom w:val="single" w:sz="8" w:color="582C83"/>
            </w:tcBorders>
            <w:shd w:val="clear" w:color="auto" w:fill="E0DBEA"/>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Borders>
              <w:bottom w:val="single" w:sz="8" w:color="592B83"/>
            </w:tcBorders>
          </w:tcPr>
          <w:p>
            <w:pPr>
              <w:spacing w:after="0"/>
              <w:rPr>
                <w:sz w:val="15"/>
                <w:szCs w:val="15"/>
                <w:color w:val="auto"/>
              </w:rPr>
            </w:pPr>
          </w:p>
        </w:tc>
        <w:tc>
          <w:tcPr>
            <w:tcW w:w="760" w:type="dxa"/>
            <w:vAlign w:val="bottom"/>
            <w:tcBorders>
              <w:bottom w:val="single" w:sz="8" w:color="592B83"/>
            </w:tcBorders>
          </w:tcPr>
          <w:p>
            <w:pPr>
              <w:spacing w:after="0"/>
              <w:rPr>
                <w:sz w:val="15"/>
                <w:szCs w:val="15"/>
                <w:color w:val="auto"/>
              </w:rPr>
            </w:pPr>
          </w:p>
        </w:tc>
        <w:tc>
          <w:tcPr>
            <w:tcW w:w="900" w:type="dxa"/>
            <w:vAlign w:val="bottom"/>
            <w:tcBorders>
              <w:bottom w:val="single" w:sz="8" w:color="592B83"/>
            </w:tcBorders>
            <w:shd w:val="clear" w:color="auto" w:fill="E0DBEA"/>
          </w:tcPr>
          <w:p>
            <w:pPr>
              <w:spacing w:after="0"/>
              <w:rPr>
                <w:sz w:val="15"/>
                <w:szCs w:val="15"/>
                <w:color w:val="auto"/>
              </w:rPr>
            </w:pPr>
          </w:p>
        </w:tc>
        <w:tc>
          <w:tcPr>
            <w:tcW w:w="1400" w:type="dxa"/>
            <w:vAlign w:val="bottom"/>
            <w:tcBorders>
              <w:bottom w:val="single" w:sz="8" w:color="592B83"/>
            </w:tcBorders>
            <w:shd w:val="clear" w:color="auto" w:fill="E0DBEA"/>
          </w:tcPr>
          <w:p>
            <w:pPr>
              <w:spacing w:after="0"/>
              <w:rPr>
                <w:sz w:val="15"/>
                <w:szCs w:val="15"/>
                <w:color w:val="auto"/>
              </w:rPr>
            </w:pPr>
          </w:p>
        </w:tc>
        <w:tc>
          <w:tcPr>
            <w:tcW w:w="440" w:type="dxa"/>
            <w:vAlign w:val="bottom"/>
            <w:tcBorders>
              <w:bottom w:val="single" w:sz="8" w:color="592B83"/>
            </w:tcBorders>
            <w:shd w:val="clear" w:color="auto" w:fill="E0DBEA"/>
          </w:tcPr>
          <w:p>
            <w:pPr>
              <w:spacing w:after="0"/>
              <w:rPr>
                <w:sz w:val="15"/>
                <w:szCs w:val="15"/>
                <w:color w:val="auto"/>
              </w:rPr>
            </w:pPr>
          </w:p>
        </w:tc>
        <w:tc>
          <w:tcPr>
            <w:tcW w:w="820" w:type="dxa"/>
            <w:vAlign w:val="bottom"/>
            <w:tcBorders>
              <w:bottom w:val="single" w:sz="8" w:color="592B83"/>
            </w:tcBorders>
            <w:shd w:val="clear" w:color="auto" w:fill="E0DBEA"/>
          </w:tcPr>
          <w:p>
            <w:pPr>
              <w:spacing w:after="0"/>
              <w:rPr>
                <w:sz w:val="15"/>
                <w:szCs w:val="15"/>
                <w:color w:val="auto"/>
              </w:rPr>
            </w:pPr>
          </w:p>
        </w:tc>
        <w:tc>
          <w:tcPr>
            <w:tcW w:w="60" w:type="dxa"/>
            <w:vAlign w:val="bottom"/>
            <w:tcBorders>
              <w:bottom w:val="single" w:sz="8" w:color="592B83"/>
            </w:tcBorders>
            <w:shd w:val="clear" w:color="auto" w:fill="E0DBEA"/>
          </w:tcPr>
          <w:p>
            <w:pPr>
              <w:spacing w:after="0"/>
              <w:rPr>
                <w:sz w:val="15"/>
                <w:szCs w:val="15"/>
                <w:color w:val="auto"/>
              </w:rPr>
            </w:pPr>
          </w:p>
        </w:tc>
        <w:tc>
          <w:tcPr>
            <w:tcW w:w="800" w:type="dxa"/>
            <w:vAlign w:val="bottom"/>
            <w:tcBorders>
              <w:bottom w:val="single" w:sz="8" w:color="592B83"/>
            </w:tcBorders>
            <w:shd w:val="clear" w:color="auto" w:fill="E0DBEA"/>
          </w:tcPr>
          <w:p>
            <w:pPr>
              <w:spacing w:after="0"/>
              <w:rPr>
                <w:sz w:val="15"/>
                <w:szCs w:val="15"/>
                <w:color w:val="auto"/>
              </w:rPr>
            </w:pPr>
          </w:p>
        </w:tc>
        <w:tc>
          <w:tcPr>
            <w:tcW w:w="820" w:type="dxa"/>
            <w:vAlign w:val="bottom"/>
            <w:tcBorders>
              <w:bottom w:val="single" w:sz="8" w:color="592B83"/>
            </w:tcBorders>
            <w:shd w:val="clear" w:color="auto" w:fill="E0DBEA"/>
          </w:tcPr>
          <w:p>
            <w:pPr>
              <w:spacing w:after="0"/>
              <w:rPr>
                <w:sz w:val="15"/>
                <w:szCs w:val="15"/>
                <w:color w:val="auto"/>
              </w:rPr>
            </w:pPr>
          </w:p>
        </w:tc>
        <w:tc>
          <w:tcPr>
            <w:tcW w:w="180" w:type="dxa"/>
            <w:vAlign w:val="bottom"/>
            <w:tcBorders>
              <w:bottom w:val="single" w:sz="8" w:color="592B83"/>
            </w:tcBorders>
            <w:shd w:val="clear" w:color="auto" w:fill="E0DBEA"/>
          </w:tcPr>
          <w:p>
            <w:pPr>
              <w:spacing w:after="0"/>
              <w:rPr>
                <w:sz w:val="15"/>
                <w:szCs w:val="15"/>
                <w:color w:val="auto"/>
              </w:rPr>
            </w:pPr>
          </w:p>
        </w:tc>
        <w:tc>
          <w:tcPr>
            <w:tcW w:w="1040" w:type="dxa"/>
            <w:vAlign w:val="bottom"/>
            <w:tcBorders>
              <w:bottom w:val="single" w:sz="8" w:color="592B83"/>
            </w:tcBorders>
            <w:shd w:val="clear" w:color="auto" w:fill="E0DBEA"/>
          </w:tcPr>
          <w:p>
            <w:pPr>
              <w:spacing w:after="0"/>
              <w:rPr>
                <w:sz w:val="15"/>
                <w:szCs w:val="15"/>
                <w:color w:val="auto"/>
              </w:rPr>
            </w:pPr>
          </w:p>
        </w:tc>
        <w:tc>
          <w:tcPr>
            <w:tcW w:w="860" w:type="dxa"/>
            <w:vAlign w:val="bottom"/>
            <w:tcBorders>
              <w:bottom w:val="single" w:sz="8" w:color="592B83"/>
            </w:tcBorders>
            <w:shd w:val="clear" w:color="auto" w:fill="E0DBEA"/>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760" w:type="dxa"/>
            <w:vAlign w:val="bottom"/>
            <w:tcBorders>
              <w:bottom w:val="single" w:sz="8" w:color="582C83"/>
            </w:tcBorders>
          </w:tcPr>
          <w:p>
            <w:pPr>
              <w:spacing w:after="0"/>
              <w:rPr>
                <w:sz w:val="15"/>
                <w:szCs w:val="15"/>
                <w:color w:val="auto"/>
              </w:rPr>
            </w:pPr>
          </w:p>
        </w:tc>
        <w:tc>
          <w:tcPr>
            <w:tcW w:w="900" w:type="dxa"/>
            <w:vAlign w:val="bottom"/>
            <w:tcBorders>
              <w:bottom w:val="single" w:sz="8" w:color="582C83"/>
            </w:tcBorders>
          </w:tcPr>
          <w:p>
            <w:pPr>
              <w:spacing w:after="0"/>
              <w:rPr>
                <w:sz w:val="15"/>
                <w:szCs w:val="15"/>
                <w:color w:val="auto"/>
              </w:rPr>
            </w:pPr>
          </w:p>
        </w:tc>
        <w:tc>
          <w:tcPr>
            <w:tcW w:w="1400" w:type="dxa"/>
            <w:vAlign w:val="bottom"/>
            <w:tcBorders>
              <w:bottom w:val="single" w:sz="8" w:color="582C83"/>
            </w:tcBorders>
          </w:tcPr>
          <w:p>
            <w:pPr>
              <w:spacing w:after="0"/>
              <w:rPr>
                <w:sz w:val="15"/>
                <w:szCs w:val="15"/>
                <w:color w:val="auto"/>
              </w:rPr>
            </w:pPr>
          </w:p>
        </w:tc>
        <w:tc>
          <w:tcPr>
            <w:tcW w:w="440" w:type="dxa"/>
            <w:vAlign w:val="bottom"/>
            <w:tcBorders>
              <w:bottom w:val="single" w:sz="8" w:color="582C83"/>
            </w:tcBorders>
          </w:tcPr>
          <w:p>
            <w:pPr>
              <w:spacing w:after="0"/>
              <w:rPr>
                <w:sz w:val="15"/>
                <w:szCs w:val="15"/>
                <w:color w:val="auto"/>
              </w:rPr>
            </w:pPr>
          </w:p>
        </w:tc>
        <w:tc>
          <w:tcPr>
            <w:tcW w:w="820" w:type="dxa"/>
            <w:vAlign w:val="bottom"/>
            <w:tcBorders>
              <w:bottom w:val="single" w:sz="8" w:color="582C83"/>
            </w:tcBorders>
          </w:tcPr>
          <w:p>
            <w:pPr>
              <w:spacing w:after="0"/>
              <w:rPr>
                <w:sz w:val="15"/>
                <w:szCs w:val="15"/>
                <w:color w:val="auto"/>
              </w:rPr>
            </w:pPr>
          </w:p>
        </w:tc>
        <w:tc>
          <w:tcPr>
            <w:tcW w:w="60" w:type="dxa"/>
            <w:vAlign w:val="bottom"/>
            <w:tcBorders>
              <w:bottom w:val="single" w:sz="8" w:color="582C83"/>
            </w:tcBorders>
          </w:tcPr>
          <w:p>
            <w:pPr>
              <w:spacing w:after="0"/>
              <w:rPr>
                <w:sz w:val="15"/>
                <w:szCs w:val="15"/>
                <w:color w:val="auto"/>
              </w:rPr>
            </w:pPr>
          </w:p>
        </w:tc>
        <w:tc>
          <w:tcPr>
            <w:tcW w:w="800" w:type="dxa"/>
            <w:vAlign w:val="bottom"/>
            <w:tcBorders>
              <w:bottom w:val="single" w:sz="8" w:color="582C83"/>
            </w:tcBorders>
          </w:tcPr>
          <w:p>
            <w:pPr>
              <w:spacing w:after="0"/>
              <w:rPr>
                <w:sz w:val="15"/>
                <w:szCs w:val="15"/>
                <w:color w:val="auto"/>
              </w:rPr>
            </w:pPr>
          </w:p>
        </w:tc>
        <w:tc>
          <w:tcPr>
            <w:tcW w:w="820" w:type="dxa"/>
            <w:vAlign w:val="bottom"/>
            <w:tcBorders>
              <w:bottom w:val="single" w:sz="8" w:color="582C83"/>
            </w:tcBorders>
          </w:tcPr>
          <w:p>
            <w:pPr>
              <w:spacing w:after="0"/>
              <w:rPr>
                <w:sz w:val="15"/>
                <w:szCs w:val="15"/>
                <w:color w:val="auto"/>
              </w:rPr>
            </w:pPr>
          </w:p>
        </w:tc>
        <w:tc>
          <w:tcPr>
            <w:tcW w:w="180" w:type="dxa"/>
            <w:vAlign w:val="bottom"/>
            <w:tcBorders>
              <w:bottom w:val="single" w:sz="8" w:color="582C83"/>
            </w:tcBorders>
          </w:tcPr>
          <w:p>
            <w:pPr>
              <w:spacing w:after="0"/>
              <w:rPr>
                <w:sz w:val="15"/>
                <w:szCs w:val="15"/>
                <w:color w:val="auto"/>
              </w:rPr>
            </w:pPr>
          </w:p>
        </w:tc>
        <w:tc>
          <w:tcPr>
            <w:tcW w:w="1040" w:type="dxa"/>
            <w:vAlign w:val="bottom"/>
            <w:tcBorders>
              <w:bottom w:val="single" w:sz="8" w:color="582C83"/>
            </w:tcBorders>
          </w:tcPr>
          <w:p>
            <w:pPr>
              <w:spacing w:after="0"/>
              <w:rPr>
                <w:sz w:val="15"/>
                <w:szCs w:val="15"/>
                <w:color w:val="auto"/>
              </w:rPr>
            </w:pPr>
          </w:p>
        </w:tc>
        <w:tc>
          <w:tcPr>
            <w:tcW w:w="860" w:type="dxa"/>
            <w:vAlign w:val="bottom"/>
            <w:tcBorders>
              <w:bottom w:val="single" w:sz="8" w:color="582C8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760" w:type="dxa"/>
            <w:vAlign w:val="bottom"/>
            <w:tcBorders>
              <w:bottom w:val="single" w:sz="8" w:color="582C83"/>
            </w:tcBorders>
          </w:tcPr>
          <w:p>
            <w:pPr>
              <w:spacing w:after="0"/>
              <w:rPr>
                <w:sz w:val="15"/>
                <w:szCs w:val="15"/>
                <w:color w:val="auto"/>
              </w:rPr>
            </w:pPr>
          </w:p>
        </w:tc>
        <w:tc>
          <w:tcPr>
            <w:tcW w:w="900" w:type="dxa"/>
            <w:vAlign w:val="bottom"/>
            <w:tcBorders>
              <w:bottom w:val="single" w:sz="8" w:color="582C83"/>
            </w:tcBorders>
          </w:tcPr>
          <w:p>
            <w:pPr>
              <w:spacing w:after="0"/>
              <w:rPr>
                <w:sz w:val="15"/>
                <w:szCs w:val="15"/>
                <w:color w:val="auto"/>
              </w:rPr>
            </w:pPr>
          </w:p>
        </w:tc>
        <w:tc>
          <w:tcPr>
            <w:tcW w:w="1400" w:type="dxa"/>
            <w:vAlign w:val="bottom"/>
            <w:tcBorders>
              <w:bottom w:val="single" w:sz="8" w:color="582C83"/>
            </w:tcBorders>
          </w:tcPr>
          <w:p>
            <w:pPr>
              <w:spacing w:after="0"/>
              <w:rPr>
                <w:sz w:val="15"/>
                <w:szCs w:val="15"/>
                <w:color w:val="auto"/>
              </w:rPr>
            </w:pPr>
          </w:p>
        </w:tc>
        <w:tc>
          <w:tcPr>
            <w:tcW w:w="440" w:type="dxa"/>
            <w:vAlign w:val="bottom"/>
            <w:tcBorders>
              <w:bottom w:val="single" w:sz="8" w:color="582C83"/>
            </w:tcBorders>
          </w:tcPr>
          <w:p>
            <w:pPr>
              <w:spacing w:after="0"/>
              <w:rPr>
                <w:sz w:val="15"/>
                <w:szCs w:val="15"/>
                <w:color w:val="auto"/>
              </w:rPr>
            </w:pPr>
          </w:p>
        </w:tc>
        <w:tc>
          <w:tcPr>
            <w:tcW w:w="820" w:type="dxa"/>
            <w:vAlign w:val="bottom"/>
            <w:tcBorders>
              <w:bottom w:val="single" w:sz="8" w:color="582C83"/>
            </w:tcBorders>
          </w:tcPr>
          <w:p>
            <w:pPr>
              <w:spacing w:after="0"/>
              <w:rPr>
                <w:sz w:val="15"/>
                <w:szCs w:val="15"/>
                <w:color w:val="auto"/>
              </w:rPr>
            </w:pPr>
          </w:p>
        </w:tc>
        <w:tc>
          <w:tcPr>
            <w:tcW w:w="60" w:type="dxa"/>
            <w:vAlign w:val="bottom"/>
            <w:tcBorders>
              <w:bottom w:val="single" w:sz="8" w:color="582C83"/>
            </w:tcBorders>
          </w:tcPr>
          <w:p>
            <w:pPr>
              <w:spacing w:after="0"/>
              <w:rPr>
                <w:sz w:val="15"/>
                <w:szCs w:val="15"/>
                <w:color w:val="auto"/>
              </w:rPr>
            </w:pPr>
          </w:p>
        </w:tc>
        <w:tc>
          <w:tcPr>
            <w:tcW w:w="800" w:type="dxa"/>
            <w:vAlign w:val="bottom"/>
            <w:tcBorders>
              <w:bottom w:val="single" w:sz="8" w:color="582C83"/>
            </w:tcBorders>
          </w:tcPr>
          <w:p>
            <w:pPr>
              <w:spacing w:after="0"/>
              <w:rPr>
                <w:sz w:val="15"/>
                <w:szCs w:val="15"/>
                <w:color w:val="auto"/>
              </w:rPr>
            </w:pPr>
          </w:p>
        </w:tc>
        <w:tc>
          <w:tcPr>
            <w:tcW w:w="820" w:type="dxa"/>
            <w:vAlign w:val="bottom"/>
            <w:tcBorders>
              <w:bottom w:val="single" w:sz="8" w:color="582C83"/>
            </w:tcBorders>
          </w:tcPr>
          <w:p>
            <w:pPr>
              <w:spacing w:after="0"/>
              <w:rPr>
                <w:sz w:val="15"/>
                <w:szCs w:val="15"/>
                <w:color w:val="auto"/>
              </w:rPr>
            </w:pPr>
          </w:p>
        </w:tc>
        <w:tc>
          <w:tcPr>
            <w:tcW w:w="180" w:type="dxa"/>
            <w:vAlign w:val="bottom"/>
            <w:tcBorders>
              <w:bottom w:val="single" w:sz="8" w:color="582C83"/>
            </w:tcBorders>
          </w:tcPr>
          <w:p>
            <w:pPr>
              <w:spacing w:after="0"/>
              <w:rPr>
                <w:sz w:val="15"/>
                <w:szCs w:val="15"/>
                <w:color w:val="auto"/>
              </w:rPr>
            </w:pPr>
          </w:p>
        </w:tc>
        <w:tc>
          <w:tcPr>
            <w:tcW w:w="1040" w:type="dxa"/>
            <w:vAlign w:val="bottom"/>
            <w:tcBorders>
              <w:bottom w:val="single" w:sz="8" w:color="582C83"/>
            </w:tcBorders>
          </w:tcPr>
          <w:p>
            <w:pPr>
              <w:spacing w:after="0"/>
              <w:rPr>
                <w:sz w:val="15"/>
                <w:szCs w:val="15"/>
                <w:color w:val="auto"/>
              </w:rPr>
            </w:pPr>
          </w:p>
        </w:tc>
        <w:tc>
          <w:tcPr>
            <w:tcW w:w="860" w:type="dxa"/>
            <w:vAlign w:val="bottom"/>
            <w:tcBorders>
              <w:bottom w:val="single" w:sz="8" w:color="582C8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760" w:type="dxa"/>
            <w:vAlign w:val="bottom"/>
            <w:tcBorders>
              <w:bottom w:val="single" w:sz="8" w:color="582C83"/>
            </w:tcBorders>
          </w:tcPr>
          <w:p>
            <w:pPr>
              <w:spacing w:after="0"/>
              <w:rPr>
                <w:sz w:val="15"/>
                <w:szCs w:val="15"/>
                <w:color w:val="auto"/>
              </w:rPr>
            </w:pPr>
          </w:p>
        </w:tc>
        <w:tc>
          <w:tcPr>
            <w:tcW w:w="900" w:type="dxa"/>
            <w:vAlign w:val="bottom"/>
            <w:tcBorders>
              <w:bottom w:val="single" w:sz="8" w:color="582C83"/>
            </w:tcBorders>
          </w:tcPr>
          <w:p>
            <w:pPr>
              <w:spacing w:after="0"/>
              <w:rPr>
                <w:sz w:val="15"/>
                <w:szCs w:val="15"/>
                <w:color w:val="auto"/>
              </w:rPr>
            </w:pPr>
          </w:p>
        </w:tc>
        <w:tc>
          <w:tcPr>
            <w:tcW w:w="1400" w:type="dxa"/>
            <w:vAlign w:val="bottom"/>
            <w:tcBorders>
              <w:bottom w:val="single" w:sz="8" w:color="582C83"/>
            </w:tcBorders>
          </w:tcPr>
          <w:p>
            <w:pPr>
              <w:spacing w:after="0"/>
              <w:rPr>
                <w:sz w:val="15"/>
                <w:szCs w:val="15"/>
                <w:color w:val="auto"/>
              </w:rPr>
            </w:pPr>
          </w:p>
        </w:tc>
        <w:tc>
          <w:tcPr>
            <w:tcW w:w="440" w:type="dxa"/>
            <w:vAlign w:val="bottom"/>
            <w:tcBorders>
              <w:bottom w:val="single" w:sz="8" w:color="582C83"/>
            </w:tcBorders>
          </w:tcPr>
          <w:p>
            <w:pPr>
              <w:spacing w:after="0"/>
              <w:rPr>
                <w:sz w:val="15"/>
                <w:szCs w:val="15"/>
                <w:color w:val="auto"/>
              </w:rPr>
            </w:pPr>
          </w:p>
        </w:tc>
        <w:tc>
          <w:tcPr>
            <w:tcW w:w="820" w:type="dxa"/>
            <w:vAlign w:val="bottom"/>
            <w:tcBorders>
              <w:bottom w:val="single" w:sz="8" w:color="582C83"/>
            </w:tcBorders>
          </w:tcPr>
          <w:p>
            <w:pPr>
              <w:spacing w:after="0"/>
              <w:rPr>
                <w:sz w:val="15"/>
                <w:szCs w:val="15"/>
                <w:color w:val="auto"/>
              </w:rPr>
            </w:pPr>
          </w:p>
        </w:tc>
        <w:tc>
          <w:tcPr>
            <w:tcW w:w="60" w:type="dxa"/>
            <w:vAlign w:val="bottom"/>
            <w:tcBorders>
              <w:bottom w:val="single" w:sz="8" w:color="582C83"/>
            </w:tcBorders>
          </w:tcPr>
          <w:p>
            <w:pPr>
              <w:spacing w:after="0"/>
              <w:rPr>
                <w:sz w:val="15"/>
                <w:szCs w:val="15"/>
                <w:color w:val="auto"/>
              </w:rPr>
            </w:pPr>
          </w:p>
        </w:tc>
        <w:tc>
          <w:tcPr>
            <w:tcW w:w="800" w:type="dxa"/>
            <w:vAlign w:val="bottom"/>
            <w:tcBorders>
              <w:bottom w:val="single" w:sz="8" w:color="582C83"/>
            </w:tcBorders>
          </w:tcPr>
          <w:p>
            <w:pPr>
              <w:spacing w:after="0"/>
              <w:rPr>
                <w:sz w:val="15"/>
                <w:szCs w:val="15"/>
                <w:color w:val="auto"/>
              </w:rPr>
            </w:pPr>
          </w:p>
        </w:tc>
        <w:tc>
          <w:tcPr>
            <w:tcW w:w="820" w:type="dxa"/>
            <w:vAlign w:val="bottom"/>
            <w:tcBorders>
              <w:bottom w:val="single" w:sz="8" w:color="582C83"/>
            </w:tcBorders>
          </w:tcPr>
          <w:p>
            <w:pPr>
              <w:spacing w:after="0"/>
              <w:rPr>
                <w:sz w:val="15"/>
                <w:szCs w:val="15"/>
                <w:color w:val="auto"/>
              </w:rPr>
            </w:pPr>
          </w:p>
        </w:tc>
        <w:tc>
          <w:tcPr>
            <w:tcW w:w="180" w:type="dxa"/>
            <w:vAlign w:val="bottom"/>
            <w:tcBorders>
              <w:bottom w:val="single" w:sz="8" w:color="582C83"/>
            </w:tcBorders>
          </w:tcPr>
          <w:p>
            <w:pPr>
              <w:spacing w:after="0"/>
              <w:rPr>
                <w:sz w:val="15"/>
                <w:szCs w:val="15"/>
                <w:color w:val="auto"/>
              </w:rPr>
            </w:pPr>
          </w:p>
        </w:tc>
        <w:tc>
          <w:tcPr>
            <w:tcW w:w="1040" w:type="dxa"/>
            <w:vAlign w:val="bottom"/>
            <w:tcBorders>
              <w:bottom w:val="single" w:sz="8" w:color="582C83"/>
            </w:tcBorders>
          </w:tcPr>
          <w:p>
            <w:pPr>
              <w:spacing w:after="0"/>
              <w:rPr>
                <w:sz w:val="15"/>
                <w:szCs w:val="15"/>
                <w:color w:val="auto"/>
              </w:rPr>
            </w:pPr>
          </w:p>
        </w:tc>
        <w:tc>
          <w:tcPr>
            <w:tcW w:w="860" w:type="dxa"/>
            <w:vAlign w:val="bottom"/>
            <w:tcBorders>
              <w:bottom w:val="single" w:sz="8" w:color="582C8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760" w:type="dxa"/>
            <w:vAlign w:val="bottom"/>
            <w:tcBorders>
              <w:bottom w:val="single" w:sz="8" w:color="582C83"/>
            </w:tcBorders>
          </w:tcPr>
          <w:p>
            <w:pPr>
              <w:spacing w:after="0"/>
              <w:rPr>
                <w:sz w:val="15"/>
                <w:szCs w:val="15"/>
                <w:color w:val="auto"/>
              </w:rPr>
            </w:pPr>
          </w:p>
        </w:tc>
        <w:tc>
          <w:tcPr>
            <w:tcW w:w="900" w:type="dxa"/>
            <w:vAlign w:val="bottom"/>
            <w:tcBorders>
              <w:bottom w:val="single" w:sz="8" w:color="582C83"/>
            </w:tcBorders>
          </w:tcPr>
          <w:p>
            <w:pPr>
              <w:spacing w:after="0"/>
              <w:rPr>
                <w:sz w:val="15"/>
                <w:szCs w:val="15"/>
                <w:color w:val="auto"/>
              </w:rPr>
            </w:pPr>
          </w:p>
        </w:tc>
        <w:tc>
          <w:tcPr>
            <w:tcW w:w="1400" w:type="dxa"/>
            <w:vAlign w:val="bottom"/>
            <w:tcBorders>
              <w:bottom w:val="single" w:sz="8" w:color="582C83"/>
            </w:tcBorders>
          </w:tcPr>
          <w:p>
            <w:pPr>
              <w:spacing w:after="0"/>
              <w:rPr>
                <w:sz w:val="15"/>
                <w:szCs w:val="15"/>
                <w:color w:val="auto"/>
              </w:rPr>
            </w:pPr>
          </w:p>
        </w:tc>
        <w:tc>
          <w:tcPr>
            <w:tcW w:w="440" w:type="dxa"/>
            <w:vAlign w:val="bottom"/>
            <w:tcBorders>
              <w:bottom w:val="single" w:sz="8" w:color="582C83"/>
            </w:tcBorders>
          </w:tcPr>
          <w:p>
            <w:pPr>
              <w:spacing w:after="0"/>
              <w:rPr>
                <w:sz w:val="15"/>
                <w:szCs w:val="15"/>
                <w:color w:val="auto"/>
              </w:rPr>
            </w:pPr>
          </w:p>
        </w:tc>
        <w:tc>
          <w:tcPr>
            <w:tcW w:w="820" w:type="dxa"/>
            <w:vAlign w:val="bottom"/>
            <w:tcBorders>
              <w:bottom w:val="single" w:sz="8" w:color="582C83"/>
            </w:tcBorders>
          </w:tcPr>
          <w:p>
            <w:pPr>
              <w:spacing w:after="0"/>
              <w:rPr>
                <w:sz w:val="15"/>
                <w:szCs w:val="15"/>
                <w:color w:val="auto"/>
              </w:rPr>
            </w:pPr>
          </w:p>
        </w:tc>
        <w:tc>
          <w:tcPr>
            <w:tcW w:w="60" w:type="dxa"/>
            <w:vAlign w:val="bottom"/>
            <w:tcBorders>
              <w:bottom w:val="single" w:sz="8" w:color="582C83"/>
            </w:tcBorders>
          </w:tcPr>
          <w:p>
            <w:pPr>
              <w:spacing w:after="0"/>
              <w:rPr>
                <w:sz w:val="15"/>
                <w:szCs w:val="15"/>
                <w:color w:val="auto"/>
              </w:rPr>
            </w:pPr>
          </w:p>
        </w:tc>
        <w:tc>
          <w:tcPr>
            <w:tcW w:w="800" w:type="dxa"/>
            <w:vAlign w:val="bottom"/>
            <w:tcBorders>
              <w:bottom w:val="single" w:sz="8" w:color="582C83"/>
            </w:tcBorders>
          </w:tcPr>
          <w:p>
            <w:pPr>
              <w:spacing w:after="0"/>
              <w:rPr>
                <w:sz w:val="15"/>
                <w:szCs w:val="15"/>
                <w:color w:val="auto"/>
              </w:rPr>
            </w:pPr>
          </w:p>
        </w:tc>
        <w:tc>
          <w:tcPr>
            <w:tcW w:w="820" w:type="dxa"/>
            <w:vAlign w:val="bottom"/>
            <w:tcBorders>
              <w:bottom w:val="single" w:sz="8" w:color="582C83"/>
            </w:tcBorders>
          </w:tcPr>
          <w:p>
            <w:pPr>
              <w:spacing w:after="0"/>
              <w:rPr>
                <w:sz w:val="15"/>
                <w:szCs w:val="15"/>
                <w:color w:val="auto"/>
              </w:rPr>
            </w:pPr>
          </w:p>
        </w:tc>
        <w:tc>
          <w:tcPr>
            <w:tcW w:w="180" w:type="dxa"/>
            <w:vAlign w:val="bottom"/>
            <w:tcBorders>
              <w:bottom w:val="single" w:sz="8" w:color="582C83"/>
            </w:tcBorders>
          </w:tcPr>
          <w:p>
            <w:pPr>
              <w:spacing w:after="0"/>
              <w:rPr>
                <w:sz w:val="15"/>
                <w:szCs w:val="15"/>
                <w:color w:val="auto"/>
              </w:rPr>
            </w:pPr>
          </w:p>
        </w:tc>
        <w:tc>
          <w:tcPr>
            <w:tcW w:w="1040" w:type="dxa"/>
            <w:vAlign w:val="bottom"/>
            <w:tcBorders>
              <w:bottom w:val="single" w:sz="8" w:color="582C83"/>
            </w:tcBorders>
          </w:tcPr>
          <w:p>
            <w:pPr>
              <w:spacing w:after="0"/>
              <w:rPr>
                <w:sz w:val="15"/>
                <w:szCs w:val="15"/>
                <w:color w:val="auto"/>
              </w:rPr>
            </w:pPr>
          </w:p>
        </w:tc>
        <w:tc>
          <w:tcPr>
            <w:tcW w:w="860" w:type="dxa"/>
            <w:vAlign w:val="bottom"/>
            <w:tcBorders>
              <w:bottom w:val="single" w:sz="8" w:color="582C8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760" w:type="dxa"/>
            <w:vAlign w:val="bottom"/>
            <w:tcBorders>
              <w:bottom w:val="single" w:sz="8" w:color="582C83"/>
            </w:tcBorders>
          </w:tcPr>
          <w:p>
            <w:pPr>
              <w:spacing w:after="0"/>
              <w:rPr>
                <w:sz w:val="15"/>
                <w:szCs w:val="15"/>
                <w:color w:val="auto"/>
              </w:rPr>
            </w:pPr>
          </w:p>
        </w:tc>
        <w:tc>
          <w:tcPr>
            <w:tcW w:w="900" w:type="dxa"/>
            <w:vAlign w:val="bottom"/>
            <w:tcBorders>
              <w:bottom w:val="single" w:sz="8" w:color="582C83"/>
            </w:tcBorders>
          </w:tcPr>
          <w:p>
            <w:pPr>
              <w:spacing w:after="0"/>
              <w:rPr>
                <w:sz w:val="15"/>
                <w:szCs w:val="15"/>
                <w:color w:val="auto"/>
              </w:rPr>
            </w:pPr>
          </w:p>
        </w:tc>
        <w:tc>
          <w:tcPr>
            <w:tcW w:w="1400" w:type="dxa"/>
            <w:vAlign w:val="bottom"/>
            <w:tcBorders>
              <w:bottom w:val="single" w:sz="8" w:color="582C83"/>
            </w:tcBorders>
          </w:tcPr>
          <w:p>
            <w:pPr>
              <w:spacing w:after="0"/>
              <w:rPr>
                <w:sz w:val="15"/>
                <w:szCs w:val="15"/>
                <w:color w:val="auto"/>
              </w:rPr>
            </w:pPr>
          </w:p>
        </w:tc>
        <w:tc>
          <w:tcPr>
            <w:tcW w:w="440" w:type="dxa"/>
            <w:vAlign w:val="bottom"/>
            <w:tcBorders>
              <w:bottom w:val="single" w:sz="8" w:color="582C83"/>
            </w:tcBorders>
          </w:tcPr>
          <w:p>
            <w:pPr>
              <w:spacing w:after="0"/>
              <w:rPr>
                <w:sz w:val="15"/>
                <w:szCs w:val="15"/>
                <w:color w:val="auto"/>
              </w:rPr>
            </w:pPr>
          </w:p>
        </w:tc>
        <w:tc>
          <w:tcPr>
            <w:tcW w:w="820" w:type="dxa"/>
            <w:vAlign w:val="bottom"/>
            <w:tcBorders>
              <w:bottom w:val="single" w:sz="8" w:color="582C83"/>
            </w:tcBorders>
          </w:tcPr>
          <w:p>
            <w:pPr>
              <w:spacing w:after="0"/>
              <w:rPr>
                <w:sz w:val="15"/>
                <w:szCs w:val="15"/>
                <w:color w:val="auto"/>
              </w:rPr>
            </w:pPr>
          </w:p>
        </w:tc>
        <w:tc>
          <w:tcPr>
            <w:tcW w:w="60" w:type="dxa"/>
            <w:vAlign w:val="bottom"/>
            <w:tcBorders>
              <w:bottom w:val="single" w:sz="8" w:color="582C83"/>
            </w:tcBorders>
          </w:tcPr>
          <w:p>
            <w:pPr>
              <w:spacing w:after="0"/>
              <w:rPr>
                <w:sz w:val="15"/>
                <w:szCs w:val="15"/>
                <w:color w:val="auto"/>
              </w:rPr>
            </w:pPr>
          </w:p>
        </w:tc>
        <w:tc>
          <w:tcPr>
            <w:tcW w:w="800" w:type="dxa"/>
            <w:vAlign w:val="bottom"/>
            <w:tcBorders>
              <w:bottom w:val="single" w:sz="8" w:color="582C83"/>
            </w:tcBorders>
          </w:tcPr>
          <w:p>
            <w:pPr>
              <w:spacing w:after="0"/>
              <w:rPr>
                <w:sz w:val="15"/>
                <w:szCs w:val="15"/>
                <w:color w:val="auto"/>
              </w:rPr>
            </w:pPr>
          </w:p>
        </w:tc>
        <w:tc>
          <w:tcPr>
            <w:tcW w:w="820" w:type="dxa"/>
            <w:vAlign w:val="bottom"/>
            <w:tcBorders>
              <w:bottom w:val="single" w:sz="8" w:color="582C83"/>
            </w:tcBorders>
          </w:tcPr>
          <w:p>
            <w:pPr>
              <w:spacing w:after="0"/>
              <w:rPr>
                <w:sz w:val="15"/>
                <w:szCs w:val="15"/>
                <w:color w:val="auto"/>
              </w:rPr>
            </w:pPr>
          </w:p>
        </w:tc>
        <w:tc>
          <w:tcPr>
            <w:tcW w:w="180" w:type="dxa"/>
            <w:vAlign w:val="bottom"/>
            <w:tcBorders>
              <w:bottom w:val="single" w:sz="8" w:color="582C83"/>
            </w:tcBorders>
          </w:tcPr>
          <w:p>
            <w:pPr>
              <w:spacing w:after="0"/>
              <w:rPr>
                <w:sz w:val="15"/>
                <w:szCs w:val="15"/>
                <w:color w:val="auto"/>
              </w:rPr>
            </w:pPr>
          </w:p>
        </w:tc>
        <w:tc>
          <w:tcPr>
            <w:tcW w:w="1040" w:type="dxa"/>
            <w:vAlign w:val="bottom"/>
            <w:tcBorders>
              <w:bottom w:val="single" w:sz="8" w:color="582C83"/>
            </w:tcBorders>
          </w:tcPr>
          <w:p>
            <w:pPr>
              <w:spacing w:after="0"/>
              <w:rPr>
                <w:sz w:val="15"/>
                <w:szCs w:val="15"/>
                <w:color w:val="auto"/>
              </w:rPr>
            </w:pPr>
          </w:p>
        </w:tc>
        <w:tc>
          <w:tcPr>
            <w:tcW w:w="860" w:type="dxa"/>
            <w:vAlign w:val="bottom"/>
            <w:tcBorders>
              <w:bottom w:val="single" w:sz="8" w:color="582C8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760" w:type="dxa"/>
            <w:vAlign w:val="bottom"/>
            <w:tcBorders>
              <w:bottom w:val="single" w:sz="8" w:color="582C83"/>
            </w:tcBorders>
          </w:tcPr>
          <w:p>
            <w:pPr>
              <w:spacing w:after="0"/>
              <w:rPr>
                <w:sz w:val="15"/>
                <w:szCs w:val="15"/>
                <w:color w:val="auto"/>
              </w:rPr>
            </w:pPr>
          </w:p>
        </w:tc>
        <w:tc>
          <w:tcPr>
            <w:tcW w:w="900" w:type="dxa"/>
            <w:vAlign w:val="bottom"/>
            <w:tcBorders>
              <w:bottom w:val="single" w:sz="8" w:color="582C83"/>
            </w:tcBorders>
          </w:tcPr>
          <w:p>
            <w:pPr>
              <w:spacing w:after="0"/>
              <w:rPr>
                <w:sz w:val="15"/>
                <w:szCs w:val="15"/>
                <w:color w:val="auto"/>
              </w:rPr>
            </w:pPr>
          </w:p>
        </w:tc>
        <w:tc>
          <w:tcPr>
            <w:tcW w:w="1400" w:type="dxa"/>
            <w:vAlign w:val="bottom"/>
            <w:tcBorders>
              <w:bottom w:val="single" w:sz="8" w:color="582C83"/>
            </w:tcBorders>
          </w:tcPr>
          <w:p>
            <w:pPr>
              <w:spacing w:after="0"/>
              <w:rPr>
                <w:sz w:val="15"/>
                <w:szCs w:val="15"/>
                <w:color w:val="auto"/>
              </w:rPr>
            </w:pPr>
          </w:p>
        </w:tc>
        <w:tc>
          <w:tcPr>
            <w:tcW w:w="440" w:type="dxa"/>
            <w:vAlign w:val="bottom"/>
            <w:tcBorders>
              <w:bottom w:val="single" w:sz="8" w:color="582C83"/>
            </w:tcBorders>
          </w:tcPr>
          <w:p>
            <w:pPr>
              <w:spacing w:after="0"/>
              <w:rPr>
                <w:sz w:val="15"/>
                <w:szCs w:val="15"/>
                <w:color w:val="auto"/>
              </w:rPr>
            </w:pPr>
          </w:p>
        </w:tc>
        <w:tc>
          <w:tcPr>
            <w:tcW w:w="820" w:type="dxa"/>
            <w:vAlign w:val="bottom"/>
            <w:tcBorders>
              <w:bottom w:val="single" w:sz="8" w:color="582C83"/>
            </w:tcBorders>
          </w:tcPr>
          <w:p>
            <w:pPr>
              <w:spacing w:after="0"/>
              <w:rPr>
                <w:sz w:val="15"/>
                <w:szCs w:val="15"/>
                <w:color w:val="auto"/>
              </w:rPr>
            </w:pPr>
          </w:p>
        </w:tc>
        <w:tc>
          <w:tcPr>
            <w:tcW w:w="60" w:type="dxa"/>
            <w:vAlign w:val="bottom"/>
            <w:tcBorders>
              <w:bottom w:val="single" w:sz="8" w:color="582C83"/>
            </w:tcBorders>
          </w:tcPr>
          <w:p>
            <w:pPr>
              <w:spacing w:after="0"/>
              <w:rPr>
                <w:sz w:val="15"/>
                <w:szCs w:val="15"/>
                <w:color w:val="auto"/>
              </w:rPr>
            </w:pPr>
          </w:p>
        </w:tc>
        <w:tc>
          <w:tcPr>
            <w:tcW w:w="800" w:type="dxa"/>
            <w:vAlign w:val="bottom"/>
            <w:tcBorders>
              <w:bottom w:val="single" w:sz="8" w:color="582C83"/>
            </w:tcBorders>
          </w:tcPr>
          <w:p>
            <w:pPr>
              <w:spacing w:after="0"/>
              <w:rPr>
                <w:sz w:val="15"/>
                <w:szCs w:val="15"/>
                <w:color w:val="auto"/>
              </w:rPr>
            </w:pPr>
          </w:p>
        </w:tc>
        <w:tc>
          <w:tcPr>
            <w:tcW w:w="820" w:type="dxa"/>
            <w:vAlign w:val="bottom"/>
            <w:tcBorders>
              <w:bottom w:val="single" w:sz="8" w:color="582C83"/>
            </w:tcBorders>
          </w:tcPr>
          <w:p>
            <w:pPr>
              <w:spacing w:after="0"/>
              <w:rPr>
                <w:sz w:val="15"/>
                <w:szCs w:val="15"/>
                <w:color w:val="auto"/>
              </w:rPr>
            </w:pPr>
          </w:p>
        </w:tc>
        <w:tc>
          <w:tcPr>
            <w:tcW w:w="180" w:type="dxa"/>
            <w:vAlign w:val="bottom"/>
            <w:tcBorders>
              <w:bottom w:val="single" w:sz="8" w:color="582C83"/>
            </w:tcBorders>
          </w:tcPr>
          <w:p>
            <w:pPr>
              <w:spacing w:after="0"/>
              <w:rPr>
                <w:sz w:val="15"/>
                <w:szCs w:val="15"/>
                <w:color w:val="auto"/>
              </w:rPr>
            </w:pPr>
          </w:p>
        </w:tc>
        <w:tc>
          <w:tcPr>
            <w:tcW w:w="1040" w:type="dxa"/>
            <w:vAlign w:val="bottom"/>
            <w:tcBorders>
              <w:bottom w:val="single" w:sz="8" w:color="582C83"/>
            </w:tcBorders>
          </w:tcPr>
          <w:p>
            <w:pPr>
              <w:spacing w:after="0"/>
              <w:rPr>
                <w:sz w:val="15"/>
                <w:szCs w:val="15"/>
                <w:color w:val="auto"/>
              </w:rPr>
            </w:pPr>
          </w:p>
        </w:tc>
        <w:tc>
          <w:tcPr>
            <w:tcW w:w="860" w:type="dxa"/>
            <w:vAlign w:val="bottom"/>
            <w:tcBorders>
              <w:bottom w:val="single" w:sz="8" w:color="582C83"/>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760" w:type="dxa"/>
            <w:vAlign w:val="bottom"/>
            <w:tcBorders>
              <w:bottom w:val="single" w:sz="8" w:color="592B82"/>
            </w:tcBorders>
          </w:tcPr>
          <w:p>
            <w:pPr>
              <w:spacing w:after="0"/>
              <w:rPr>
                <w:sz w:val="11"/>
                <w:szCs w:val="11"/>
                <w:color w:val="auto"/>
              </w:rPr>
            </w:pPr>
          </w:p>
        </w:tc>
        <w:tc>
          <w:tcPr>
            <w:tcW w:w="900" w:type="dxa"/>
            <w:vAlign w:val="bottom"/>
            <w:tcBorders>
              <w:bottom w:val="single" w:sz="8" w:color="592B82"/>
            </w:tcBorders>
          </w:tcPr>
          <w:p>
            <w:pPr>
              <w:spacing w:after="0"/>
              <w:rPr>
                <w:sz w:val="11"/>
                <w:szCs w:val="11"/>
                <w:color w:val="auto"/>
              </w:rPr>
            </w:pPr>
          </w:p>
        </w:tc>
        <w:tc>
          <w:tcPr>
            <w:tcW w:w="1400" w:type="dxa"/>
            <w:vAlign w:val="bottom"/>
            <w:tcBorders>
              <w:bottom w:val="single" w:sz="8" w:color="592B82"/>
            </w:tcBorders>
          </w:tcPr>
          <w:p>
            <w:pPr>
              <w:spacing w:after="0"/>
              <w:rPr>
                <w:sz w:val="11"/>
                <w:szCs w:val="11"/>
                <w:color w:val="auto"/>
              </w:rPr>
            </w:pPr>
          </w:p>
        </w:tc>
        <w:tc>
          <w:tcPr>
            <w:tcW w:w="440" w:type="dxa"/>
            <w:vAlign w:val="bottom"/>
            <w:tcBorders>
              <w:bottom w:val="single" w:sz="8" w:color="592B82"/>
            </w:tcBorders>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Borders>
              <w:bottom w:val="single" w:sz="8" w:color="592B82"/>
            </w:tcBorders>
          </w:tcPr>
          <w:p>
            <w:pPr>
              <w:spacing w:after="0"/>
              <w:rPr>
                <w:sz w:val="11"/>
                <w:szCs w:val="11"/>
                <w:color w:val="auto"/>
              </w:rPr>
            </w:pPr>
          </w:p>
        </w:tc>
        <w:tc>
          <w:tcPr>
            <w:tcW w:w="800" w:type="dxa"/>
            <w:vAlign w:val="bottom"/>
            <w:tcBorders>
              <w:bottom w:val="single" w:sz="8" w:color="592B82"/>
            </w:tcBorders>
          </w:tcPr>
          <w:p>
            <w:pPr>
              <w:spacing w:after="0"/>
              <w:rPr>
                <w:sz w:val="11"/>
                <w:szCs w:val="11"/>
                <w:color w:val="auto"/>
              </w:rPr>
            </w:pPr>
          </w:p>
        </w:tc>
        <w:tc>
          <w:tcPr>
            <w:tcW w:w="820" w:type="dxa"/>
            <w:vAlign w:val="bottom"/>
            <w:tcBorders>
              <w:bottom w:val="single" w:sz="8" w:color="592B82"/>
            </w:tcBorders>
          </w:tcPr>
          <w:p>
            <w:pPr>
              <w:spacing w:after="0"/>
              <w:rPr>
                <w:sz w:val="11"/>
                <w:szCs w:val="11"/>
                <w:color w:val="auto"/>
              </w:rPr>
            </w:pPr>
          </w:p>
        </w:tc>
        <w:tc>
          <w:tcPr>
            <w:tcW w:w="180" w:type="dxa"/>
            <w:vAlign w:val="bottom"/>
            <w:tcBorders>
              <w:bottom w:val="single" w:sz="8" w:color="592B82"/>
            </w:tcBorders>
          </w:tcPr>
          <w:p>
            <w:pPr>
              <w:spacing w:after="0"/>
              <w:rPr>
                <w:sz w:val="11"/>
                <w:szCs w:val="11"/>
                <w:color w:val="auto"/>
              </w:rPr>
            </w:pPr>
          </w:p>
        </w:tc>
        <w:tc>
          <w:tcPr>
            <w:tcW w:w="1040" w:type="dxa"/>
            <w:vAlign w:val="bottom"/>
            <w:tcBorders>
              <w:bottom w:val="single" w:sz="8" w:color="592B82"/>
            </w:tcBorders>
          </w:tcPr>
          <w:p>
            <w:pPr>
              <w:spacing w:after="0"/>
              <w:rPr>
                <w:sz w:val="11"/>
                <w:szCs w:val="11"/>
                <w:color w:val="auto"/>
              </w:rPr>
            </w:pPr>
          </w:p>
        </w:tc>
        <w:tc>
          <w:tcPr>
            <w:tcW w:w="860" w:type="dxa"/>
            <w:vAlign w:val="bottom"/>
            <w:tcBorders>
              <w:bottom w:val="single" w:sz="8" w:color="592B82"/>
            </w:tcBorders>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760" w:type="dxa"/>
            <w:vAlign w:val="bottom"/>
            <w:tcBorders>
              <w:bottom w:val="single" w:sz="8" w:color="582C83"/>
            </w:tcBorders>
          </w:tcPr>
          <w:p>
            <w:pPr>
              <w:spacing w:after="0"/>
              <w:rPr>
                <w:sz w:val="2"/>
                <w:szCs w:val="2"/>
                <w:color w:val="auto"/>
              </w:rPr>
            </w:pPr>
          </w:p>
        </w:tc>
        <w:tc>
          <w:tcPr>
            <w:tcW w:w="900" w:type="dxa"/>
            <w:vAlign w:val="bottom"/>
            <w:tcBorders>
              <w:bottom w:val="single" w:sz="8" w:color="582C83"/>
            </w:tcBorders>
          </w:tcPr>
          <w:p>
            <w:pPr>
              <w:spacing w:after="0"/>
              <w:rPr>
                <w:sz w:val="2"/>
                <w:szCs w:val="2"/>
                <w:color w:val="auto"/>
              </w:rPr>
            </w:pPr>
          </w:p>
        </w:tc>
        <w:tc>
          <w:tcPr>
            <w:tcW w:w="1400" w:type="dxa"/>
            <w:vAlign w:val="bottom"/>
            <w:tcBorders>
              <w:bottom w:val="single" w:sz="8" w:color="582C83"/>
            </w:tcBorders>
          </w:tcPr>
          <w:p>
            <w:pPr>
              <w:spacing w:after="0"/>
              <w:rPr>
                <w:sz w:val="2"/>
                <w:szCs w:val="2"/>
                <w:color w:val="auto"/>
              </w:rPr>
            </w:pPr>
          </w:p>
        </w:tc>
        <w:tc>
          <w:tcPr>
            <w:tcW w:w="440" w:type="dxa"/>
            <w:vAlign w:val="bottom"/>
            <w:tcBorders>
              <w:bottom w:val="single" w:sz="8" w:color="582C83"/>
            </w:tcBorders>
          </w:tcPr>
          <w:p>
            <w:pPr>
              <w:spacing w:after="0"/>
              <w:rPr>
                <w:sz w:val="2"/>
                <w:szCs w:val="2"/>
                <w:color w:val="auto"/>
              </w:rPr>
            </w:pPr>
          </w:p>
        </w:tc>
        <w:tc>
          <w:tcPr>
            <w:tcW w:w="820" w:type="dxa"/>
            <w:vAlign w:val="bottom"/>
            <w:tcBorders>
              <w:bottom w:val="single" w:sz="8" w:color="582C83"/>
            </w:tcBorders>
          </w:tcPr>
          <w:p>
            <w:pPr>
              <w:spacing w:after="0"/>
              <w:rPr>
                <w:sz w:val="2"/>
                <w:szCs w:val="2"/>
                <w:color w:val="auto"/>
              </w:rPr>
            </w:pPr>
          </w:p>
        </w:tc>
        <w:tc>
          <w:tcPr>
            <w:tcW w:w="60" w:type="dxa"/>
            <w:vAlign w:val="bottom"/>
            <w:tcBorders>
              <w:bottom w:val="single" w:sz="8" w:color="582C83"/>
            </w:tcBorders>
          </w:tcPr>
          <w:p>
            <w:pPr>
              <w:spacing w:after="0"/>
              <w:rPr>
                <w:sz w:val="2"/>
                <w:szCs w:val="2"/>
                <w:color w:val="auto"/>
              </w:rPr>
            </w:pPr>
          </w:p>
        </w:tc>
        <w:tc>
          <w:tcPr>
            <w:tcW w:w="800" w:type="dxa"/>
            <w:vAlign w:val="bottom"/>
            <w:tcBorders>
              <w:bottom w:val="single" w:sz="8" w:color="582C83"/>
            </w:tcBorders>
          </w:tcPr>
          <w:p>
            <w:pPr>
              <w:spacing w:after="0"/>
              <w:rPr>
                <w:sz w:val="2"/>
                <w:szCs w:val="2"/>
                <w:color w:val="auto"/>
              </w:rPr>
            </w:pPr>
          </w:p>
        </w:tc>
        <w:tc>
          <w:tcPr>
            <w:tcW w:w="820" w:type="dxa"/>
            <w:vAlign w:val="bottom"/>
            <w:tcBorders>
              <w:bottom w:val="single" w:sz="8" w:color="582C83"/>
            </w:tcBorders>
          </w:tcPr>
          <w:p>
            <w:pPr>
              <w:spacing w:after="0"/>
              <w:rPr>
                <w:sz w:val="2"/>
                <w:szCs w:val="2"/>
                <w:color w:val="auto"/>
              </w:rPr>
            </w:pPr>
          </w:p>
        </w:tc>
        <w:tc>
          <w:tcPr>
            <w:tcW w:w="180" w:type="dxa"/>
            <w:vAlign w:val="bottom"/>
            <w:tcBorders>
              <w:bottom w:val="single" w:sz="8" w:color="582C83"/>
            </w:tcBorders>
          </w:tcPr>
          <w:p>
            <w:pPr>
              <w:spacing w:after="0"/>
              <w:rPr>
                <w:sz w:val="2"/>
                <w:szCs w:val="2"/>
                <w:color w:val="auto"/>
              </w:rPr>
            </w:pPr>
          </w:p>
        </w:tc>
        <w:tc>
          <w:tcPr>
            <w:tcW w:w="1040" w:type="dxa"/>
            <w:vAlign w:val="bottom"/>
            <w:tcBorders>
              <w:bottom w:val="single" w:sz="8" w:color="582C83"/>
            </w:tcBorders>
          </w:tcPr>
          <w:p>
            <w:pPr>
              <w:spacing w:after="0"/>
              <w:rPr>
                <w:sz w:val="2"/>
                <w:szCs w:val="2"/>
                <w:color w:val="auto"/>
              </w:rPr>
            </w:pPr>
          </w:p>
        </w:tc>
        <w:tc>
          <w:tcPr>
            <w:tcW w:w="860" w:type="dxa"/>
            <w:vAlign w:val="bottom"/>
            <w:tcBorders>
              <w:bottom w:val="single" w:sz="8" w:color="582C8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-3385185</wp:posOffset>
            </wp:positionV>
            <wp:extent cx="6810375" cy="38423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10375" cy="3842385"/>
                    </a:xfrm>
                    <a:prstGeom prst="rect">
                      <a:avLst/>
                    </a:prstGeom>
                    <a:noFill/>
                  </pic:spPr>
                </pic:pic>
              </a:graphicData>
            </a:graphic>
          </wp:anchor>
        </w:drawing>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88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65913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10375" cy="6591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EXECUTIVE COMPENSATION TABLES</w:t>
      </w:r>
    </w:p>
    <w:p>
      <w:pPr>
        <w:spacing w:after="0" w:line="45" w:lineRule="exact"/>
        <w:rPr>
          <w:sz w:val="20"/>
          <w:szCs w:val="20"/>
          <w:color w:val="auto"/>
        </w:rPr>
      </w:pPr>
    </w:p>
    <w:p>
      <w:pPr>
        <w:ind w:left="5720"/>
        <w:spacing w:after="0" w:line="161" w:lineRule="exact"/>
        <w:rPr>
          <w:sz w:val="20"/>
          <w:szCs w:val="20"/>
          <w:color w:val="auto"/>
        </w:rPr>
      </w:pPr>
      <w:r>
        <w:rPr>
          <w:rFonts w:ascii="Arial" w:cs="Arial" w:eastAsia="Arial" w:hAnsi="Arial"/>
          <w:sz w:val="14"/>
          <w:szCs w:val="14"/>
          <w:color w:val="auto"/>
        </w:rPr>
        <w:t>2025 Outstanding Equity Awards at Fiscal Year</w:t>
      </w:r>
      <w:r>
        <w:rPr>
          <w:rFonts w:ascii="MS PGothic" w:cs="MS PGothic" w:eastAsia="MS PGothic" w:hAnsi="MS PGothic"/>
          <w:sz w:val="14"/>
          <w:szCs w:val="14"/>
          <w:color w:val="auto"/>
        </w:rPr>
        <w:t>‑</w:t>
      </w:r>
      <w:r>
        <w:rPr>
          <w:rFonts w:ascii="Arial" w:cs="Arial" w:eastAsia="Arial" w:hAnsi="Arial"/>
          <w:sz w:val="14"/>
          <w:szCs w:val="14"/>
          <w:color w:val="auto"/>
        </w:rPr>
        <w:t>End</w:t>
      </w:r>
    </w:p>
    <w:p>
      <w:pPr>
        <w:spacing w:after="0" w:line="200" w:lineRule="exact"/>
        <w:rPr>
          <w:sz w:val="20"/>
          <w:szCs w:val="20"/>
          <w:color w:val="auto"/>
        </w:rPr>
      </w:pPr>
    </w:p>
    <w:p>
      <w:pPr>
        <w:spacing w:after="0" w:line="281"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The vesting schedule for all outstanding unvested stock and stock options is as follows:</w:t>
      </w:r>
    </w:p>
    <w:p>
      <w:pPr>
        <w:spacing w:after="0" w:line="80"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860" w:type="dxa"/>
            <w:vAlign w:val="bottom"/>
            <w:tcBorders>
              <w:bottom w:val="single" w:sz="8" w:color="582C83"/>
            </w:tcBorders>
          </w:tcPr>
          <w:p>
            <w:pPr>
              <w:ind w:left="40"/>
              <w:spacing w:after="0"/>
              <w:rPr>
                <w:sz w:val="20"/>
                <w:szCs w:val="20"/>
                <w:color w:val="auto"/>
              </w:rPr>
            </w:pPr>
            <w:r>
              <w:rPr>
                <w:rFonts w:ascii="Arial" w:cs="Arial" w:eastAsia="Arial" w:hAnsi="Arial"/>
                <w:sz w:val="13"/>
                <w:szCs w:val="13"/>
                <w:b w:val="1"/>
                <w:bCs w:val="1"/>
                <w:color w:val="auto"/>
              </w:rPr>
              <w:t>Grant Date</w:t>
            </w:r>
          </w:p>
        </w:tc>
        <w:tc>
          <w:tcPr>
            <w:tcW w:w="1080" w:type="dxa"/>
            <w:vAlign w:val="bottom"/>
            <w:tcBorders>
              <w:bottom w:val="single" w:sz="8" w:color="582C83"/>
            </w:tcBorders>
          </w:tcPr>
          <w:p>
            <w:pPr>
              <w:ind w:left="180"/>
              <w:spacing w:after="0"/>
              <w:rPr>
                <w:sz w:val="20"/>
                <w:szCs w:val="20"/>
                <w:color w:val="auto"/>
              </w:rPr>
            </w:pPr>
            <w:r>
              <w:rPr>
                <w:rFonts w:ascii="Arial" w:cs="Arial" w:eastAsia="Arial" w:hAnsi="Arial"/>
                <w:sz w:val="13"/>
                <w:szCs w:val="13"/>
                <w:b w:val="1"/>
                <w:bCs w:val="1"/>
                <w:color w:val="auto"/>
              </w:rPr>
              <w:t>Grant Type</w:t>
            </w:r>
          </w:p>
        </w:tc>
        <w:tc>
          <w:tcPr>
            <w:tcW w:w="6820" w:type="dxa"/>
            <w:vAlign w:val="bottom"/>
            <w:tcBorders>
              <w:bottom w:val="single" w:sz="8" w:color="582C83"/>
            </w:tcBorders>
          </w:tcPr>
          <w:p>
            <w:pPr>
              <w:ind w:left="120"/>
              <w:spacing w:after="0"/>
              <w:rPr>
                <w:sz w:val="20"/>
                <w:szCs w:val="20"/>
                <w:color w:val="auto"/>
              </w:rPr>
            </w:pPr>
            <w:r>
              <w:rPr>
                <w:rFonts w:ascii="Arial" w:cs="Arial" w:eastAsia="Arial" w:hAnsi="Arial"/>
                <w:sz w:val="13"/>
                <w:szCs w:val="13"/>
                <w:b w:val="1"/>
                <w:bCs w:val="1"/>
                <w:color w:val="auto"/>
              </w:rPr>
              <w:t>Vesting Schedule</w:t>
            </w:r>
          </w:p>
        </w:tc>
        <w:tc>
          <w:tcPr>
            <w:tcW w:w="0" w:type="dxa"/>
            <w:vAlign w:val="bottom"/>
          </w:tcPr>
          <w:p>
            <w:pPr>
              <w:spacing w:after="0"/>
              <w:rPr>
                <w:sz w:val="1"/>
                <w:szCs w:val="1"/>
                <w:color w:val="auto"/>
              </w:rPr>
            </w:pPr>
          </w:p>
        </w:tc>
      </w:tr>
      <w:tr>
        <w:trPr>
          <w:trHeight w:val="165"/>
        </w:trPr>
        <w:tc>
          <w:tcPr>
            <w:tcW w:w="860" w:type="dxa"/>
            <w:vAlign w:val="bottom"/>
            <w:vMerge w:val="restart"/>
            <w:shd w:val="clear" w:color="auto" w:fill="E0DBEA"/>
          </w:tcPr>
          <w:p>
            <w:pPr>
              <w:ind w:left="40"/>
              <w:spacing w:after="0"/>
              <w:rPr>
                <w:sz w:val="20"/>
                <w:szCs w:val="20"/>
                <w:color w:val="auto"/>
              </w:rPr>
            </w:pPr>
            <w:r>
              <w:rPr>
                <w:rFonts w:ascii="Arial" w:cs="Arial" w:eastAsia="Arial" w:hAnsi="Arial"/>
                <w:sz w:val="13"/>
                <w:szCs w:val="13"/>
                <w:color w:val="auto"/>
              </w:rPr>
              <w:t>03/02/2023</w:t>
            </w:r>
          </w:p>
        </w:tc>
        <w:tc>
          <w:tcPr>
            <w:tcW w:w="1080" w:type="dxa"/>
            <w:vAlign w:val="bottom"/>
            <w:vMerge w:val="restart"/>
            <w:shd w:val="clear" w:color="auto" w:fill="E0DBEA"/>
          </w:tcPr>
          <w:p>
            <w:pPr>
              <w:ind w:left="180"/>
              <w:spacing w:after="0"/>
              <w:rPr>
                <w:sz w:val="20"/>
                <w:szCs w:val="20"/>
                <w:color w:val="auto"/>
              </w:rPr>
            </w:pPr>
            <w:r>
              <w:rPr>
                <w:rFonts w:ascii="Arial" w:cs="Arial" w:eastAsia="Arial" w:hAnsi="Arial"/>
                <w:sz w:val="13"/>
                <w:szCs w:val="13"/>
                <w:color w:val="auto"/>
              </w:rPr>
              <w:t>Stock Options</w:t>
            </w:r>
          </w:p>
        </w:tc>
        <w:tc>
          <w:tcPr>
            <w:tcW w:w="6820" w:type="dxa"/>
            <w:vAlign w:val="bottom"/>
            <w:shd w:val="clear" w:color="auto" w:fill="E0DBEA"/>
          </w:tcPr>
          <w:p>
            <w:pPr>
              <w:ind w:left="120"/>
              <w:spacing w:after="0"/>
              <w:rPr>
                <w:sz w:val="20"/>
                <w:szCs w:val="20"/>
                <w:color w:val="auto"/>
              </w:rPr>
            </w:pPr>
            <w:r>
              <w:rPr>
                <w:rFonts w:ascii="Arial" w:cs="Arial" w:eastAsia="Arial" w:hAnsi="Arial"/>
                <w:sz w:val="13"/>
                <w:szCs w:val="13"/>
                <w:color w:val="auto"/>
                <w:w w:val="97"/>
              </w:rPr>
              <w:t>First tranche (33%) vested on 03/02/2024, second tranche (33%) vested on 03/02/2025, and last tranche (34%) vested</w:t>
            </w:r>
          </w:p>
        </w:tc>
        <w:tc>
          <w:tcPr>
            <w:tcW w:w="0" w:type="dxa"/>
            <w:vAlign w:val="bottom"/>
          </w:tcPr>
          <w:p>
            <w:pPr>
              <w:spacing w:after="0"/>
              <w:rPr>
                <w:sz w:val="1"/>
                <w:szCs w:val="1"/>
                <w:color w:val="auto"/>
              </w:rPr>
            </w:pPr>
          </w:p>
        </w:tc>
      </w:tr>
      <w:tr>
        <w:trPr>
          <w:trHeight w:val="85"/>
        </w:trPr>
        <w:tc>
          <w:tcPr>
            <w:tcW w:w="860" w:type="dxa"/>
            <w:vAlign w:val="bottom"/>
            <w:vMerge w:val="continue"/>
            <w:shd w:val="clear" w:color="auto" w:fill="E0DBEA"/>
          </w:tcPr>
          <w:p>
            <w:pPr>
              <w:spacing w:after="0"/>
              <w:rPr>
                <w:sz w:val="7"/>
                <w:szCs w:val="7"/>
                <w:color w:val="auto"/>
              </w:rPr>
            </w:pPr>
          </w:p>
        </w:tc>
        <w:tc>
          <w:tcPr>
            <w:tcW w:w="1080" w:type="dxa"/>
            <w:vAlign w:val="bottom"/>
            <w:vMerge w:val="continue"/>
            <w:shd w:val="clear" w:color="auto" w:fill="E0DBEA"/>
          </w:tcPr>
          <w:p>
            <w:pPr>
              <w:spacing w:after="0"/>
              <w:rPr>
                <w:sz w:val="7"/>
                <w:szCs w:val="7"/>
                <w:color w:val="auto"/>
              </w:rPr>
            </w:pPr>
          </w:p>
        </w:tc>
        <w:tc>
          <w:tcPr>
            <w:tcW w:w="6820" w:type="dxa"/>
            <w:vAlign w:val="bottom"/>
            <w:vMerge w:val="restart"/>
            <w:shd w:val="clear" w:color="auto" w:fill="E0DBEA"/>
          </w:tcPr>
          <w:p>
            <w:pPr>
              <w:ind w:left="120"/>
              <w:spacing w:after="0"/>
              <w:rPr>
                <w:sz w:val="20"/>
                <w:szCs w:val="20"/>
                <w:color w:val="auto"/>
              </w:rPr>
            </w:pPr>
            <w:r>
              <w:rPr>
                <w:rFonts w:ascii="Arial" w:cs="Arial" w:eastAsia="Arial" w:hAnsi="Arial"/>
                <w:sz w:val="13"/>
                <w:szCs w:val="13"/>
                <w:color w:val="auto"/>
              </w:rPr>
              <w:t>on 03/02/2026.</w:t>
            </w:r>
          </w:p>
        </w:tc>
        <w:tc>
          <w:tcPr>
            <w:tcW w:w="0" w:type="dxa"/>
            <w:vAlign w:val="bottom"/>
          </w:tcPr>
          <w:p>
            <w:pPr>
              <w:spacing w:after="0"/>
              <w:rPr>
                <w:sz w:val="1"/>
                <w:szCs w:val="1"/>
                <w:color w:val="auto"/>
              </w:rPr>
            </w:pPr>
          </w:p>
        </w:tc>
      </w:tr>
      <w:tr>
        <w:trPr>
          <w:trHeight w:val="88"/>
        </w:trPr>
        <w:tc>
          <w:tcPr>
            <w:tcW w:w="860" w:type="dxa"/>
            <w:vAlign w:val="bottom"/>
            <w:tcBorders>
              <w:bottom w:val="single" w:sz="8" w:color="582C83"/>
            </w:tcBorders>
            <w:shd w:val="clear" w:color="auto" w:fill="E0DBEA"/>
          </w:tcPr>
          <w:p>
            <w:pPr>
              <w:spacing w:after="0"/>
              <w:rPr>
                <w:sz w:val="7"/>
                <w:szCs w:val="7"/>
                <w:color w:val="auto"/>
              </w:rPr>
            </w:pPr>
          </w:p>
        </w:tc>
        <w:tc>
          <w:tcPr>
            <w:tcW w:w="1080" w:type="dxa"/>
            <w:vAlign w:val="bottom"/>
            <w:tcBorders>
              <w:bottom w:val="single" w:sz="8" w:color="582C83"/>
            </w:tcBorders>
            <w:shd w:val="clear" w:color="auto" w:fill="E0DBEA"/>
          </w:tcPr>
          <w:p>
            <w:pPr>
              <w:spacing w:after="0"/>
              <w:rPr>
                <w:sz w:val="7"/>
                <w:szCs w:val="7"/>
                <w:color w:val="auto"/>
              </w:rPr>
            </w:pPr>
          </w:p>
        </w:tc>
        <w:tc>
          <w:tcPr>
            <w:tcW w:w="6820" w:type="dxa"/>
            <w:vAlign w:val="bottom"/>
            <w:tcBorders>
              <w:bottom w:val="single" w:sz="8" w:color="582C83"/>
            </w:tcBorders>
            <w:vMerge w:val="continue"/>
            <w:shd w:val="clear" w:color="auto" w:fill="E0DBEA"/>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860" w:type="dxa"/>
            <w:vAlign w:val="bottom"/>
            <w:vMerge w:val="restart"/>
          </w:tcPr>
          <w:p>
            <w:pPr>
              <w:ind w:left="40"/>
              <w:spacing w:after="0"/>
              <w:rPr>
                <w:sz w:val="20"/>
                <w:szCs w:val="20"/>
                <w:color w:val="auto"/>
              </w:rPr>
            </w:pPr>
            <w:r>
              <w:rPr>
                <w:rFonts w:ascii="Arial" w:cs="Arial" w:eastAsia="Arial" w:hAnsi="Arial"/>
                <w:sz w:val="13"/>
                <w:szCs w:val="13"/>
                <w:color w:val="auto"/>
              </w:rPr>
              <w:t>02/27/2024</w:t>
            </w:r>
          </w:p>
        </w:tc>
        <w:tc>
          <w:tcPr>
            <w:tcW w:w="1080" w:type="dxa"/>
            <w:vAlign w:val="bottom"/>
            <w:vMerge w:val="restart"/>
          </w:tcPr>
          <w:p>
            <w:pPr>
              <w:ind w:left="180"/>
              <w:spacing w:after="0"/>
              <w:rPr>
                <w:sz w:val="20"/>
                <w:szCs w:val="20"/>
                <w:color w:val="auto"/>
              </w:rPr>
            </w:pPr>
            <w:r>
              <w:rPr>
                <w:rFonts w:ascii="Arial" w:cs="Arial" w:eastAsia="Arial" w:hAnsi="Arial"/>
                <w:sz w:val="13"/>
                <w:szCs w:val="13"/>
                <w:color w:val="auto"/>
              </w:rPr>
              <w:t>PSUs</w:t>
            </w:r>
          </w:p>
        </w:tc>
        <w:tc>
          <w:tcPr>
            <w:tcW w:w="6820" w:type="dxa"/>
            <w:vAlign w:val="bottom"/>
          </w:tcPr>
          <w:p>
            <w:pPr>
              <w:ind w:left="120"/>
              <w:spacing w:after="0"/>
              <w:rPr>
                <w:sz w:val="20"/>
                <w:szCs w:val="20"/>
                <w:color w:val="auto"/>
              </w:rPr>
            </w:pPr>
            <w:r>
              <w:rPr>
                <w:rFonts w:ascii="Arial" w:cs="Arial" w:eastAsia="Arial" w:hAnsi="Arial"/>
                <w:sz w:val="13"/>
                <w:szCs w:val="13"/>
                <w:color w:val="auto"/>
                <w:w w:val="98"/>
              </w:rPr>
              <w:t>100% of the grant vests upon approval of the PCC subject to the satisfaction of the performance criteria. Distribution of</w:t>
            </w:r>
          </w:p>
        </w:tc>
        <w:tc>
          <w:tcPr>
            <w:tcW w:w="0" w:type="dxa"/>
            <w:vAlign w:val="bottom"/>
          </w:tcPr>
          <w:p>
            <w:pPr>
              <w:spacing w:after="0"/>
              <w:rPr>
                <w:sz w:val="1"/>
                <w:szCs w:val="1"/>
                <w:color w:val="auto"/>
              </w:rPr>
            </w:pPr>
          </w:p>
        </w:tc>
      </w:tr>
      <w:tr>
        <w:trPr>
          <w:trHeight w:val="85"/>
        </w:trPr>
        <w:tc>
          <w:tcPr>
            <w:tcW w:w="8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6820" w:type="dxa"/>
            <w:vAlign w:val="bottom"/>
            <w:vMerge w:val="restart"/>
          </w:tcPr>
          <w:p>
            <w:pPr>
              <w:ind w:left="120"/>
              <w:spacing w:after="0"/>
              <w:rPr>
                <w:sz w:val="20"/>
                <w:szCs w:val="20"/>
                <w:color w:val="auto"/>
              </w:rPr>
            </w:pPr>
            <w:r>
              <w:rPr>
                <w:rFonts w:ascii="Arial" w:cs="Arial" w:eastAsia="Arial" w:hAnsi="Arial"/>
                <w:sz w:val="13"/>
                <w:szCs w:val="13"/>
                <w:color w:val="auto"/>
              </w:rPr>
              <w:t>any shares awarded will be no later than 03/15/2027.</w:t>
            </w:r>
          </w:p>
        </w:tc>
        <w:tc>
          <w:tcPr>
            <w:tcW w:w="0" w:type="dxa"/>
            <w:vAlign w:val="bottom"/>
          </w:tcPr>
          <w:p>
            <w:pPr>
              <w:spacing w:after="0"/>
              <w:rPr>
                <w:sz w:val="1"/>
                <w:szCs w:val="1"/>
                <w:color w:val="auto"/>
              </w:rPr>
            </w:pPr>
          </w:p>
        </w:tc>
      </w:tr>
      <w:tr>
        <w:trPr>
          <w:trHeight w:val="89"/>
        </w:trPr>
        <w:tc>
          <w:tcPr>
            <w:tcW w:w="860" w:type="dxa"/>
            <w:vAlign w:val="bottom"/>
            <w:tcBorders>
              <w:bottom w:val="single" w:sz="8" w:color="582C83"/>
            </w:tcBorders>
          </w:tcPr>
          <w:p>
            <w:pPr>
              <w:spacing w:after="0"/>
              <w:rPr>
                <w:sz w:val="7"/>
                <w:szCs w:val="7"/>
                <w:color w:val="auto"/>
              </w:rPr>
            </w:pPr>
          </w:p>
        </w:tc>
        <w:tc>
          <w:tcPr>
            <w:tcW w:w="1080" w:type="dxa"/>
            <w:vAlign w:val="bottom"/>
            <w:tcBorders>
              <w:bottom w:val="single" w:sz="8" w:color="582C83"/>
            </w:tcBorders>
          </w:tcPr>
          <w:p>
            <w:pPr>
              <w:spacing w:after="0"/>
              <w:rPr>
                <w:sz w:val="7"/>
                <w:szCs w:val="7"/>
                <w:color w:val="auto"/>
              </w:rPr>
            </w:pPr>
          </w:p>
        </w:tc>
        <w:tc>
          <w:tcPr>
            <w:tcW w:w="6820" w:type="dxa"/>
            <w:vAlign w:val="bottom"/>
            <w:tcBorders>
              <w:bottom w:val="single" w:sz="8" w:color="582C83"/>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860" w:type="dxa"/>
            <w:vAlign w:val="bottom"/>
            <w:vMerge w:val="restart"/>
            <w:shd w:val="clear" w:color="auto" w:fill="E0DBEA"/>
          </w:tcPr>
          <w:p>
            <w:pPr>
              <w:ind w:left="40"/>
              <w:spacing w:after="0"/>
              <w:rPr>
                <w:sz w:val="20"/>
                <w:szCs w:val="20"/>
                <w:color w:val="auto"/>
              </w:rPr>
            </w:pPr>
            <w:r>
              <w:rPr>
                <w:rFonts w:ascii="Arial" w:cs="Arial" w:eastAsia="Arial" w:hAnsi="Arial"/>
                <w:sz w:val="13"/>
                <w:szCs w:val="13"/>
                <w:color w:val="auto"/>
              </w:rPr>
              <w:t>02/27/2024</w:t>
            </w:r>
          </w:p>
        </w:tc>
        <w:tc>
          <w:tcPr>
            <w:tcW w:w="1080" w:type="dxa"/>
            <w:vAlign w:val="bottom"/>
            <w:vMerge w:val="restart"/>
            <w:shd w:val="clear" w:color="auto" w:fill="E0DBEA"/>
          </w:tcPr>
          <w:p>
            <w:pPr>
              <w:ind w:left="180"/>
              <w:spacing w:after="0"/>
              <w:rPr>
                <w:sz w:val="20"/>
                <w:szCs w:val="20"/>
                <w:color w:val="auto"/>
              </w:rPr>
            </w:pPr>
            <w:r>
              <w:rPr>
                <w:rFonts w:ascii="Arial" w:cs="Arial" w:eastAsia="Arial" w:hAnsi="Arial"/>
                <w:sz w:val="13"/>
                <w:szCs w:val="13"/>
                <w:color w:val="auto"/>
              </w:rPr>
              <w:t>Stock Options</w:t>
            </w:r>
          </w:p>
        </w:tc>
        <w:tc>
          <w:tcPr>
            <w:tcW w:w="6820" w:type="dxa"/>
            <w:vAlign w:val="bottom"/>
            <w:shd w:val="clear" w:color="auto" w:fill="E0DBEA"/>
          </w:tcPr>
          <w:p>
            <w:pPr>
              <w:ind w:left="120"/>
              <w:spacing w:after="0"/>
              <w:rPr>
                <w:sz w:val="20"/>
                <w:szCs w:val="20"/>
                <w:color w:val="auto"/>
              </w:rPr>
            </w:pPr>
            <w:r>
              <w:rPr>
                <w:rFonts w:ascii="Arial" w:cs="Arial" w:eastAsia="Arial" w:hAnsi="Arial"/>
                <w:sz w:val="13"/>
                <w:szCs w:val="13"/>
                <w:color w:val="auto"/>
                <w:w w:val="99"/>
              </w:rPr>
              <w:t>First tranche (33%) vested on 02/27/2025, second tranche (33%) vested on 02/27/2026, and last tranche (34%) vests</w:t>
            </w:r>
          </w:p>
        </w:tc>
        <w:tc>
          <w:tcPr>
            <w:tcW w:w="0" w:type="dxa"/>
            <w:vAlign w:val="bottom"/>
          </w:tcPr>
          <w:p>
            <w:pPr>
              <w:spacing w:after="0"/>
              <w:rPr>
                <w:sz w:val="1"/>
                <w:szCs w:val="1"/>
                <w:color w:val="auto"/>
              </w:rPr>
            </w:pPr>
          </w:p>
        </w:tc>
      </w:tr>
      <w:tr>
        <w:trPr>
          <w:trHeight w:val="85"/>
        </w:trPr>
        <w:tc>
          <w:tcPr>
            <w:tcW w:w="860" w:type="dxa"/>
            <w:vAlign w:val="bottom"/>
            <w:vMerge w:val="continue"/>
            <w:shd w:val="clear" w:color="auto" w:fill="E0DBEA"/>
          </w:tcPr>
          <w:p>
            <w:pPr>
              <w:spacing w:after="0"/>
              <w:rPr>
                <w:sz w:val="7"/>
                <w:szCs w:val="7"/>
                <w:color w:val="auto"/>
              </w:rPr>
            </w:pPr>
          </w:p>
        </w:tc>
        <w:tc>
          <w:tcPr>
            <w:tcW w:w="1080" w:type="dxa"/>
            <w:vAlign w:val="bottom"/>
            <w:vMerge w:val="continue"/>
            <w:shd w:val="clear" w:color="auto" w:fill="E0DBEA"/>
          </w:tcPr>
          <w:p>
            <w:pPr>
              <w:spacing w:after="0"/>
              <w:rPr>
                <w:sz w:val="7"/>
                <w:szCs w:val="7"/>
                <w:color w:val="auto"/>
              </w:rPr>
            </w:pPr>
          </w:p>
        </w:tc>
        <w:tc>
          <w:tcPr>
            <w:tcW w:w="6820" w:type="dxa"/>
            <w:vAlign w:val="bottom"/>
            <w:vMerge w:val="restart"/>
            <w:shd w:val="clear" w:color="auto" w:fill="E0DBEA"/>
          </w:tcPr>
          <w:p>
            <w:pPr>
              <w:ind w:left="120"/>
              <w:spacing w:after="0"/>
              <w:rPr>
                <w:sz w:val="20"/>
                <w:szCs w:val="20"/>
                <w:color w:val="auto"/>
              </w:rPr>
            </w:pPr>
            <w:r>
              <w:rPr>
                <w:rFonts w:ascii="Arial" w:cs="Arial" w:eastAsia="Arial" w:hAnsi="Arial"/>
                <w:sz w:val="13"/>
                <w:szCs w:val="13"/>
                <w:color w:val="auto"/>
              </w:rPr>
              <w:t>on 02/27/2027.</w:t>
            </w:r>
          </w:p>
        </w:tc>
        <w:tc>
          <w:tcPr>
            <w:tcW w:w="0" w:type="dxa"/>
            <w:vAlign w:val="bottom"/>
          </w:tcPr>
          <w:p>
            <w:pPr>
              <w:spacing w:after="0"/>
              <w:rPr>
                <w:sz w:val="1"/>
                <w:szCs w:val="1"/>
                <w:color w:val="auto"/>
              </w:rPr>
            </w:pPr>
          </w:p>
        </w:tc>
      </w:tr>
      <w:tr>
        <w:trPr>
          <w:trHeight w:val="88"/>
        </w:trPr>
        <w:tc>
          <w:tcPr>
            <w:tcW w:w="860" w:type="dxa"/>
            <w:vAlign w:val="bottom"/>
            <w:tcBorders>
              <w:bottom w:val="single" w:sz="8" w:color="582C83"/>
            </w:tcBorders>
            <w:shd w:val="clear" w:color="auto" w:fill="E0DBEA"/>
          </w:tcPr>
          <w:p>
            <w:pPr>
              <w:spacing w:after="0"/>
              <w:rPr>
                <w:sz w:val="7"/>
                <w:szCs w:val="7"/>
                <w:color w:val="auto"/>
              </w:rPr>
            </w:pPr>
          </w:p>
        </w:tc>
        <w:tc>
          <w:tcPr>
            <w:tcW w:w="1080" w:type="dxa"/>
            <w:vAlign w:val="bottom"/>
            <w:tcBorders>
              <w:bottom w:val="single" w:sz="8" w:color="582C83"/>
            </w:tcBorders>
            <w:shd w:val="clear" w:color="auto" w:fill="E0DBEA"/>
          </w:tcPr>
          <w:p>
            <w:pPr>
              <w:spacing w:after="0"/>
              <w:rPr>
                <w:sz w:val="7"/>
                <w:szCs w:val="7"/>
                <w:color w:val="auto"/>
              </w:rPr>
            </w:pPr>
          </w:p>
        </w:tc>
        <w:tc>
          <w:tcPr>
            <w:tcW w:w="6820" w:type="dxa"/>
            <w:vAlign w:val="bottom"/>
            <w:tcBorders>
              <w:bottom w:val="single" w:sz="8" w:color="582C83"/>
            </w:tcBorders>
            <w:vMerge w:val="continue"/>
            <w:shd w:val="clear" w:color="auto" w:fill="E0DBEA"/>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860" w:type="dxa"/>
            <w:vAlign w:val="bottom"/>
            <w:vMerge w:val="restart"/>
          </w:tcPr>
          <w:p>
            <w:pPr>
              <w:ind w:left="40"/>
              <w:spacing w:after="0"/>
              <w:rPr>
                <w:sz w:val="20"/>
                <w:szCs w:val="20"/>
                <w:color w:val="auto"/>
              </w:rPr>
            </w:pPr>
            <w:r>
              <w:rPr>
                <w:rFonts w:ascii="Arial" w:cs="Arial" w:eastAsia="Arial" w:hAnsi="Arial"/>
                <w:sz w:val="13"/>
                <w:szCs w:val="13"/>
                <w:color w:val="auto"/>
              </w:rPr>
              <w:t>03/17/2025</w:t>
            </w:r>
          </w:p>
        </w:tc>
        <w:tc>
          <w:tcPr>
            <w:tcW w:w="1080" w:type="dxa"/>
            <w:vAlign w:val="bottom"/>
            <w:vMerge w:val="restart"/>
          </w:tcPr>
          <w:p>
            <w:pPr>
              <w:ind w:left="180"/>
              <w:spacing w:after="0"/>
              <w:rPr>
                <w:sz w:val="20"/>
                <w:szCs w:val="20"/>
                <w:color w:val="auto"/>
              </w:rPr>
            </w:pPr>
            <w:r>
              <w:rPr>
                <w:rFonts w:ascii="Arial" w:cs="Arial" w:eastAsia="Arial" w:hAnsi="Arial"/>
                <w:sz w:val="13"/>
                <w:szCs w:val="13"/>
                <w:color w:val="auto"/>
              </w:rPr>
              <w:t>PSUs</w:t>
            </w:r>
          </w:p>
        </w:tc>
        <w:tc>
          <w:tcPr>
            <w:tcW w:w="6820" w:type="dxa"/>
            <w:vAlign w:val="bottom"/>
          </w:tcPr>
          <w:p>
            <w:pPr>
              <w:ind w:left="120"/>
              <w:spacing w:after="0"/>
              <w:rPr>
                <w:sz w:val="20"/>
                <w:szCs w:val="20"/>
                <w:color w:val="auto"/>
              </w:rPr>
            </w:pPr>
            <w:r>
              <w:rPr>
                <w:rFonts w:ascii="Arial" w:cs="Arial" w:eastAsia="Arial" w:hAnsi="Arial"/>
                <w:sz w:val="13"/>
                <w:szCs w:val="13"/>
                <w:color w:val="auto"/>
                <w:w w:val="98"/>
              </w:rPr>
              <w:t>100% of the grant vests upon approval of the PCC subject to the satisfaction of the performance criteria. Distribution of</w:t>
            </w:r>
          </w:p>
        </w:tc>
        <w:tc>
          <w:tcPr>
            <w:tcW w:w="0" w:type="dxa"/>
            <w:vAlign w:val="bottom"/>
          </w:tcPr>
          <w:p>
            <w:pPr>
              <w:spacing w:after="0"/>
              <w:rPr>
                <w:sz w:val="1"/>
                <w:szCs w:val="1"/>
                <w:color w:val="auto"/>
              </w:rPr>
            </w:pPr>
          </w:p>
        </w:tc>
      </w:tr>
      <w:tr>
        <w:trPr>
          <w:trHeight w:val="85"/>
        </w:trPr>
        <w:tc>
          <w:tcPr>
            <w:tcW w:w="8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6820" w:type="dxa"/>
            <w:vAlign w:val="bottom"/>
            <w:vMerge w:val="restart"/>
          </w:tcPr>
          <w:p>
            <w:pPr>
              <w:ind w:left="120"/>
              <w:spacing w:after="0"/>
              <w:rPr>
                <w:sz w:val="20"/>
                <w:szCs w:val="20"/>
                <w:color w:val="auto"/>
              </w:rPr>
            </w:pPr>
            <w:r>
              <w:rPr>
                <w:rFonts w:ascii="Arial" w:cs="Arial" w:eastAsia="Arial" w:hAnsi="Arial"/>
                <w:sz w:val="13"/>
                <w:szCs w:val="13"/>
                <w:color w:val="auto"/>
              </w:rPr>
              <w:t>any shares awarded will be no later than 03/15/2028.</w:t>
            </w:r>
          </w:p>
        </w:tc>
        <w:tc>
          <w:tcPr>
            <w:tcW w:w="0" w:type="dxa"/>
            <w:vAlign w:val="bottom"/>
          </w:tcPr>
          <w:p>
            <w:pPr>
              <w:spacing w:after="0"/>
              <w:rPr>
                <w:sz w:val="1"/>
                <w:szCs w:val="1"/>
                <w:color w:val="auto"/>
              </w:rPr>
            </w:pPr>
          </w:p>
        </w:tc>
      </w:tr>
      <w:tr>
        <w:trPr>
          <w:trHeight w:val="88"/>
        </w:trPr>
        <w:tc>
          <w:tcPr>
            <w:tcW w:w="860" w:type="dxa"/>
            <w:vAlign w:val="bottom"/>
            <w:tcBorders>
              <w:bottom w:val="single" w:sz="8" w:color="582C83"/>
            </w:tcBorders>
          </w:tcPr>
          <w:p>
            <w:pPr>
              <w:spacing w:after="0"/>
              <w:rPr>
                <w:sz w:val="7"/>
                <w:szCs w:val="7"/>
                <w:color w:val="auto"/>
              </w:rPr>
            </w:pPr>
          </w:p>
        </w:tc>
        <w:tc>
          <w:tcPr>
            <w:tcW w:w="1080" w:type="dxa"/>
            <w:vAlign w:val="bottom"/>
            <w:tcBorders>
              <w:bottom w:val="single" w:sz="8" w:color="582C83"/>
            </w:tcBorders>
          </w:tcPr>
          <w:p>
            <w:pPr>
              <w:spacing w:after="0"/>
              <w:rPr>
                <w:sz w:val="7"/>
                <w:szCs w:val="7"/>
                <w:color w:val="auto"/>
              </w:rPr>
            </w:pPr>
          </w:p>
        </w:tc>
        <w:tc>
          <w:tcPr>
            <w:tcW w:w="6820" w:type="dxa"/>
            <w:vAlign w:val="bottom"/>
            <w:tcBorders>
              <w:bottom w:val="single" w:sz="8" w:color="582C83"/>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860" w:type="dxa"/>
            <w:vAlign w:val="bottom"/>
            <w:vMerge w:val="restart"/>
            <w:shd w:val="clear" w:color="auto" w:fill="E0DBEA"/>
          </w:tcPr>
          <w:p>
            <w:pPr>
              <w:ind w:left="40"/>
              <w:spacing w:after="0"/>
              <w:rPr>
                <w:sz w:val="20"/>
                <w:szCs w:val="20"/>
                <w:color w:val="auto"/>
              </w:rPr>
            </w:pPr>
            <w:r>
              <w:rPr>
                <w:rFonts w:ascii="Arial" w:cs="Arial" w:eastAsia="Arial" w:hAnsi="Arial"/>
                <w:sz w:val="13"/>
                <w:szCs w:val="13"/>
                <w:color w:val="auto"/>
              </w:rPr>
              <w:t>03/17/2025</w:t>
            </w:r>
          </w:p>
        </w:tc>
        <w:tc>
          <w:tcPr>
            <w:tcW w:w="1080" w:type="dxa"/>
            <w:vAlign w:val="bottom"/>
            <w:vMerge w:val="restart"/>
            <w:shd w:val="clear" w:color="auto" w:fill="E0DBEA"/>
          </w:tcPr>
          <w:p>
            <w:pPr>
              <w:ind w:left="180"/>
              <w:spacing w:after="0"/>
              <w:rPr>
                <w:sz w:val="20"/>
                <w:szCs w:val="20"/>
                <w:color w:val="auto"/>
              </w:rPr>
            </w:pPr>
            <w:r>
              <w:rPr>
                <w:rFonts w:ascii="Arial" w:cs="Arial" w:eastAsia="Arial" w:hAnsi="Arial"/>
                <w:sz w:val="13"/>
                <w:szCs w:val="13"/>
                <w:color w:val="auto"/>
              </w:rPr>
              <w:t>Stock Options</w:t>
            </w:r>
          </w:p>
        </w:tc>
        <w:tc>
          <w:tcPr>
            <w:tcW w:w="6820" w:type="dxa"/>
            <w:vAlign w:val="bottom"/>
            <w:shd w:val="clear" w:color="auto" w:fill="E0DBEA"/>
          </w:tcPr>
          <w:p>
            <w:pPr>
              <w:ind w:left="120"/>
              <w:spacing w:after="0"/>
              <w:rPr>
                <w:sz w:val="20"/>
                <w:szCs w:val="20"/>
                <w:color w:val="auto"/>
              </w:rPr>
            </w:pPr>
            <w:r>
              <w:rPr>
                <w:rFonts w:ascii="Arial" w:cs="Arial" w:eastAsia="Arial" w:hAnsi="Arial"/>
                <w:sz w:val="13"/>
                <w:szCs w:val="13"/>
                <w:color w:val="auto"/>
                <w:w w:val="97"/>
              </w:rPr>
              <w:t>First tranche (33%) vested on 03/17/2026, second tranche (33%) vests on 03/17/2027, and last tranche (34%) vests on</w:t>
            </w:r>
          </w:p>
        </w:tc>
        <w:tc>
          <w:tcPr>
            <w:tcW w:w="0" w:type="dxa"/>
            <w:vAlign w:val="bottom"/>
          </w:tcPr>
          <w:p>
            <w:pPr>
              <w:spacing w:after="0"/>
              <w:rPr>
                <w:sz w:val="1"/>
                <w:szCs w:val="1"/>
                <w:color w:val="auto"/>
              </w:rPr>
            </w:pPr>
          </w:p>
        </w:tc>
      </w:tr>
      <w:tr>
        <w:trPr>
          <w:trHeight w:val="85"/>
        </w:trPr>
        <w:tc>
          <w:tcPr>
            <w:tcW w:w="860" w:type="dxa"/>
            <w:vAlign w:val="bottom"/>
            <w:vMerge w:val="continue"/>
            <w:shd w:val="clear" w:color="auto" w:fill="E0DBEA"/>
          </w:tcPr>
          <w:p>
            <w:pPr>
              <w:spacing w:after="0"/>
              <w:rPr>
                <w:sz w:val="7"/>
                <w:szCs w:val="7"/>
                <w:color w:val="auto"/>
              </w:rPr>
            </w:pPr>
          </w:p>
        </w:tc>
        <w:tc>
          <w:tcPr>
            <w:tcW w:w="1080" w:type="dxa"/>
            <w:vAlign w:val="bottom"/>
            <w:vMerge w:val="continue"/>
            <w:shd w:val="clear" w:color="auto" w:fill="E0DBEA"/>
          </w:tcPr>
          <w:p>
            <w:pPr>
              <w:spacing w:after="0"/>
              <w:rPr>
                <w:sz w:val="7"/>
                <w:szCs w:val="7"/>
                <w:color w:val="auto"/>
              </w:rPr>
            </w:pPr>
          </w:p>
        </w:tc>
        <w:tc>
          <w:tcPr>
            <w:tcW w:w="6820" w:type="dxa"/>
            <w:vAlign w:val="bottom"/>
            <w:vMerge w:val="restart"/>
            <w:shd w:val="clear" w:color="auto" w:fill="E0DBEA"/>
          </w:tcPr>
          <w:p>
            <w:pPr>
              <w:ind w:left="120"/>
              <w:spacing w:after="0"/>
              <w:rPr>
                <w:sz w:val="20"/>
                <w:szCs w:val="20"/>
                <w:color w:val="auto"/>
              </w:rPr>
            </w:pPr>
            <w:r>
              <w:rPr>
                <w:rFonts w:ascii="Arial" w:cs="Arial" w:eastAsia="Arial" w:hAnsi="Arial"/>
                <w:sz w:val="13"/>
                <w:szCs w:val="13"/>
                <w:color w:val="auto"/>
              </w:rPr>
              <w:t>03/17/2028.</w:t>
            </w:r>
          </w:p>
        </w:tc>
        <w:tc>
          <w:tcPr>
            <w:tcW w:w="0" w:type="dxa"/>
            <w:vAlign w:val="bottom"/>
          </w:tcPr>
          <w:p>
            <w:pPr>
              <w:spacing w:after="0"/>
              <w:rPr>
                <w:sz w:val="1"/>
                <w:szCs w:val="1"/>
                <w:color w:val="auto"/>
              </w:rPr>
            </w:pPr>
          </w:p>
        </w:tc>
      </w:tr>
      <w:tr>
        <w:trPr>
          <w:trHeight w:val="89"/>
        </w:trPr>
        <w:tc>
          <w:tcPr>
            <w:tcW w:w="860" w:type="dxa"/>
            <w:vAlign w:val="bottom"/>
            <w:tcBorders>
              <w:bottom w:val="single" w:sz="8" w:color="582C83"/>
            </w:tcBorders>
            <w:shd w:val="clear" w:color="auto" w:fill="E0DBEA"/>
          </w:tcPr>
          <w:p>
            <w:pPr>
              <w:spacing w:after="0"/>
              <w:rPr>
                <w:sz w:val="7"/>
                <w:szCs w:val="7"/>
                <w:color w:val="auto"/>
              </w:rPr>
            </w:pPr>
          </w:p>
        </w:tc>
        <w:tc>
          <w:tcPr>
            <w:tcW w:w="1080" w:type="dxa"/>
            <w:vAlign w:val="bottom"/>
            <w:tcBorders>
              <w:bottom w:val="single" w:sz="8" w:color="582C83"/>
            </w:tcBorders>
            <w:shd w:val="clear" w:color="auto" w:fill="E0DBEA"/>
          </w:tcPr>
          <w:p>
            <w:pPr>
              <w:spacing w:after="0"/>
              <w:rPr>
                <w:sz w:val="7"/>
                <w:szCs w:val="7"/>
                <w:color w:val="auto"/>
              </w:rPr>
            </w:pPr>
          </w:p>
        </w:tc>
        <w:tc>
          <w:tcPr>
            <w:tcW w:w="6820" w:type="dxa"/>
            <w:vAlign w:val="bottom"/>
            <w:tcBorders>
              <w:bottom w:val="single" w:sz="8" w:color="582C83"/>
            </w:tcBorders>
            <w:vMerge w:val="continue"/>
            <w:shd w:val="clear" w:color="auto" w:fill="E0DBEA"/>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860" w:type="dxa"/>
            <w:vAlign w:val="bottom"/>
            <w:vMerge w:val="restart"/>
          </w:tcPr>
          <w:p>
            <w:pPr>
              <w:ind w:left="40"/>
              <w:spacing w:after="0"/>
              <w:rPr>
                <w:sz w:val="20"/>
                <w:szCs w:val="20"/>
                <w:color w:val="auto"/>
              </w:rPr>
            </w:pPr>
            <w:r>
              <w:rPr>
                <w:rFonts w:ascii="Arial" w:cs="Arial" w:eastAsia="Arial" w:hAnsi="Arial"/>
                <w:sz w:val="13"/>
                <w:szCs w:val="13"/>
                <w:color w:val="auto"/>
              </w:rPr>
              <w:t>04/01/2025</w:t>
            </w:r>
          </w:p>
        </w:tc>
        <w:tc>
          <w:tcPr>
            <w:tcW w:w="1080" w:type="dxa"/>
            <w:vAlign w:val="bottom"/>
            <w:vMerge w:val="restart"/>
          </w:tcPr>
          <w:p>
            <w:pPr>
              <w:ind w:left="180"/>
              <w:spacing w:after="0"/>
              <w:rPr>
                <w:sz w:val="20"/>
                <w:szCs w:val="20"/>
                <w:color w:val="auto"/>
              </w:rPr>
            </w:pPr>
            <w:r>
              <w:rPr>
                <w:rFonts w:ascii="Arial" w:cs="Arial" w:eastAsia="Arial" w:hAnsi="Arial"/>
                <w:sz w:val="13"/>
                <w:szCs w:val="13"/>
                <w:color w:val="auto"/>
              </w:rPr>
              <w:t>DSUs</w:t>
            </w:r>
          </w:p>
        </w:tc>
        <w:tc>
          <w:tcPr>
            <w:tcW w:w="6820" w:type="dxa"/>
            <w:vAlign w:val="bottom"/>
          </w:tcPr>
          <w:p>
            <w:pPr>
              <w:ind w:left="120"/>
              <w:spacing w:after="0"/>
              <w:rPr>
                <w:sz w:val="20"/>
                <w:szCs w:val="20"/>
                <w:color w:val="auto"/>
              </w:rPr>
            </w:pPr>
            <w:r>
              <w:rPr>
                <w:rFonts w:ascii="Arial" w:cs="Arial" w:eastAsia="Arial" w:hAnsi="Arial"/>
                <w:sz w:val="13"/>
                <w:szCs w:val="13"/>
                <w:color w:val="auto"/>
                <w:w w:val="97"/>
              </w:rPr>
              <w:t>First tranche (33%) vested on 04/01/2026, second tranche (33%) vests on 04/01/2027, and last tranche (34%) vests on</w:t>
            </w:r>
          </w:p>
        </w:tc>
        <w:tc>
          <w:tcPr>
            <w:tcW w:w="0" w:type="dxa"/>
            <w:vAlign w:val="bottom"/>
          </w:tcPr>
          <w:p>
            <w:pPr>
              <w:spacing w:after="0"/>
              <w:rPr>
                <w:sz w:val="1"/>
                <w:szCs w:val="1"/>
                <w:color w:val="auto"/>
              </w:rPr>
            </w:pPr>
          </w:p>
        </w:tc>
      </w:tr>
      <w:tr>
        <w:trPr>
          <w:trHeight w:val="85"/>
        </w:trPr>
        <w:tc>
          <w:tcPr>
            <w:tcW w:w="8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6820" w:type="dxa"/>
            <w:vAlign w:val="bottom"/>
            <w:vMerge w:val="restart"/>
          </w:tcPr>
          <w:p>
            <w:pPr>
              <w:ind w:left="120"/>
              <w:spacing w:after="0"/>
              <w:rPr>
                <w:sz w:val="20"/>
                <w:szCs w:val="20"/>
                <w:color w:val="auto"/>
              </w:rPr>
            </w:pPr>
            <w:r>
              <w:rPr>
                <w:rFonts w:ascii="Arial" w:cs="Arial" w:eastAsia="Arial" w:hAnsi="Arial"/>
                <w:sz w:val="13"/>
                <w:szCs w:val="13"/>
                <w:color w:val="auto"/>
              </w:rPr>
              <w:t>04/01/2028.</w:t>
            </w:r>
          </w:p>
        </w:tc>
        <w:tc>
          <w:tcPr>
            <w:tcW w:w="0" w:type="dxa"/>
            <w:vAlign w:val="bottom"/>
          </w:tcPr>
          <w:p>
            <w:pPr>
              <w:spacing w:after="0"/>
              <w:rPr>
                <w:sz w:val="1"/>
                <w:szCs w:val="1"/>
                <w:color w:val="auto"/>
              </w:rPr>
            </w:pPr>
          </w:p>
        </w:tc>
      </w:tr>
      <w:tr>
        <w:trPr>
          <w:trHeight w:val="89"/>
        </w:trPr>
        <w:tc>
          <w:tcPr>
            <w:tcW w:w="860" w:type="dxa"/>
            <w:vAlign w:val="bottom"/>
            <w:tcBorders>
              <w:bottom w:val="single" w:sz="8" w:color="582C83"/>
            </w:tcBorders>
          </w:tcPr>
          <w:p>
            <w:pPr>
              <w:spacing w:after="0"/>
              <w:rPr>
                <w:sz w:val="7"/>
                <w:szCs w:val="7"/>
                <w:color w:val="auto"/>
              </w:rPr>
            </w:pPr>
          </w:p>
        </w:tc>
        <w:tc>
          <w:tcPr>
            <w:tcW w:w="1080" w:type="dxa"/>
            <w:vAlign w:val="bottom"/>
            <w:tcBorders>
              <w:bottom w:val="single" w:sz="8" w:color="582C83"/>
            </w:tcBorders>
          </w:tcPr>
          <w:p>
            <w:pPr>
              <w:spacing w:after="0"/>
              <w:rPr>
                <w:sz w:val="7"/>
                <w:szCs w:val="7"/>
                <w:color w:val="auto"/>
              </w:rPr>
            </w:pPr>
          </w:p>
        </w:tc>
        <w:tc>
          <w:tcPr>
            <w:tcW w:w="6820" w:type="dxa"/>
            <w:vAlign w:val="bottom"/>
            <w:tcBorders>
              <w:bottom w:val="single" w:sz="8" w:color="582C83"/>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260" w:hanging="253"/>
        <w:spacing w:after="0"/>
        <w:tabs>
          <w:tab w:leader="none" w:pos="26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market value of unearned shares is based on the December 31, 2025 closing price of $53.83.</w:t>
      </w:r>
    </w:p>
    <w:p>
      <w:pPr>
        <w:spacing w:after="0" w:line="16" w:lineRule="exact"/>
        <w:rPr>
          <w:rFonts w:ascii="Arial" w:cs="Arial" w:eastAsia="Arial" w:hAnsi="Arial"/>
          <w:sz w:val="13"/>
          <w:szCs w:val="13"/>
          <w:color w:val="auto"/>
        </w:rPr>
      </w:pPr>
    </w:p>
    <w:p>
      <w:pPr>
        <w:ind w:left="260" w:right="180" w:hanging="253"/>
        <w:spacing w:after="0" w:line="270" w:lineRule="auto"/>
        <w:tabs>
          <w:tab w:leader="none" w:pos="26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Actual number of shares earned ranges between 0% and 200% of the target shares granted depending on actual performance for the performance cycle. Amounts reflect threshold award level for the 2024-2026 performance cycle and target award level for the 2025-2027 performance cycle based on trending performance at 2025 year-end.</w:t>
      </w:r>
    </w:p>
    <w:p>
      <w:pPr>
        <w:spacing w:after="0" w:line="326"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2025 OPTIONS EXERCISED AND STOCK VESTED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40" w:type="dxa"/>
            <w:vAlign w:val="bottom"/>
          </w:tcPr>
          <w:p>
            <w:pPr>
              <w:spacing w:after="0"/>
              <w:rPr>
                <w:sz w:val="14"/>
                <w:szCs w:val="14"/>
                <w:color w:val="auto"/>
              </w:rPr>
            </w:pPr>
          </w:p>
        </w:tc>
        <w:tc>
          <w:tcPr>
            <w:tcW w:w="2140" w:type="dxa"/>
            <w:vAlign w:val="bottom"/>
            <w:tcBorders>
              <w:bottom w:val="single" w:sz="8" w:color="582C83"/>
            </w:tcBorders>
          </w:tcPr>
          <w:p>
            <w:pPr>
              <w:jc w:val="right"/>
              <w:ind w:right="8"/>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Borders>
              <w:bottom w:val="single" w:sz="8" w:color="582C83"/>
            </w:tcBorders>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Borders>
              <w:bottom w:val="single" w:sz="8" w:color="582C83"/>
            </w:tcBorders>
          </w:tcPr>
          <w:p>
            <w:pPr>
              <w:jc w:val="right"/>
              <w:ind w:right="8"/>
              <w:spacing w:after="0"/>
              <w:rPr>
                <w:sz w:val="20"/>
                <w:szCs w:val="20"/>
                <w:color w:val="auto"/>
              </w:rPr>
            </w:pPr>
            <w:r>
              <w:rPr>
                <w:rFonts w:ascii="Arial" w:cs="Arial" w:eastAsia="Arial" w:hAnsi="Arial"/>
                <w:sz w:val="14"/>
                <w:szCs w:val="14"/>
                <w:b w:val="1"/>
                <w:bCs w:val="1"/>
                <w:color w:val="auto"/>
              </w:rPr>
              <w:t>Stock Awards</w:t>
            </w:r>
          </w:p>
        </w:tc>
        <w:tc>
          <w:tcPr>
            <w:tcW w:w="940" w:type="dxa"/>
            <w:vAlign w:val="bottom"/>
            <w:tcBorders>
              <w:bottom w:val="single" w:sz="8" w:color="582C83"/>
            </w:tcBorders>
          </w:tcPr>
          <w:p>
            <w:pPr>
              <w:spacing w:after="0"/>
              <w:rPr>
                <w:sz w:val="14"/>
                <w:szCs w:val="14"/>
                <w:color w:val="auto"/>
              </w:rPr>
            </w:pPr>
          </w:p>
        </w:tc>
      </w:tr>
      <w:tr>
        <w:trPr>
          <w:trHeight w:val="193"/>
        </w:trPr>
        <w:tc>
          <w:tcPr>
            <w:tcW w:w="2840" w:type="dxa"/>
            <w:vAlign w:val="bottom"/>
          </w:tcPr>
          <w:p>
            <w:pPr>
              <w:spacing w:after="0"/>
              <w:rPr>
                <w:sz w:val="16"/>
                <w:szCs w:val="16"/>
                <w:color w:val="auto"/>
              </w:rPr>
            </w:pPr>
          </w:p>
        </w:tc>
        <w:tc>
          <w:tcPr>
            <w:tcW w:w="2140" w:type="dxa"/>
            <w:vAlign w:val="bottom"/>
          </w:tcPr>
          <w:p>
            <w:pPr>
              <w:jc w:val="right"/>
              <w:ind w:right="488"/>
              <w:spacing w:after="0"/>
              <w:rPr>
                <w:sz w:val="20"/>
                <w:szCs w:val="20"/>
                <w:color w:val="auto"/>
              </w:rPr>
            </w:pPr>
            <w:r>
              <w:rPr>
                <w:rFonts w:ascii="Arial" w:cs="Arial" w:eastAsia="Arial" w:hAnsi="Arial"/>
                <w:sz w:val="14"/>
                <w:szCs w:val="14"/>
                <w:b w:val="1"/>
                <w:bCs w:val="1"/>
                <w:color w:val="auto"/>
              </w:rPr>
              <w:t>Number of Shares</w:t>
            </w:r>
          </w:p>
        </w:tc>
        <w:tc>
          <w:tcPr>
            <w:tcW w:w="1060" w:type="dxa"/>
            <w:vAlign w:val="bottom"/>
            <w:gridSpan w:val="2"/>
          </w:tcPr>
          <w:p>
            <w:pPr>
              <w:ind w:left="500"/>
              <w:spacing w:after="0"/>
              <w:rPr>
                <w:sz w:val="20"/>
                <w:szCs w:val="20"/>
                <w:color w:val="auto"/>
              </w:rPr>
            </w:pPr>
            <w:r>
              <w:rPr>
                <w:rFonts w:ascii="Arial" w:cs="Arial" w:eastAsia="Arial" w:hAnsi="Arial"/>
                <w:sz w:val="14"/>
                <w:szCs w:val="14"/>
                <w:b w:val="1"/>
                <w:bCs w:val="1"/>
                <w:color w:val="auto"/>
              </w:rPr>
              <w:t>Value</w:t>
            </w:r>
          </w:p>
        </w:tc>
        <w:tc>
          <w:tcPr>
            <w:tcW w:w="2060" w:type="dxa"/>
            <w:vAlign w:val="bottom"/>
          </w:tcPr>
          <w:p>
            <w:pPr>
              <w:jc w:val="right"/>
              <w:ind w:right="488"/>
              <w:spacing w:after="0"/>
              <w:rPr>
                <w:sz w:val="20"/>
                <w:szCs w:val="20"/>
                <w:color w:val="auto"/>
              </w:rPr>
            </w:pPr>
            <w:r>
              <w:rPr>
                <w:rFonts w:ascii="Arial" w:cs="Arial" w:eastAsia="Arial" w:hAnsi="Arial"/>
                <w:sz w:val="14"/>
                <w:szCs w:val="14"/>
                <w:b w:val="1"/>
                <w:bCs w:val="1"/>
                <w:color w:val="auto"/>
              </w:rPr>
              <w:t>Number of Shares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r>
      <w:tr>
        <w:trPr>
          <w:trHeight w:val="160"/>
        </w:trPr>
        <w:tc>
          <w:tcPr>
            <w:tcW w:w="2840" w:type="dxa"/>
            <w:vAlign w:val="bottom"/>
          </w:tcPr>
          <w:p>
            <w:pPr>
              <w:spacing w:after="0"/>
              <w:rPr>
                <w:sz w:val="13"/>
                <w:szCs w:val="13"/>
                <w:color w:val="auto"/>
              </w:rPr>
            </w:pPr>
          </w:p>
        </w:tc>
        <w:tc>
          <w:tcPr>
            <w:tcW w:w="2140" w:type="dxa"/>
            <w:vAlign w:val="bottom"/>
          </w:tcPr>
          <w:p>
            <w:pPr>
              <w:jc w:val="right"/>
              <w:ind w:right="488"/>
              <w:spacing w:after="0" w:line="159" w:lineRule="exact"/>
              <w:rPr>
                <w:sz w:val="20"/>
                <w:szCs w:val="20"/>
                <w:color w:val="auto"/>
              </w:rPr>
            </w:pPr>
            <w:r>
              <w:rPr>
                <w:rFonts w:ascii="Arial" w:cs="Arial" w:eastAsia="Arial" w:hAnsi="Arial"/>
                <w:sz w:val="14"/>
                <w:szCs w:val="14"/>
                <w:b w:val="1"/>
                <w:bCs w:val="1"/>
                <w:color w:val="auto"/>
              </w:rPr>
              <w:t>Acquired on</w:t>
            </w:r>
          </w:p>
        </w:tc>
        <w:tc>
          <w:tcPr>
            <w:tcW w:w="1060" w:type="dxa"/>
            <w:vAlign w:val="bottom"/>
            <w:gridSpan w:val="2"/>
          </w:tcPr>
          <w:p>
            <w:pPr>
              <w:jc w:val="right"/>
              <w:ind w:right="180"/>
              <w:spacing w:after="0" w:line="159" w:lineRule="exact"/>
              <w:rPr>
                <w:sz w:val="20"/>
                <w:szCs w:val="20"/>
                <w:color w:val="auto"/>
              </w:rPr>
            </w:pPr>
            <w:r>
              <w:rPr>
                <w:rFonts w:ascii="Arial" w:cs="Arial" w:eastAsia="Arial" w:hAnsi="Arial"/>
                <w:sz w:val="14"/>
                <w:szCs w:val="14"/>
                <w:b w:val="1"/>
                <w:bCs w:val="1"/>
                <w:color w:val="auto"/>
              </w:rPr>
              <w:t>Realized on</w:t>
            </w:r>
          </w:p>
        </w:tc>
        <w:tc>
          <w:tcPr>
            <w:tcW w:w="2060" w:type="dxa"/>
            <w:vAlign w:val="bottom"/>
          </w:tcPr>
          <w:p>
            <w:pPr>
              <w:jc w:val="right"/>
              <w:ind w:right="488"/>
              <w:spacing w:after="0" w:line="159" w:lineRule="exact"/>
              <w:rPr>
                <w:sz w:val="20"/>
                <w:szCs w:val="20"/>
                <w:color w:val="auto"/>
              </w:rPr>
            </w:pPr>
            <w:r>
              <w:rPr>
                <w:rFonts w:ascii="Arial" w:cs="Arial" w:eastAsia="Arial" w:hAnsi="Arial"/>
                <w:sz w:val="14"/>
                <w:szCs w:val="14"/>
                <w:b w:val="1"/>
                <w:bCs w:val="1"/>
                <w:color w:val="auto"/>
              </w:rPr>
              <w:t>Acquired on</w:t>
            </w:r>
          </w:p>
        </w:tc>
        <w:tc>
          <w:tcPr>
            <w:tcW w:w="94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Realized on</w:t>
            </w:r>
          </w:p>
        </w:tc>
      </w:tr>
      <w:tr>
        <w:trPr>
          <w:trHeight w:val="191"/>
        </w:trPr>
        <w:tc>
          <w:tcPr>
            <w:tcW w:w="2840" w:type="dxa"/>
            <w:vAlign w:val="bottom"/>
          </w:tcPr>
          <w:p>
            <w:pPr>
              <w:spacing w:after="0"/>
              <w:rPr>
                <w:sz w:val="16"/>
                <w:szCs w:val="16"/>
                <w:color w:val="auto"/>
              </w:rPr>
            </w:pPr>
          </w:p>
        </w:tc>
        <w:tc>
          <w:tcPr>
            <w:tcW w:w="2140" w:type="dxa"/>
            <w:vAlign w:val="bottom"/>
          </w:tcPr>
          <w:p>
            <w:pPr>
              <w:jc w:val="right"/>
              <w:ind w:right="488"/>
              <w:spacing w:after="0"/>
              <w:rPr>
                <w:sz w:val="20"/>
                <w:szCs w:val="20"/>
                <w:color w:val="auto"/>
              </w:rPr>
            </w:pPr>
            <w:r>
              <w:rPr>
                <w:rFonts w:ascii="Arial" w:cs="Arial" w:eastAsia="Arial" w:hAnsi="Arial"/>
                <w:sz w:val="14"/>
                <w:szCs w:val="14"/>
                <w:b w:val="1"/>
                <w:bCs w:val="1"/>
                <w:color w:val="auto"/>
              </w:rPr>
              <w:t>Exercise</w:t>
            </w:r>
          </w:p>
        </w:tc>
        <w:tc>
          <w:tcPr>
            <w:tcW w:w="1060" w:type="dxa"/>
            <w:vAlign w:val="bottom"/>
            <w:gridSpan w:val="2"/>
          </w:tcPr>
          <w:p>
            <w:pPr>
              <w:jc w:val="right"/>
              <w:ind w:right="180"/>
              <w:spacing w:after="0" w:line="191" w:lineRule="exact"/>
              <w:rPr>
                <w:sz w:val="20"/>
                <w:szCs w:val="20"/>
                <w:color w:val="auto"/>
              </w:rPr>
            </w:pPr>
            <w:r>
              <w:rPr>
                <w:rFonts w:ascii="Arial" w:cs="Arial" w:eastAsia="Arial" w:hAnsi="Arial"/>
                <w:sz w:val="14"/>
                <w:szCs w:val="14"/>
                <w:b w:val="1"/>
                <w:bCs w:val="1"/>
                <w:color w:val="auto"/>
              </w:rPr>
              <w:t>Exercise</w:t>
            </w:r>
            <w:r>
              <w:rPr>
                <w:rFonts w:ascii="Arial" w:cs="Arial" w:eastAsia="Arial" w:hAnsi="Arial"/>
                <w:sz w:val="18"/>
                <w:szCs w:val="18"/>
                <w:b w:val="1"/>
                <w:bCs w:val="1"/>
                <w:color w:val="auto"/>
                <w:vertAlign w:val="superscript"/>
              </w:rPr>
              <w:t>(1)</w:t>
            </w:r>
          </w:p>
        </w:tc>
        <w:tc>
          <w:tcPr>
            <w:tcW w:w="2060" w:type="dxa"/>
            <w:vAlign w:val="bottom"/>
          </w:tcPr>
          <w:p>
            <w:pPr>
              <w:jc w:val="right"/>
              <w:ind w:right="488"/>
              <w:spacing w:after="0"/>
              <w:rPr>
                <w:sz w:val="20"/>
                <w:szCs w:val="20"/>
                <w:color w:val="auto"/>
              </w:rPr>
            </w:pPr>
            <w:r>
              <w:rPr>
                <w:rFonts w:ascii="Arial" w:cs="Arial" w:eastAsia="Arial" w:hAnsi="Arial"/>
                <w:sz w:val="14"/>
                <w:szCs w:val="14"/>
                <w:b w:val="1"/>
                <w:bCs w:val="1"/>
                <w:color w:val="auto"/>
              </w:rPr>
              <w:t>Vesting</w:t>
            </w:r>
          </w:p>
        </w:tc>
        <w:tc>
          <w:tcPr>
            <w:tcW w:w="940" w:type="dxa"/>
            <w:vAlign w:val="bottom"/>
          </w:tcPr>
          <w:p>
            <w:pPr>
              <w:jc w:val="right"/>
              <w:spacing w:after="0" w:line="191" w:lineRule="exact"/>
              <w:rPr>
                <w:sz w:val="20"/>
                <w:szCs w:val="20"/>
                <w:color w:val="auto"/>
              </w:rPr>
            </w:pPr>
            <w:r>
              <w:rPr>
                <w:rFonts w:ascii="Arial" w:cs="Arial" w:eastAsia="Arial" w:hAnsi="Arial"/>
                <w:sz w:val="14"/>
                <w:szCs w:val="14"/>
                <w:b w:val="1"/>
                <w:bCs w:val="1"/>
                <w:color w:val="auto"/>
              </w:rPr>
              <w:t>Vesting</w:t>
            </w:r>
            <w:r>
              <w:rPr>
                <w:rFonts w:ascii="Arial" w:cs="Arial" w:eastAsia="Arial" w:hAnsi="Arial"/>
                <w:sz w:val="18"/>
                <w:szCs w:val="18"/>
                <w:b w:val="1"/>
                <w:bCs w:val="1"/>
                <w:color w:val="auto"/>
                <w:vertAlign w:val="superscript"/>
              </w:rPr>
              <w:t>(2)</w:t>
            </w:r>
          </w:p>
        </w:tc>
      </w:tr>
      <w:tr>
        <w:trPr>
          <w:trHeight w:val="178"/>
        </w:trPr>
        <w:tc>
          <w:tcPr>
            <w:tcW w:w="284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Name</w:t>
            </w:r>
          </w:p>
        </w:tc>
        <w:tc>
          <w:tcPr>
            <w:tcW w:w="2140" w:type="dxa"/>
            <w:vAlign w:val="bottom"/>
            <w:tcBorders>
              <w:bottom w:val="single" w:sz="8" w:color="582C83"/>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582C83"/>
            </w:tcBorders>
          </w:tcPr>
          <w:p>
            <w:pPr>
              <w:spacing w:after="0"/>
              <w:rPr>
                <w:sz w:val="15"/>
                <w:szCs w:val="15"/>
                <w:color w:val="auto"/>
              </w:rPr>
            </w:pPr>
          </w:p>
        </w:tc>
        <w:tc>
          <w:tcPr>
            <w:tcW w:w="2060" w:type="dxa"/>
            <w:vAlign w:val="bottom"/>
            <w:tcBorders>
              <w:bottom w:val="single" w:sz="8" w:color="582C83"/>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15"/>
        </w:trPr>
        <w:tc>
          <w:tcPr>
            <w:tcW w:w="2840" w:type="dxa"/>
            <w:vAlign w:val="bottom"/>
            <w:tcBorders>
              <w:bottom w:val="single" w:sz="8" w:color="582C83"/>
            </w:tcBorders>
            <w:shd w:val="clear" w:color="auto" w:fill="E1DBEB"/>
          </w:tcPr>
          <w:p>
            <w:pPr>
              <w:ind w:left="60"/>
              <w:spacing w:after="0"/>
              <w:rPr>
                <w:sz w:val="20"/>
                <w:szCs w:val="20"/>
                <w:color w:val="auto"/>
              </w:rPr>
            </w:pPr>
            <w:r>
              <w:rPr>
                <w:rFonts w:ascii="Arial" w:cs="Arial" w:eastAsia="Arial" w:hAnsi="Arial"/>
                <w:sz w:val="14"/>
                <w:szCs w:val="14"/>
                <w:b w:val="1"/>
                <w:bCs w:val="1"/>
                <w:color w:val="auto"/>
              </w:rPr>
              <w:t>Van de Put, Dirk</w:t>
            </w:r>
          </w:p>
        </w:tc>
        <w:tc>
          <w:tcPr>
            <w:tcW w:w="2140" w:type="dxa"/>
            <w:vAlign w:val="bottom"/>
            <w:tcBorders>
              <w:bottom w:val="single" w:sz="8" w:color="582C83"/>
            </w:tcBorders>
            <w:shd w:val="clear" w:color="auto" w:fill="E1DBEB"/>
          </w:tcPr>
          <w:p>
            <w:pPr>
              <w:jc w:val="right"/>
              <w:ind w:right="5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82C83"/>
            </w:tcBorders>
            <w:gridSpan w:val="2"/>
            <w:shd w:val="clear" w:color="auto" w:fill="E1DBEB"/>
          </w:tcPr>
          <w:p>
            <w:pPr>
              <w:jc w:val="right"/>
              <w:ind w:right="200"/>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582C83"/>
            </w:tcBorders>
            <w:shd w:val="clear" w:color="auto" w:fill="E1DBEB"/>
          </w:tcPr>
          <w:p>
            <w:pPr>
              <w:jc w:val="right"/>
              <w:ind w:right="488"/>
              <w:spacing w:after="0"/>
              <w:rPr>
                <w:sz w:val="20"/>
                <w:szCs w:val="20"/>
                <w:color w:val="auto"/>
              </w:rPr>
            </w:pPr>
            <w:r>
              <w:rPr>
                <w:rFonts w:ascii="Arial" w:cs="Arial" w:eastAsia="Arial" w:hAnsi="Arial"/>
                <w:sz w:val="14"/>
                <w:szCs w:val="14"/>
                <w:color w:val="auto"/>
              </w:rPr>
              <w:t>158,019</w:t>
            </w:r>
          </w:p>
        </w:tc>
        <w:tc>
          <w:tcPr>
            <w:tcW w:w="940" w:type="dxa"/>
            <w:vAlign w:val="bottom"/>
            <w:tcBorders>
              <w:bottom w:val="single" w:sz="8" w:color="582C83"/>
            </w:tcBorders>
            <w:shd w:val="clear" w:color="auto" w:fill="E1DBEB"/>
          </w:tcPr>
          <w:p>
            <w:pPr>
              <w:jc w:val="right"/>
              <w:spacing w:after="0"/>
              <w:rPr>
                <w:sz w:val="20"/>
                <w:szCs w:val="20"/>
                <w:color w:val="auto"/>
              </w:rPr>
            </w:pPr>
            <w:r>
              <w:rPr>
                <w:rFonts w:ascii="Arial" w:cs="Arial" w:eastAsia="Arial" w:hAnsi="Arial"/>
                <w:sz w:val="14"/>
                <w:szCs w:val="14"/>
                <w:color w:val="auto"/>
              </w:rPr>
              <w:t>9,351,565</w:t>
            </w:r>
          </w:p>
        </w:tc>
      </w:tr>
      <w:tr>
        <w:trPr>
          <w:trHeight w:val="210"/>
        </w:trPr>
        <w:tc>
          <w:tcPr>
            <w:tcW w:w="284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Zaramella, Luca</w:t>
            </w:r>
          </w:p>
        </w:tc>
        <w:tc>
          <w:tcPr>
            <w:tcW w:w="2140" w:type="dxa"/>
            <w:vAlign w:val="bottom"/>
            <w:tcBorders>
              <w:bottom w:val="single" w:sz="8" w:color="582C83"/>
            </w:tcBorders>
          </w:tcPr>
          <w:p>
            <w:pPr>
              <w:jc w:val="right"/>
              <w:ind w:right="508"/>
              <w:spacing w:after="0"/>
              <w:rPr>
                <w:sz w:val="20"/>
                <w:szCs w:val="20"/>
                <w:color w:val="auto"/>
              </w:rPr>
            </w:pPr>
            <w:r>
              <w:rPr>
                <w:rFonts w:ascii="Arial" w:cs="Arial" w:eastAsia="Arial" w:hAnsi="Arial"/>
                <w:sz w:val="14"/>
                <w:szCs w:val="14"/>
                <w:color w:val="auto"/>
              </w:rPr>
              <w:t>24,410</w:t>
            </w:r>
          </w:p>
        </w:tc>
        <w:tc>
          <w:tcPr>
            <w:tcW w:w="92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624,652</w:t>
            </w:r>
          </w:p>
        </w:tc>
        <w:tc>
          <w:tcPr>
            <w:tcW w:w="140" w:type="dxa"/>
            <w:vAlign w:val="bottom"/>
            <w:tcBorders>
              <w:bottom w:val="single" w:sz="8" w:color="582C83"/>
            </w:tcBorders>
          </w:tcPr>
          <w:p>
            <w:pPr>
              <w:spacing w:after="0"/>
              <w:rPr>
                <w:sz w:val="18"/>
                <w:szCs w:val="18"/>
                <w:color w:val="auto"/>
              </w:rPr>
            </w:pPr>
          </w:p>
        </w:tc>
        <w:tc>
          <w:tcPr>
            <w:tcW w:w="2060" w:type="dxa"/>
            <w:vAlign w:val="bottom"/>
            <w:tcBorders>
              <w:bottom w:val="single" w:sz="8" w:color="582C83"/>
            </w:tcBorders>
          </w:tcPr>
          <w:p>
            <w:pPr>
              <w:jc w:val="right"/>
              <w:ind w:right="488"/>
              <w:spacing w:after="0"/>
              <w:rPr>
                <w:sz w:val="20"/>
                <w:szCs w:val="20"/>
                <w:color w:val="auto"/>
              </w:rPr>
            </w:pPr>
            <w:r>
              <w:rPr>
                <w:rFonts w:ascii="Arial" w:cs="Arial" w:eastAsia="Arial" w:hAnsi="Arial"/>
                <w:sz w:val="14"/>
                <w:szCs w:val="14"/>
                <w:color w:val="auto"/>
              </w:rPr>
              <w:t>58,528</w:t>
            </w:r>
          </w:p>
        </w:tc>
        <w:tc>
          <w:tcPr>
            <w:tcW w:w="94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3,463,687</w:t>
            </w:r>
          </w:p>
        </w:tc>
      </w:tr>
      <w:tr>
        <w:trPr>
          <w:trHeight w:val="210"/>
        </w:trPr>
        <w:tc>
          <w:tcPr>
            <w:tcW w:w="2840" w:type="dxa"/>
            <w:vAlign w:val="bottom"/>
            <w:tcBorders>
              <w:bottom w:val="single" w:sz="8" w:color="582C83"/>
            </w:tcBorders>
            <w:shd w:val="clear" w:color="auto" w:fill="E1DBEB"/>
          </w:tcPr>
          <w:p>
            <w:pPr>
              <w:ind w:left="60"/>
              <w:spacing w:after="0"/>
              <w:rPr>
                <w:sz w:val="20"/>
                <w:szCs w:val="20"/>
                <w:color w:val="auto"/>
              </w:rPr>
            </w:pPr>
            <w:r>
              <w:rPr>
                <w:rFonts w:ascii="Arial" w:cs="Arial" w:eastAsia="Arial" w:hAnsi="Arial"/>
                <w:sz w:val="14"/>
                <w:szCs w:val="14"/>
                <w:b w:val="1"/>
                <w:bCs w:val="1"/>
                <w:color w:val="auto"/>
              </w:rPr>
              <w:t>Kuhn, Volker</w:t>
            </w:r>
          </w:p>
        </w:tc>
        <w:tc>
          <w:tcPr>
            <w:tcW w:w="2140" w:type="dxa"/>
            <w:vAlign w:val="bottom"/>
            <w:tcBorders>
              <w:bottom w:val="single" w:sz="8" w:color="582C83"/>
            </w:tcBorders>
            <w:shd w:val="clear" w:color="auto" w:fill="E1DBEB"/>
          </w:tcPr>
          <w:p>
            <w:pPr>
              <w:jc w:val="right"/>
              <w:ind w:right="5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82C83"/>
            </w:tcBorders>
            <w:gridSpan w:val="2"/>
            <w:shd w:val="clear" w:color="auto" w:fill="E1DBEB"/>
          </w:tcPr>
          <w:p>
            <w:pPr>
              <w:jc w:val="right"/>
              <w:ind w:right="200"/>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582C83"/>
            </w:tcBorders>
            <w:shd w:val="clear" w:color="auto" w:fill="E1DBEB"/>
          </w:tcPr>
          <w:p>
            <w:pPr>
              <w:jc w:val="right"/>
              <w:ind w:right="4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582C83"/>
            </w:tcBorders>
            <w:shd w:val="clear" w:color="auto" w:fill="E1DBEB"/>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284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Valle, Gustavo</w:t>
            </w:r>
          </w:p>
        </w:tc>
        <w:tc>
          <w:tcPr>
            <w:tcW w:w="2140" w:type="dxa"/>
            <w:vAlign w:val="bottom"/>
            <w:tcBorders>
              <w:bottom w:val="single" w:sz="8" w:color="582C83"/>
            </w:tcBorders>
          </w:tcPr>
          <w:p>
            <w:pPr>
              <w:jc w:val="right"/>
              <w:ind w:right="5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82C83"/>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582C83"/>
            </w:tcBorders>
          </w:tcPr>
          <w:p>
            <w:pPr>
              <w:jc w:val="right"/>
              <w:ind w:right="488"/>
              <w:spacing w:after="0"/>
              <w:rPr>
                <w:sz w:val="20"/>
                <w:szCs w:val="20"/>
                <w:color w:val="auto"/>
              </w:rPr>
            </w:pPr>
            <w:r>
              <w:rPr>
                <w:rFonts w:ascii="Arial" w:cs="Arial" w:eastAsia="Arial" w:hAnsi="Arial"/>
                <w:sz w:val="14"/>
                <w:szCs w:val="14"/>
                <w:color w:val="auto"/>
              </w:rPr>
              <w:t>26,928</w:t>
            </w:r>
          </w:p>
        </w:tc>
        <w:tc>
          <w:tcPr>
            <w:tcW w:w="94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1,593,599</w:t>
            </w:r>
          </w:p>
        </w:tc>
      </w:tr>
      <w:tr>
        <w:trPr>
          <w:trHeight w:val="209"/>
        </w:trPr>
        <w:tc>
          <w:tcPr>
            <w:tcW w:w="2840" w:type="dxa"/>
            <w:vAlign w:val="bottom"/>
            <w:tcBorders>
              <w:bottom w:val="single" w:sz="8" w:color="582C83"/>
            </w:tcBorders>
            <w:shd w:val="clear" w:color="auto" w:fill="E1DBEB"/>
          </w:tcPr>
          <w:p>
            <w:pPr>
              <w:ind w:left="60"/>
              <w:spacing w:after="0"/>
              <w:rPr>
                <w:sz w:val="20"/>
                <w:szCs w:val="20"/>
                <w:color w:val="auto"/>
              </w:rPr>
            </w:pPr>
            <w:r>
              <w:rPr>
                <w:rFonts w:ascii="Arial" w:cs="Arial" w:eastAsia="Arial" w:hAnsi="Arial"/>
                <w:sz w:val="14"/>
                <w:szCs w:val="14"/>
                <w:b w:val="1"/>
                <w:bCs w:val="1"/>
                <w:color w:val="auto"/>
              </w:rPr>
              <w:t>Renaud, Martin</w:t>
            </w:r>
          </w:p>
        </w:tc>
        <w:tc>
          <w:tcPr>
            <w:tcW w:w="2140" w:type="dxa"/>
            <w:vAlign w:val="bottom"/>
            <w:tcBorders>
              <w:bottom w:val="single" w:sz="8" w:color="582C83"/>
            </w:tcBorders>
            <w:shd w:val="clear" w:color="auto" w:fill="E1DBEB"/>
          </w:tcPr>
          <w:p>
            <w:pPr>
              <w:jc w:val="right"/>
              <w:ind w:right="5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582C83"/>
            </w:tcBorders>
            <w:gridSpan w:val="2"/>
            <w:shd w:val="clear" w:color="auto" w:fill="E1DBEB"/>
          </w:tcPr>
          <w:p>
            <w:pPr>
              <w:jc w:val="right"/>
              <w:ind w:right="200"/>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582C83"/>
            </w:tcBorders>
            <w:shd w:val="clear" w:color="auto" w:fill="E1DBEB"/>
          </w:tcPr>
          <w:p>
            <w:pPr>
              <w:jc w:val="right"/>
              <w:ind w:right="488"/>
              <w:spacing w:after="0"/>
              <w:rPr>
                <w:sz w:val="20"/>
                <w:szCs w:val="20"/>
                <w:color w:val="auto"/>
              </w:rPr>
            </w:pPr>
            <w:r>
              <w:rPr>
                <w:rFonts w:ascii="Arial" w:cs="Arial" w:eastAsia="Arial" w:hAnsi="Arial"/>
                <w:sz w:val="14"/>
                <w:szCs w:val="14"/>
                <w:color w:val="auto"/>
              </w:rPr>
              <w:t>23,409</w:t>
            </w:r>
          </w:p>
        </w:tc>
        <w:tc>
          <w:tcPr>
            <w:tcW w:w="940" w:type="dxa"/>
            <w:vAlign w:val="bottom"/>
            <w:tcBorders>
              <w:bottom w:val="single" w:sz="8" w:color="582C83"/>
            </w:tcBorders>
            <w:shd w:val="clear" w:color="auto" w:fill="E1DBEB"/>
          </w:tcPr>
          <w:p>
            <w:pPr>
              <w:jc w:val="right"/>
              <w:spacing w:after="0"/>
              <w:rPr>
                <w:sz w:val="20"/>
                <w:szCs w:val="20"/>
                <w:color w:val="auto"/>
              </w:rPr>
            </w:pPr>
            <w:r>
              <w:rPr>
                <w:rFonts w:ascii="Arial" w:cs="Arial" w:eastAsia="Arial" w:hAnsi="Arial"/>
                <w:sz w:val="14"/>
                <w:szCs w:val="14"/>
                <w:color w:val="auto"/>
              </w:rPr>
              <w:t>1,385,344</w:t>
            </w:r>
          </w:p>
        </w:tc>
      </w:tr>
    </w:tbl>
    <w:p>
      <w:pPr>
        <w:spacing w:after="0" w:line="36" w:lineRule="exact"/>
        <w:rPr>
          <w:sz w:val="20"/>
          <w:szCs w:val="20"/>
          <w:color w:val="auto"/>
        </w:rPr>
      </w:pPr>
    </w:p>
    <w:p>
      <w:pPr>
        <w:ind w:left="260" w:hanging="253"/>
        <w:spacing w:after="0"/>
        <w:tabs>
          <w:tab w:leader="none" w:pos="26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Amounts shown are calculated based on the fair market value of the Common Stock on the date of exercise.</w:t>
      </w:r>
    </w:p>
    <w:p>
      <w:pPr>
        <w:spacing w:after="0" w:line="16" w:lineRule="exact"/>
        <w:rPr>
          <w:rFonts w:ascii="Arial" w:cs="Arial" w:eastAsia="Arial" w:hAnsi="Arial"/>
          <w:sz w:val="13"/>
          <w:szCs w:val="13"/>
          <w:color w:val="auto"/>
        </w:rPr>
      </w:pPr>
    </w:p>
    <w:p>
      <w:pPr>
        <w:ind w:left="260" w:right="140" w:hanging="253"/>
        <w:spacing w:after="0" w:line="289" w:lineRule="auto"/>
        <w:tabs>
          <w:tab w:leader="none" w:pos="26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Amounts shown are calculated based on the fair market value of the Common Stock on the date of vesting and include the value of shares earned for the 2023-2025 PSUs based on actual performance for the cycle, which ended on December 31, 2025, and the December 31, 2025 closing price of $53.83. The amounts also include accrued dividend equivalents for the PSUs based on the actual number of shares earned for the 2023-2025 performance cycle</w:t>
      </w:r>
    </w:p>
    <w:p>
      <w:pPr>
        <w:spacing w:after="0" w:line="1"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3"/>
          <w:szCs w:val="13"/>
          <w:color w:val="auto"/>
        </w:rPr>
        <w:t>as follows:</w:t>
      </w:r>
    </w:p>
    <w:p>
      <w:pPr>
        <w:spacing w:after="0" w:line="12" w:lineRule="exact"/>
        <w:rPr>
          <w:rFonts w:ascii="Arial" w:cs="Arial" w:eastAsia="Arial" w:hAnsi="Arial"/>
          <w:sz w:val="12"/>
          <w:szCs w:val="12"/>
          <w:color w:val="auto"/>
        </w:rPr>
      </w:pPr>
    </w:p>
    <w:p>
      <w:pPr>
        <w:ind w:left="460" w:hanging="194"/>
        <w:spacing w:after="0"/>
        <w:tabs>
          <w:tab w:leader="none" w:pos="460" w:val="left"/>
        </w:tabs>
        <w:numPr>
          <w:ilvl w:val="1"/>
          <w:numId w:val="102"/>
        </w:numPr>
        <w:rPr>
          <w:rFonts w:ascii="Arial" w:cs="Arial" w:eastAsia="Arial" w:hAnsi="Arial"/>
          <w:sz w:val="13"/>
          <w:szCs w:val="13"/>
          <w:color w:val="582C83"/>
        </w:rPr>
      </w:pPr>
      <w:r>
        <w:rPr>
          <w:rFonts w:ascii="Arial" w:cs="Arial" w:eastAsia="Arial" w:hAnsi="Arial"/>
          <w:sz w:val="13"/>
          <w:szCs w:val="13"/>
          <w:color w:val="auto"/>
        </w:rPr>
        <w:t>Mr. Van de Put: $845,402</w:t>
      </w:r>
    </w:p>
    <w:p>
      <w:pPr>
        <w:spacing w:after="0" w:line="12" w:lineRule="exact"/>
        <w:rPr>
          <w:rFonts w:ascii="Arial" w:cs="Arial" w:eastAsia="Arial" w:hAnsi="Arial"/>
          <w:sz w:val="13"/>
          <w:szCs w:val="13"/>
          <w:color w:val="582C83"/>
        </w:rPr>
      </w:pPr>
    </w:p>
    <w:p>
      <w:pPr>
        <w:ind w:left="460" w:hanging="194"/>
        <w:spacing w:after="0"/>
        <w:tabs>
          <w:tab w:leader="none" w:pos="460" w:val="left"/>
        </w:tabs>
        <w:numPr>
          <w:ilvl w:val="1"/>
          <w:numId w:val="102"/>
        </w:numPr>
        <w:rPr>
          <w:rFonts w:ascii="Arial" w:cs="Arial" w:eastAsia="Arial" w:hAnsi="Arial"/>
          <w:sz w:val="13"/>
          <w:szCs w:val="13"/>
          <w:color w:val="582C83"/>
        </w:rPr>
      </w:pPr>
      <w:r>
        <w:rPr>
          <w:rFonts w:ascii="Arial" w:cs="Arial" w:eastAsia="Arial" w:hAnsi="Arial"/>
          <w:sz w:val="13"/>
          <w:szCs w:val="13"/>
          <w:color w:val="auto"/>
        </w:rPr>
        <w:t>Mr. Zaramella: $313,125</w:t>
      </w:r>
    </w:p>
    <w:p>
      <w:pPr>
        <w:spacing w:after="0" w:line="12" w:lineRule="exact"/>
        <w:rPr>
          <w:rFonts w:ascii="Arial" w:cs="Arial" w:eastAsia="Arial" w:hAnsi="Arial"/>
          <w:sz w:val="13"/>
          <w:szCs w:val="13"/>
          <w:color w:val="582C83"/>
        </w:rPr>
      </w:pPr>
    </w:p>
    <w:p>
      <w:pPr>
        <w:ind w:left="460" w:hanging="194"/>
        <w:spacing w:after="0"/>
        <w:tabs>
          <w:tab w:leader="none" w:pos="460" w:val="left"/>
        </w:tabs>
        <w:numPr>
          <w:ilvl w:val="1"/>
          <w:numId w:val="102"/>
        </w:numPr>
        <w:rPr>
          <w:rFonts w:ascii="Arial" w:cs="Arial" w:eastAsia="Arial" w:hAnsi="Arial"/>
          <w:sz w:val="13"/>
          <w:szCs w:val="13"/>
          <w:color w:val="582C83"/>
        </w:rPr>
      </w:pPr>
      <w:r>
        <w:rPr>
          <w:rFonts w:ascii="Arial" w:cs="Arial" w:eastAsia="Arial" w:hAnsi="Arial"/>
          <w:sz w:val="13"/>
          <w:szCs w:val="13"/>
          <w:color w:val="auto"/>
        </w:rPr>
        <w:t>Mr. Valle: $144,065</w:t>
      </w:r>
    </w:p>
    <w:p>
      <w:pPr>
        <w:spacing w:after="0" w:line="12" w:lineRule="exact"/>
        <w:rPr>
          <w:rFonts w:ascii="Arial" w:cs="Arial" w:eastAsia="Arial" w:hAnsi="Arial"/>
          <w:sz w:val="13"/>
          <w:szCs w:val="13"/>
          <w:color w:val="582C83"/>
        </w:rPr>
      </w:pPr>
    </w:p>
    <w:p>
      <w:pPr>
        <w:ind w:left="460" w:hanging="194"/>
        <w:spacing w:after="0"/>
        <w:tabs>
          <w:tab w:leader="none" w:pos="460" w:val="left"/>
        </w:tabs>
        <w:numPr>
          <w:ilvl w:val="1"/>
          <w:numId w:val="102"/>
        </w:numPr>
        <w:rPr>
          <w:rFonts w:ascii="Arial" w:cs="Arial" w:eastAsia="Arial" w:hAnsi="Arial"/>
          <w:sz w:val="13"/>
          <w:szCs w:val="13"/>
          <w:color w:val="582C83"/>
        </w:rPr>
      </w:pPr>
      <w:r>
        <w:rPr>
          <w:rFonts w:ascii="Arial" w:cs="Arial" w:eastAsia="Arial" w:hAnsi="Arial"/>
          <w:sz w:val="13"/>
          <w:szCs w:val="13"/>
          <w:color w:val="auto"/>
        </w:rPr>
        <w:t>Mr. Renaud: $125,238</w:t>
      </w:r>
    </w:p>
    <w:p>
      <w:pPr>
        <w:sectPr>
          <w:pgSz w:w="11900" w:h="16838" w:orient="portrait"/>
          <w:cols w:equalWidth="0" w:num="1">
            <w:col w:w="9040"/>
          </w:cols>
          <w:pgMar w:left="1420" w:top="84" w:right="1439" w:bottom="365"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2650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10375" cy="226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168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10375" cy="8168640"/>
                    </a:xfrm>
                    <a:prstGeom prst="rect">
                      <a:avLst/>
                    </a:prstGeom>
                    <a:noFill/>
                  </pic:spPr>
                </pic:pic>
              </a:graphicData>
            </a:graphic>
          </wp:anchor>
        </w:drawing>
      </w:r>
    </w:p>
    <w:p>
      <w:pPr>
        <w:sectPr>
          <w:pgSz w:w="11900" w:h="16838" w:orient="portrait"/>
          <w:cols w:equalWidth="0" w:num="1">
            <w:col w:w="9040"/>
          </w:cols>
          <w:pgMar w:left="1420" w:top="1440" w:right="1439" w:bottom="9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EXECUTIVE COMPENSATION TABLES</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2025 Pension Benefits</w:t>
      </w: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2025 PENSION BENEFITS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40" w:type="dxa"/>
            <w:vAlign w:val="bottom"/>
          </w:tcPr>
          <w:p>
            <w:pPr>
              <w:jc w:val="right"/>
              <w:ind w:right="148"/>
              <w:spacing w:after="0"/>
              <w:rPr>
                <w:sz w:val="20"/>
                <w:szCs w:val="20"/>
                <w:color w:val="auto"/>
              </w:rPr>
            </w:pPr>
            <w:r>
              <w:rPr>
                <w:rFonts w:ascii="Arial" w:cs="Arial" w:eastAsia="Arial" w:hAnsi="Arial"/>
                <w:sz w:val="14"/>
                <w:szCs w:val="14"/>
                <w:b w:val="1"/>
                <w:bCs w:val="1"/>
                <w:color w:val="auto"/>
              </w:rPr>
              <w:t>Present Value of</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4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720" w:type="dxa"/>
            <w:vAlign w:val="bottom"/>
          </w:tcPr>
          <w:p>
            <w:pPr>
              <w:jc w:val="right"/>
              <w:ind w:right="128"/>
              <w:spacing w:after="0" w:line="159" w:lineRule="exact"/>
              <w:rPr>
                <w:sz w:val="20"/>
                <w:szCs w:val="20"/>
                <w:color w:val="auto"/>
              </w:rPr>
            </w:pPr>
            <w:r>
              <w:rPr>
                <w:rFonts w:ascii="Arial" w:cs="Arial" w:eastAsia="Arial" w:hAnsi="Arial"/>
                <w:sz w:val="14"/>
                <w:szCs w:val="14"/>
                <w:b w:val="1"/>
                <w:bCs w:val="1"/>
                <w:color w:val="auto"/>
              </w:rPr>
              <w:t>Number of Years of</w:t>
            </w:r>
          </w:p>
        </w:tc>
        <w:tc>
          <w:tcPr>
            <w:tcW w:w="1540" w:type="dxa"/>
            <w:vAlign w:val="bottom"/>
          </w:tcPr>
          <w:p>
            <w:pPr>
              <w:jc w:val="right"/>
              <w:ind w:right="128"/>
              <w:spacing w:after="0" w:line="159" w:lineRule="exact"/>
              <w:rPr>
                <w:sz w:val="20"/>
                <w:szCs w:val="20"/>
                <w:color w:val="auto"/>
              </w:rPr>
            </w:pPr>
            <w:r>
              <w:rPr>
                <w:rFonts w:ascii="Arial" w:cs="Arial" w:eastAsia="Arial" w:hAnsi="Arial"/>
                <w:sz w:val="14"/>
                <w:szCs w:val="14"/>
                <w:b w:val="1"/>
                <w:bCs w:val="1"/>
                <w:color w:val="auto"/>
              </w:rPr>
              <w:t>Accumulated</w:t>
            </w:r>
          </w:p>
        </w:tc>
        <w:tc>
          <w:tcPr>
            <w:tcW w:w="1420" w:type="dxa"/>
            <w:vAlign w:val="bottom"/>
          </w:tcPr>
          <w:p>
            <w:pPr>
              <w:ind w:left="180"/>
              <w:spacing w:after="0" w:line="159" w:lineRule="exact"/>
              <w:rPr>
                <w:sz w:val="20"/>
                <w:szCs w:val="20"/>
                <w:color w:val="auto"/>
              </w:rPr>
            </w:pPr>
            <w:r>
              <w:rPr>
                <w:rFonts w:ascii="Arial" w:cs="Arial" w:eastAsia="Arial" w:hAnsi="Arial"/>
                <w:sz w:val="14"/>
                <w:szCs w:val="14"/>
                <w:b w:val="1"/>
                <w:bCs w:val="1"/>
                <w:color w:val="auto"/>
              </w:rPr>
              <w:t>Payments During</w:t>
            </w:r>
          </w:p>
        </w:tc>
        <w:tc>
          <w:tcPr>
            <w:tcW w:w="0" w:type="dxa"/>
            <w:vAlign w:val="bottom"/>
          </w:tcPr>
          <w:p>
            <w:pPr>
              <w:spacing w:after="0"/>
              <w:rPr>
                <w:sz w:val="1"/>
                <w:szCs w:val="1"/>
                <w:color w:val="auto"/>
              </w:rPr>
            </w:pPr>
          </w:p>
        </w:tc>
      </w:tr>
      <w:tr>
        <w:trPr>
          <w:trHeight w:val="191"/>
        </w:trPr>
        <w:tc>
          <w:tcPr>
            <w:tcW w:w="14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18"/>
                <w:szCs w:val="18"/>
                <w:b w:val="1"/>
                <w:bCs w:val="1"/>
                <w:color w:val="auto"/>
                <w:vertAlign w:val="superscript"/>
              </w:rPr>
              <w:t>(1)</w:t>
            </w:r>
          </w:p>
        </w:tc>
        <w:tc>
          <w:tcPr>
            <w:tcW w:w="2960" w:type="dxa"/>
            <w:vAlign w:val="bottom"/>
          </w:tcPr>
          <w:p>
            <w:pPr>
              <w:spacing w:after="0"/>
              <w:rPr>
                <w:sz w:val="16"/>
                <w:szCs w:val="16"/>
                <w:color w:val="auto"/>
              </w:rPr>
            </w:pPr>
          </w:p>
        </w:tc>
        <w:tc>
          <w:tcPr>
            <w:tcW w:w="1720" w:type="dxa"/>
            <w:vAlign w:val="bottom"/>
          </w:tcPr>
          <w:p>
            <w:pPr>
              <w:jc w:val="right"/>
              <w:ind w:right="128"/>
              <w:spacing w:after="0" w:line="191" w:lineRule="exact"/>
              <w:rPr>
                <w:sz w:val="20"/>
                <w:szCs w:val="20"/>
                <w:color w:val="auto"/>
              </w:rPr>
            </w:pPr>
            <w:r>
              <w:rPr>
                <w:rFonts w:ascii="Arial" w:cs="Arial" w:eastAsia="Arial" w:hAnsi="Arial"/>
                <w:sz w:val="14"/>
                <w:szCs w:val="14"/>
                <w:b w:val="1"/>
                <w:bCs w:val="1"/>
                <w:color w:val="auto"/>
              </w:rPr>
              <w:t>Credited Service</w:t>
            </w:r>
            <w:r>
              <w:rPr>
                <w:rFonts w:ascii="Arial" w:cs="Arial" w:eastAsia="Arial" w:hAnsi="Arial"/>
                <w:sz w:val="18"/>
                <w:szCs w:val="18"/>
                <w:b w:val="1"/>
                <w:bCs w:val="1"/>
                <w:color w:val="auto"/>
                <w:vertAlign w:val="superscript"/>
              </w:rPr>
              <w:t>(2)</w:t>
            </w:r>
          </w:p>
        </w:tc>
        <w:tc>
          <w:tcPr>
            <w:tcW w:w="1540" w:type="dxa"/>
            <w:vAlign w:val="bottom"/>
          </w:tcPr>
          <w:p>
            <w:pPr>
              <w:jc w:val="right"/>
              <w:ind w:right="128"/>
              <w:spacing w:after="0" w:line="191" w:lineRule="exact"/>
              <w:rPr>
                <w:sz w:val="20"/>
                <w:szCs w:val="20"/>
                <w:color w:val="auto"/>
              </w:rPr>
            </w:pPr>
            <w:r>
              <w:rPr>
                <w:rFonts w:ascii="Arial" w:cs="Arial" w:eastAsia="Arial" w:hAnsi="Arial"/>
                <w:sz w:val="14"/>
                <w:szCs w:val="14"/>
                <w:b w:val="1"/>
                <w:bCs w:val="1"/>
                <w:color w:val="auto"/>
              </w:rPr>
              <w:t>Benefits</w:t>
            </w:r>
            <w:r>
              <w:rPr>
                <w:rFonts w:ascii="Arial" w:cs="Arial" w:eastAsia="Arial" w:hAnsi="Arial"/>
                <w:sz w:val="18"/>
                <w:szCs w:val="18"/>
                <w:b w:val="1"/>
                <w:bCs w:val="1"/>
                <w:color w:val="auto"/>
                <w:vertAlign w:val="superscript"/>
              </w:rPr>
              <w:t>(3)</w:t>
            </w:r>
          </w:p>
        </w:tc>
        <w:tc>
          <w:tcPr>
            <w:tcW w:w="1420" w:type="dxa"/>
            <w:vAlign w:val="bottom"/>
          </w:tcPr>
          <w:p>
            <w:pPr>
              <w:ind w:left="280"/>
              <w:spacing w:after="0"/>
              <w:rPr>
                <w:sz w:val="20"/>
                <w:szCs w:val="20"/>
                <w:color w:val="auto"/>
              </w:rPr>
            </w:pPr>
            <w:r>
              <w:rPr>
                <w:rFonts w:ascii="Arial" w:cs="Arial" w:eastAsia="Arial" w:hAnsi="Arial"/>
                <w:sz w:val="14"/>
                <w:szCs w:val="14"/>
                <w:b w:val="1"/>
                <w:bCs w:val="1"/>
                <w:color w:val="auto"/>
              </w:rPr>
              <w:t>Last Fiscal Year</w:t>
            </w:r>
          </w:p>
        </w:tc>
        <w:tc>
          <w:tcPr>
            <w:tcW w:w="0" w:type="dxa"/>
            <w:vAlign w:val="bottom"/>
          </w:tcPr>
          <w:p>
            <w:pPr>
              <w:spacing w:after="0"/>
              <w:rPr>
                <w:sz w:val="1"/>
                <w:szCs w:val="1"/>
                <w:color w:val="auto"/>
              </w:rPr>
            </w:pPr>
          </w:p>
        </w:tc>
      </w:tr>
      <w:tr>
        <w:trPr>
          <w:trHeight w:val="165"/>
        </w:trPr>
        <w:tc>
          <w:tcPr>
            <w:tcW w:w="1400" w:type="dxa"/>
            <w:vAlign w:val="bottom"/>
            <w:tcBorders>
              <w:bottom w:val="single" w:sz="8" w:color="582C83"/>
            </w:tcBorders>
            <w:vMerge w:val="continue"/>
          </w:tcPr>
          <w:p>
            <w:pPr>
              <w:spacing w:after="0"/>
              <w:rPr>
                <w:sz w:val="14"/>
                <w:szCs w:val="14"/>
                <w:color w:val="auto"/>
              </w:rPr>
            </w:pPr>
          </w:p>
        </w:tc>
        <w:tc>
          <w:tcPr>
            <w:tcW w:w="2960" w:type="dxa"/>
            <w:vAlign w:val="bottom"/>
            <w:tcBorders>
              <w:bottom w:val="single" w:sz="8" w:color="582C83"/>
            </w:tcBorders>
          </w:tcPr>
          <w:p>
            <w:pPr>
              <w:jc w:val="right"/>
              <w:ind w:right="108"/>
              <w:spacing w:after="0" w:line="158" w:lineRule="exact"/>
              <w:rPr>
                <w:sz w:val="20"/>
                <w:szCs w:val="20"/>
                <w:color w:val="auto"/>
              </w:rPr>
            </w:pPr>
            <w:r>
              <w:rPr>
                <w:rFonts w:ascii="Arial" w:cs="Arial" w:eastAsia="Arial" w:hAnsi="Arial"/>
                <w:sz w:val="14"/>
                <w:szCs w:val="14"/>
                <w:b w:val="1"/>
                <w:bCs w:val="1"/>
                <w:color w:val="auto"/>
              </w:rPr>
              <w:t>Plan Name</w:t>
            </w:r>
          </w:p>
        </w:tc>
        <w:tc>
          <w:tcPr>
            <w:tcW w:w="1720" w:type="dxa"/>
            <w:vAlign w:val="bottom"/>
            <w:tcBorders>
              <w:bottom w:val="single" w:sz="8" w:color="582C83"/>
            </w:tcBorders>
          </w:tcPr>
          <w:p>
            <w:pPr>
              <w:jc w:val="right"/>
              <w:ind w:right="128"/>
              <w:spacing w:after="0" w:line="158" w:lineRule="exact"/>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582C83"/>
            </w:tcBorders>
          </w:tcPr>
          <w:p>
            <w:pPr>
              <w:jc w:val="right"/>
              <w:ind w:right="128"/>
              <w:spacing w:after="0" w:line="158" w:lineRule="exact"/>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582C83"/>
            </w:tcBorders>
          </w:tcPr>
          <w:p>
            <w:pPr>
              <w:jc w:val="right"/>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1400" w:type="dxa"/>
            <w:vAlign w:val="bottom"/>
            <w:tcBorders>
              <w:bottom w:val="single" w:sz="8" w:color="582C83"/>
            </w:tcBorders>
            <w:shd w:val="clear" w:color="auto" w:fill="E1DBEB"/>
          </w:tcPr>
          <w:p>
            <w:pPr>
              <w:ind w:left="60"/>
              <w:spacing w:after="0"/>
              <w:rPr>
                <w:sz w:val="20"/>
                <w:szCs w:val="20"/>
                <w:color w:val="auto"/>
              </w:rPr>
            </w:pPr>
            <w:r>
              <w:rPr>
                <w:rFonts w:ascii="Arial" w:cs="Arial" w:eastAsia="Arial" w:hAnsi="Arial"/>
                <w:sz w:val="14"/>
                <w:szCs w:val="14"/>
                <w:b w:val="1"/>
                <w:bCs w:val="1"/>
                <w:color w:val="auto"/>
              </w:rPr>
              <w:t>Kuhn, Volker</w:t>
            </w:r>
          </w:p>
        </w:tc>
        <w:tc>
          <w:tcPr>
            <w:tcW w:w="2960" w:type="dxa"/>
            <w:vAlign w:val="bottom"/>
            <w:tcBorders>
              <w:bottom w:val="single" w:sz="8" w:color="582C83"/>
            </w:tcBorders>
            <w:shd w:val="clear" w:color="auto" w:fill="E1DBEB"/>
          </w:tcPr>
          <w:p>
            <w:pPr>
              <w:jc w:val="right"/>
              <w:ind w:right="108"/>
              <w:spacing w:after="0"/>
              <w:rPr>
                <w:sz w:val="20"/>
                <w:szCs w:val="20"/>
                <w:color w:val="auto"/>
              </w:rPr>
            </w:pPr>
            <w:r>
              <w:rPr>
                <w:rFonts w:ascii="Arial" w:cs="Arial" w:eastAsia="Arial" w:hAnsi="Arial"/>
                <w:sz w:val="14"/>
                <w:szCs w:val="14"/>
                <w:color w:val="auto"/>
              </w:rPr>
              <w:t>Pension Fund Mondelēz Switzerland</w:t>
            </w:r>
          </w:p>
        </w:tc>
        <w:tc>
          <w:tcPr>
            <w:tcW w:w="1720" w:type="dxa"/>
            <w:vAlign w:val="bottom"/>
            <w:tcBorders>
              <w:bottom w:val="single" w:sz="8" w:color="582C83"/>
            </w:tcBorders>
            <w:shd w:val="clear" w:color="auto" w:fill="E1DBEB"/>
          </w:tcPr>
          <w:p>
            <w:pPr>
              <w:jc w:val="right"/>
              <w:ind w:right="128"/>
              <w:spacing w:after="0"/>
              <w:rPr>
                <w:sz w:val="20"/>
                <w:szCs w:val="20"/>
                <w:color w:val="auto"/>
              </w:rPr>
            </w:pPr>
            <w:r>
              <w:rPr>
                <w:rFonts w:ascii="Arial" w:cs="Arial" w:eastAsia="Arial" w:hAnsi="Arial"/>
                <w:sz w:val="14"/>
                <w:szCs w:val="14"/>
                <w:color w:val="auto"/>
              </w:rPr>
              <w:t>1</w:t>
            </w:r>
          </w:p>
        </w:tc>
        <w:tc>
          <w:tcPr>
            <w:tcW w:w="1540" w:type="dxa"/>
            <w:vAlign w:val="bottom"/>
            <w:tcBorders>
              <w:bottom w:val="single" w:sz="8" w:color="582C83"/>
            </w:tcBorders>
            <w:shd w:val="clear" w:color="auto" w:fill="E1DBEB"/>
          </w:tcPr>
          <w:p>
            <w:pPr>
              <w:jc w:val="right"/>
              <w:ind w:right="148"/>
              <w:spacing w:after="0"/>
              <w:rPr>
                <w:sz w:val="20"/>
                <w:szCs w:val="20"/>
                <w:color w:val="auto"/>
              </w:rPr>
            </w:pPr>
            <w:r>
              <w:rPr>
                <w:rFonts w:ascii="Arial" w:cs="Arial" w:eastAsia="Arial" w:hAnsi="Arial"/>
                <w:sz w:val="14"/>
                <w:szCs w:val="14"/>
                <w:color w:val="auto"/>
              </w:rPr>
              <w:t>9,237,831</w:t>
            </w:r>
          </w:p>
        </w:tc>
        <w:tc>
          <w:tcPr>
            <w:tcW w:w="1420" w:type="dxa"/>
            <w:vAlign w:val="bottom"/>
            <w:tcBorders>
              <w:bottom w:val="single" w:sz="8" w:color="582C83"/>
            </w:tcBorders>
            <w:shd w:val="clear" w:color="auto" w:fill="E1DBEB"/>
          </w:tcPr>
          <w:p>
            <w:pPr>
              <w:jc w:val="center"/>
              <w:ind w:left="10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60" w:hanging="253"/>
        <w:spacing w:after="0" w:line="270" w:lineRule="auto"/>
        <w:tabs>
          <w:tab w:leader="none" w:pos="2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No U.S.-based salaried employee hired after 2008 or localized to the United States after 2015 is eligible to participate in the Mondelēz Global LLC Retirement Plan. Therefore, no amounts are shown for the other NEOs.</w:t>
      </w:r>
    </w:p>
    <w:p>
      <w:pPr>
        <w:spacing w:after="0" w:line="1" w:lineRule="exact"/>
        <w:rPr>
          <w:rFonts w:ascii="Arial" w:cs="Arial" w:eastAsia="Arial" w:hAnsi="Arial"/>
          <w:sz w:val="13"/>
          <w:szCs w:val="13"/>
          <w:color w:val="auto"/>
        </w:rPr>
      </w:pPr>
    </w:p>
    <w:p>
      <w:pPr>
        <w:ind w:left="260" w:hanging="253"/>
        <w:spacing w:after="0"/>
        <w:tabs>
          <w:tab w:leader="none" w:pos="2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The years of credited service under the plan are equivalent to Mr. Kuhn’s years of total service.</w:t>
      </w:r>
    </w:p>
    <w:p>
      <w:pPr>
        <w:spacing w:after="0" w:line="16" w:lineRule="exact"/>
        <w:rPr>
          <w:rFonts w:ascii="Arial" w:cs="Arial" w:eastAsia="Arial" w:hAnsi="Arial"/>
          <w:sz w:val="13"/>
          <w:szCs w:val="13"/>
          <w:color w:val="auto"/>
        </w:rPr>
      </w:pPr>
    </w:p>
    <w:p>
      <w:pPr>
        <w:ind w:left="260" w:right="240" w:hanging="253"/>
        <w:spacing w:after="0" w:line="162" w:lineRule="exact"/>
        <w:tabs>
          <w:tab w:leader="none" w:pos="2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 xml:space="preserve">The amount reflects the actuarial present value of benefits accumulated under the retirement plan, in accordance with the same assumptions and measurement dates disclosed in Note 10, </w:t>
      </w:r>
      <w:r>
        <w:rPr>
          <w:rFonts w:ascii="Arial" w:cs="Arial" w:eastAsia="Arial" w:hAnsi="Arial"/>
          <w:sz w:val="13"/>
          <w:szCs w:val="13"/>
          <w:i w:val="1"/>
          <w:iCs w:val="1"/>
          <w:color w:val="auto"/>
        </w:rPr>
        <w:t>Benefit Plans</w:t>
      </w:r>
      <w:r>
        <w:rPr>
          <w:rFonts w:ascii="Arial" w:cs="Arial" w:eastAsia="Arial" w:hAnsi="Arial"/>
          <w:sz w:val="13"/>
          <w:szCs w:val="13"/>
          <w:color w:val="auto"/>
        </w:rPr>
        <w:t>, to the consolidated financial statements in our 2025 Form 10</w:t>
      </w:r>
      <w:r>
        <w:rPr>
          <w:rFonts w:ascii="MS PGothic" w:cs="MS PGothic" w:eastAsia="MS PGothic" w:hAnsi="MS PGothic"/>
          <w:sz w:val="13"/>
          <w:szCs w:val="13"/>
          <w:color w:val="auto"/>
        </w:rPr>
        <w:t>‑</w:t>
      </w:r>
      <w:r>
        <w:rPr>
          <w:rFonts w:ascii="Arial" w:cs="Arial" w:eastAsia="Arial" w:hAnsi="Arial"/>
          <w:sz w:val="13"/>
          <w:szCs w:val="13"/>
          <w:color w:val="auto"/>
        </w:rPr>
        <w:t>K. Plan assumptions specific to the Pension Fund Mondelēz Switzerland include:</w:t>
      </w:r>
    </w:p>
    <w:p>
      <w:pPr>
        <w:spacing w:after="0" w:line="36" w:lineRule="exact"/>
        <w:rPr>
          <w:rFonts w:ascii="Arial" w:cs="Arial" w:eastAsia="Arial" w:hAnsi="Arial"/>
          <w:sz w:val="13"/>
          <w:szCs w:val="13"/>
          <w:color w:val="auto"/>
        </w:rPr>
      </w:pPr>
    </w:p>
    <w:p>
      <w:pPr>
        <w:ind w:left="460" w:hanging="194"/>
        <w:spacing w:after="0"/>
        <w:tabs>
          <w:tab w:leader="none" w:pos="460" w:val="left"/>
        </w:tabs>
        <w:numPr>
          <w:ilvl w:val="1"/>
          <w:numId w:val="103"/>
        </w:numPr>
        <w:rPr>
          <w:rFonts w:ascii="Arial" w:cs="Arial" w:eastAsia="Arial" w:hAnsi="Arial"/>
          <w:sz w:val="13"/>
          <w:szCs w:val="13"/>
          <w:color w:val="592B83"/>
        </w:rPr>
      </w:pPr>
      <w:r>
        <w:rPr>
          <w:rFonts w:ascii="Arial" w:cs="Arial" w:eastAsia="Arial" w:hAnsi="Arial"/>
          <w:sz w:val="13"/>
          <w:szCs w:val="13"/>
          <w:color w:val="auto"/>
        </w:rPr>
        <w:t>Assumes commencement at age 65 and is discounted for current age;</w:t>
      </w:r>
    </w:p>
    <w:p>
      <w:pPr>
        <w:spacing w:after="0" w:line="53" w:lineRule="exact"/>
        <w:rPr>
          <w:rFonts w:ascii="Arial" w:cs="Arial" w:eastAsia="Arial" w:hAnsi="Arial"/>
          <w:sz w:val="13"/>
          <w:szCs w:val="13"/>
          <w:color w:val="592B83"/>
        </w:rPr>
      </w:pPr>
    </w:p>
    <w:p>
      <w:pPr>
        <w:ind w:left="460" w:hanging="194"/>
        <w:spacing w:after="0"/>
        <w:tabs>
          <w:tab w:leader="none" w:pos="460" w:val="left"/>
        </w:tabs>
        <w:numPr>
          <w:ilvl w:val="1"/>
          <w:numId w:val="103"/>
        </w:numPr>
        <w:rPr>
          <w:rFonts w:ascii="Arial" w:cs="Arial" w:eastAsia="Arial" w:hAnsi="Arial"/>
          <w:sz w:val="13"/>
          <w:szCs w:val="13"/>
          <w:color w:val="592B83"/>
        </w:rPr>
      </w:pPr>
      <w:r>
        <w:rPr>
          <w:rFonts w:ascii="Arial" w:cs="Arial" w:eastAsia="Arial" w:hAnsi="Arial"/>
          <w:sz w:val="13"/>
          <w:szCs w:val="13"/>
          <w:color w:val="auto"/>
        </w:rPr>
        <w:t>Measurement date of December 31, 2025;</w:t>
      </w:r>
    </w:p>
    <w:p>
      <w:pPr>
        <w:spacing w:after="0" w:line="39" w:lineRule="exact"/>
        <w:rPr>
          <w:rFonts w:ascii="Arial" w:cs="Arial" w:eastAsia="Arial" w:hAnsi="Arial"/>
          <w:sz w:val="13"/>
          <w:szCs w:val="13"/>
          <w:color w:val="592B83"/>
        </w:rPr>
      </w:pPr>
    </w:p>
    <w:p>
      <w:pPr>
        <w:ind w:left="460" w:hanging="194"/>
        <w:spacing w:after="0"/>
        <w:tabs>
          <w:tab w:leader="none" w:pos="460" w:val="left"/>
        </w:tabs>
        <w:numPr>
          <w:ilvl w:val="1"/>
          <w:numId w:val="103"/>
        </w:numPr>
        <w:rPr>
          <w:rFonts w:ascii="Arial" w:cs="Arial" w:eastAsia="Arial" w:hAnsi="Arial"/>
          <w:sz w:val="13"/>
          <w:szCs w:val="13"/>
          <w:color w:val="592B83"/>
        </w:rPr>
      </w:pPr>
      <w:r>
        <w:rPr>
          <w:rFonts w:ascii="Arial" w:cs="Arial" w:eastAsia="Arial" w:hAnsi="Arial"/>
          <w:sz w:val="13"/>
          <w:szCs w:val="13"/>
          <w:color w:val="auto"/>
        </w:rPr>
        <w:t>Discount rate of 1.21% and long-term interest crediting rate of 2.00%; and</w:t>
      </w:r>
    </w:p>
    <w:p>
      <w:pPr>
        <w:spacing w:after="0" w:line="53" w:lineRule="exact"/>
        <w:rPr>
          <w:rFonts w:ascii="Arial" w:cs="Arial" w:eastAsia="Arial" w:hAnsi="Arial"/>
          <w:sz w:val="13"/>
          <w:szCs w:val="13"/>
          <w:color w:val="592B83"/>
        </w:rPr>
      </w:pPr>
    </w:p>
    <w:p>
      <w:pPr>
        <w:ind w:left="460" w:hanging="194"/>
        <w:spacing w:after="0"/>
        <w:tabs>
          <w:tab w:leader="none" w:pos="460" w:val="left"/>
        </w:tabs>
        <w:numPr>
          <w:ilvl w:val="1"/>
          <w:numId w:val="103"/>
        </w:numPr>
        <w:rPr>
          <w:rFonts w:ascii="Arial" w:cs="Arial" w:eastAsia="Arial" w:hAnsi="Arial"/>
          <w:sz w:val="13"/>
          <w:szCs w:val="13"/>
          <w:color w:val="592B83"/>
        </w:rPr>
      </w:pPr>
      <w:r>
        <w:rPr>
          <w:rFonts w:ascii="Arial" w:cs="Arial" w:eastAsia="Arial" w:hAnsi="Arial"/>
          <w:sz w:val="13"/>
          <w:szCs w:val="13"/>
          <w:color w:val="auto"/>
        </w:rPr>
        <w:t>Statutory Mortality Table BVG20AM.</w:t>
      </w:r>
    </w:p>
    <w:p>
      <w:pPr>
        <w:spacing w:after="0" w:line="361"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RETIREMENT BENEFIT PLAN DESCRIPTION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PENSION FUND MONDELĒZ SWITZERLAND – MR. KUHN</w:t>
      </w:r>
    </w:p>
    <w:p>
      <w:pPr>
        <w:spacing w:after="0" w:line="13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Eligibility for this funded contributory, tax-qualified defined benefit plan is limited to full-time and part-time employees with a Swiss employment contract signed on or after January 1, 2011. Benefits are payable upon normal retirement (defined as age 65) in the form of an annuity and/or lump sum at the retiree’s discretion. If a participant elects to receive a distribution prior to normal retirement, benefits are subject to reduction. Employees who have reached age 58 are eligible for early retirement (to receive an early distribution subject to reduction beginning at age 58); otherwise, normal retirement is defined as age 65.</w:t>
      </w:r>
    </w:p>
    <w:p>
      <w:pPr>
        <w:spacing w:after="0" w:line="68"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The annual retirement pension annuity is calculated based on the participant’s available retirement account balance under the plan at the time the participant becomes entitled to benefits, multiplied by the conversion rate defined in the applicable Swiss pension regulations (the conversion rate at age 65 is currently 4.90%).</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Contributions to the plan are based on participants’ election of available plan options, which may be changed annually.</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Mr. Kuhn has opted for the “Standard Plus 2” option in 2025 and the employer contributions for savings at his age were:</w:t>
      </w:r>
    </w:p>
    <w:p>
      <w:pPr>
        <w:spacing w:after="0" w:line="133" w:lineRule="exact"/>
        <w:rPr>
          <w:sz w:val="20"/>
          <w:szCs w:val="20"/>
          <w:color w:val="auto"/>
        </w:rPr>
      </w:pPr>
    </w:p>
    <w:p>
      <w:pPr>
        <w:ind w:left="140" w:hanging="133"/>
        <w:spacing w:after="0"/>
        <w:tabs>
          <w:tab w:leader="none" w:pos="140" w:val="left"/>
        </w:tabs>
        <w:numPr>
          <w:ilvl w:val="0"/>
          <w:numId w:val="104"/>
        </w:numPr>
        <w:rPr>
          <w:rFonts w:ascii="Arial" w:cs="Arial" w:eastAsia="Arial" w:hAnsi="Arial"/>
          <w:sz w:val="17"/>
          <w:szCs w:val="17"/>
          <w:color w:val="582C83"/>
        </w:rPr>
      </w:pPr>
      <w:r>
        <w:rPr>
          <w:rFonts w:ascii="Arial" w:cs="Arial" w:eastAsia="Arial" w:hAnsi="Arial"/>
          <w:sz w:val="17"/>
          <w:szCs w:val="17"/>
          <w:color w:val="auto"/>
        </w:rPr>
        <w:t>16.5% of the reference salary up to a specific limit; and</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104"/>
        </w:numPr>
        <w:rPr>
          <w:rFonts w:ascii="Arial" w:cs="Arial" w:eastAsia="Arial" w:hAnsi="Arial"/>
          <w:sz w:val="17"/>
          <w:szCs w:val="17"/>
          <w:color w:val="582C83"/>
        </w:rPr>
      </w:pPr>
      <w:r>
        <w:rPr>
          <w:rFonts w:ascii="Arial" w:cs="Arial" w:eastAsia="Arial" w:hAnsi="Arial"/>
          <w:sz w:val="17"/>
          <w:szCs w:val="17"/>
          <w:color w:val="auto"/>
        </w:rPr>
        <w:t>14.5% of the reference salary and of the bonus paid over a specific limit.</w:t>
      </w:r>
    </w:p>
    <w:p>
      <w:pPr>
        <w:spacing w:after="0" w:line="1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reference salary, within the meaning of the applicable pension regulations, is equal to the participant’s contractual base salary. The Company also makes risk contributions to the plan, which are not added to participants’ account balances, to finance risk benefits such as disability benefits, survivor’s benefits, and death benefits. Such risk contributions are made based on the participant’s pensionable salary, which is equal to the reference salary, less a coordination amount equal to 30% of the reference salary but not more than 100% of the maximum full Federal Old Age and Survivors’ Insurance pension (for 2025: CHF 30,240). The maximum pensionable salary is equal to 10 times the upper limit under Article 8 Paragraph 1 of the Swiss Federal Act on Occupational Retirement, Survivors’ and Disability Pension Plans (for 2025: CHF 907,200).</w:t>
      </w:r>
    </w:p>
    <w:p>
      <w:pPr>
        <w:sectPr>
          <w:pgSz w:w="11900" w:h="16838" w:orient="portrait"/>
          <w:cols w:equalWidth="0" w:num="1">
            <w:col w:w="9040"/>
          </w:cols>
          <w:pgMar w:left="1420" w:top="1440" w:right="1439" w:bottom="987" w:gutter="0" w:footer="0" w:header="0"/>
          <w:type w:val="continuous"/>
        </w:sectPr>
      </w:pPr>
    </w:p>
    <w:bookmarkStart w:id="79" w:name="page80"/>
    <w:bookmarkEnd w:id="79"/>
    <w:p>
      <w:pPr>
        <w:ind w:left="60"/>
        <w:spacing w:after="0"/>
        <w:rPr>
          <w:sz w:val="20"/>
          <w:szCs w:val="20"/>
          <w:color w:val="auto"/>
        </w:rPr>
      </w:pPr>
      <w:r>
        <w:rPr>
          <w:rFonts w:ascii="Arial" w:cs="Arial" w:eastAsia="Arial" w:hAnsi="Arial"/>
          <w:sz w:val="14"/>
          <w:szCs w:val="14"/>
          <w:b w:val="1"/>
          <w:bCs w:val="1"/>
          <w:color w:val="582C83"/>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87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10375" cy="687705"/>
                    </a:xfrm>
                    <a:prstGeom prst="rect">
                      <a:avLst/>
                    </a:prstGeom>
                    <a:noFill/>
                  </pic:spPr>
                </pic:pic>
              </a:graphicData>
            </a:graphic>
          </wp:anchor>
        </w:drawing>
        <w:t>90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8677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EXECUTIVE COMPENSATION TABLES</w:t>
      </w:r>
    </w:p>
    <w:p>
      <w:pPr>
        <w:spacing w:after="0" w:line="45" w:lineRule="exact"/>
        <w:rPr>
          <w:sz w:val="20"/>
          <w:szCs w:val="20"/>
          <w:color w:val="auto"/>
        </w:rPr>
      </w:pPr>
    </w:p>
    <w:p>
      <w:pPr>
        <w:ind w:left="5640"/>
        <w:spacing w:after="0" w:line="161" w:lineRule="exact"/>
        <w:rPr>
          <w:sz w:val="20"/>
          <w:szCs w:val="20"/>
          <w:color w:val="auto"/>
        </w:rPr>
      </w:pPr>
      <w:r>
        <w:rPr>
          <w:rFonts w:ascii="Arial" w:cs="Arial" w:eastAsia="Arial" w:hAnsi="Arial"/>
          <w:sz w:val="14"/>
          <w:szCs w:val="14"/>
          <w:color w:val="auto"/>
        </w:rPr>
        <w:t>2025 Non</w:t>
      </w:r>
      <w:r>
        <w:rPr>
          <w:rFonts w:ascii="MS PGothic" w:cs="MS PGothic" w:eastAsia="MS PGothic" w:hAnsi="MS PGothic"/>
          <w:sz w:val="14"/>
          <w:szCs w:val="14"/>
          <w:color w:val="auto"/>
        </w:rPr>
        <w:t>‑</w:t>
      </w:r>
      <w:r>
        <w:rPr>
          <w:rFonts w:ascii="Arial" w:cs="Arial" w:eastAsia="Arial" w:hAnsi="Arial"/>
          <w:sz w:val="14"/>
          <w:szCs w:val="14"/>
          <w:color w:val="auto"/>
        </w:rPr>
        <w:t>Qualified Deferred Compensation Benefits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8"/>
          <w:szCs w:val="28"/>
          <w:b w:val="1"/>
          <w:bCs w:val="1"/>
          <w:color w:val="auto"/>
        </w:rPr>
        <w:t xml:space="preserve"> 2025 NON-QUALIFIED DEFERRED COMPENSATION BENEFITS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b w:val="1"/>
                <w:bCs w:val="1"/>
                <w:color w:val="auto"/>
              </w:rPr>
              <w:t>Aggregate</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Executive</w:t>
            </w: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Registrant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Aggregate</w:t>
            </w:r>
          </w:p>
        </w:tc>
        <w:tc>
          <w:tcPr>
            <w:tcW w:w="1220" w:type="dxa"/>
            <w:vAlign w:val="bottom"/>
          </w:tcPr>
          <w:p>
            <w:pPr>
              <w:jc w:val="right"/>
              <w:ind w:right="8"/>
              <w:spacing w:after="0"/>
              <w:rPr>
                <w:sz w:val="20"/>
                <w:szCs w:val="20"/>
                <w:color w:val="auto"/>
              </w:rPr>
            </w:pPr>
            <w:r>
              <w:rPr>
                <w:rFonts w:ascii="Arial" w:cs="Arial" w:eastAsia="Arial" w:hAnsi="Arial"/>
                <w:sz w:val="14"/>
                <w:szCs w:val="14"/>
                <w:b w:val="1"/>
                <w:bCs w:val="1"/>
                <w:color w:val="auto"/>
              </w:rPr>
              <w:t>Withdrawals/</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Aggregate Balance as</w:t>
            </w: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Contributions in</w:t>
            </w:r>
          </w:p>
        </w:tc>
        <w:tc>
          <w:tcPr>
            <w:tcW w:w="1260" w:type="dxa"/>
            <w:vAlign w:val="bottom"/>
          </w:tcPr>
          <w:p>
            <w:pPr>
              <w:jc w:val="right"/>
              <w:ind w:right="28"/>
              <w:spacing w:after="0" w:line="159" w:lineRule="exact"/>
              <w:rPr>
                <w:sz w:val="20"/>
                <w:szCs w:val="20"/>
                <w:color w:val="auto"/>
              </w:rPr>
            </w:pPr>
            <w:r>
              <w:rPr>
                <w:rFonts w:ascii="Arial" w:cs="Arial" w:eastAsia="Arial" w:hAnsi="Arial"/>
                <w:sz w:val="14"/>
                <w:szCs w:val="14"/>
                <w:b w:val="1"/>
                <w:bCs w:val="1"/>
                <w:color w:val="auto"/>
              </w:rPr>
              <w:t>Contributions in</w:t>
            </w:r>
          </w:p>
        </w:tc>
        <w:tc>
          <w:tcPr>
            <w:tcW w:w="9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Earnings in</w:t>
            </w:r>
          </w:p>
        </w:tc>
        <w:tc>
          <w:tcPr>
            <w:tcW w:w="1220" w:type="dxa"/>
            <w:vAlign w:val="bottom"/>
          </w:tcPr>
          <w:p>
            <w:pPr>
              <w:jc w:val="right"/>
              <w:ind w:right="8"/>
              <w:spacing w:after="0" w:line="159" w:lineRule="exact"/>
              <w:rPr>
                <w:sz w:val="20"/>
                <w:szCs w:val="20"/>
                <w:color w:val="auto"/>
              </w:rPr>
            </w:pPr>
            <w:r>
              <w:rPr>
                <w:rFonts w:ascii="Arial" w:cs="Arial" w:eastAsia="Arial" w:hAnsi="Arial"/>
                <w:sz w:val="14"/>
                <w:szCs w:val="14"/>
                <w:b w:val="1"/>
                <w:bCs w:val="1"/>
                <w:color w:val="auto"/>
              </w:rPr>
              <w:t>Distributions in</w:t>
            </w:r>
          </w:p>
        </w:tc>
        <w:tc>
          <w:tcPr>
            <w:tcW w:w="16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of December 31,</w:t>
            </w:r>
          </w:p>
        </w:tc>
        <w:tc>
          <w:tcPr>
            <w:tcW w:w="0" w:type="dxa"/>
            <w:vAlign w:val="bottom"/>
          </w:tcPr>
          <w:p>
            <w:pPr>
              <w:spacing w:after="0"/>
              <w:rPr>
                <w:sz w:val="1"/>
                <w:szCs w:val="1"/>
                <w:color w:val="auto"/>
              </w:rPr>
            </w:pPr>
          </w:p>
        </w:tc>
      </w:tr>
      <w:tr>
        <w:trPr>
          <w:trHeight w:val="191"/>
        </w:trPr>
        <w:tc>
          <w:tcPr>
            <w:tcW w:w="1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jc w:val="right"/>
              <w:spacing w:after="0" w:line="191" w:lineRule="exact"/>
              <w:rPr>
                <w:sz w:val="20"/>
                <w:szCs w:val="20"/>
                <w:color w:val="auto"/>
              </w:rPr>
            </w:pPr>
            <w:r>
              <w:rPr>
                <w:rFonts w:ascii="Arial" w:cs="Arial" w:eastAsia="Arial" w:hAnsi="Arial"/>
                <w:sz w:val="14"/>
                <w:szCs w:val="14"/>
                <w:b w:val="1"/>
                <w:bCs w:val="1"/>
                <w:color w:val="auto"/>
              </w:rPr>
              <w:t>2025</w:t>
            </w:r>
            <w:r>
              <w:rPr>
                <w:rFonts w:ascii="Arial" w:cs="Arial" w:eastAsia="Arial" w:hAnsi="Arial"/>
                <w:sz w:val="18"/>
                <w:szCs w:val="18"/>
                <w:b w:val="1"/>
                <w:bCs w:val="1"/>
                <w:color w:val="auto"/>
                <w:vertAlign w:val="superscript"/>
              </w:rPr>
              <w:t>(1)</w:t>
            </w:r>
          </w:p>
        </w:tc>
        <w:tc>
          <w:tcPr>
            <w:tcW w:w="1260" w:type="dxa"/>
            <w:vAlign w:val="bottom"/>
          </w:tcPr>
          <w:p>
            <w:pPr>
              <w:jc w:val="right"/>
              <w:ind w:right="28"/>
              <w:spacing w:after="0" w:line="191" w:lineRule="exact"/>
              <w:rPr>
                <w:sz w:val="20"/>
                <w:szCs w:val="20"/>
                <w:color w:val="auto"/>
              </w:rPr>
            </w:pPr>
            <w:r>
              <w:rPr>
                <w:rFonts w:ascii="Arial" w:cs="Arial" w:eastAsia="Arial" w:hAnsi="Arial"/>
                <w:sz w:val="14"/>
                <w:szCs w:val="14"/>
                <w:b w:val="1"/>
                <w:bCs w:val="1"/>
                <w:color w:val="auto"/>
              </w:rPr>
              <w:t>2025</w:t>
            </w:r>
            <w:r>
              <w:rPr>
                <w:rFonts w:ascii="Arial" w:cs="Arial" w:eastAsia="Arial" w:hAnsi="Arial"/>
                <w:sz w:val="18"/>
                <w:szCs w:val="18"/>
                <w:b w:val="1"/>
                <w:bCs w:val="1"/>
                <w:color w:val="auto"/>
                <w:vertAlign w:val="superscript"/>
              </w:rPr>
              <w:t>(2)</w:t>
            </w:r>
          </w:p>
        </w:tc>
        <w:tc>
          <w:tcPr>
            <w:tcW w:w="920" w:type="dxa"/>
            <w:vAlign w:val="bottom"/>
          </w:tcPr>
          <w:p>
            <w:pPr>
              <w:jc w:val="right"/>
              <w:spacing w:after="0" w:line="191" w:lineRule="exact"/>
              <w:rPr>
                <w:sz w:val="20"/>
                <w:szCs w:val="20"/>
                <w:color w:val="auto"/>
              </w:rPr>
            </w:pPr>
            <w:r>
              <w:rPr>
                <w:rFonts w:ascii="Arial" w:cs="Arial" w:eastAsia="Arial" w:hAnsi="Arial"/>
                <w:sz w:val="14"/>
                <w:szCs w:val="14"/>
                <w:b w:val="1"/>
                <w:bCs w:val="1"/>
                <w:color w:val="auto"/>
              </w:rPr>
              <w:t>2025</w:t>
            </w:r>
            <w:r>
              <w:rPr>
                <w:rFonts w:ascii="Arial" w:cs="Arial" w:eastAsia="Arial" w:hAnsi="Arial"/>
                <w:sz w:val="18"/>
                <w:szCs w:val="18"/>
                <w:b w:val="1"/>
                <w:bCs w:val="1"/>
                <w:color w:val="auto"/>
                <w:vertAlign w:val="superscript"/>
              </w:rPr>
              <w:t>(3)</w:t>
            </w:r>
          </w:p>
        </w:tc>
        <w:tc>
          <w:tcPr>
            <w:tcW w:w="1220" w:type="dxa"/>
            <w:vAlign w:val="bottom"/>
          </w:tcPr>
          <w:p>
            <w:pPr>
              <w:jc w:val="right"/>
              <w:ind w:right="8"/>
              <w:spacing w:after="0"/>
              <w:rPr>
                <w:sz w:val="20"/>
                <w:szCs w:val="20"/>
                <w:color w:val="auto"/>
              </w:rPr>
            </w:pPr>
            <w:r>
              <w:rPr>
                <w:rFonts w:ascii="Arial" w:cs="Arial" w:eastAsia="Arial" w:hAnsi="Arial"/>
                <w:sz w:val="14"/>
                <w:szCs w:val="14"/>
                <w:b w:val="1"/>
                <w:bCs w:val="1"/>
                <w:color w:val="auto"/>
              </w:rPr>
              <w:t>2025</w:t>
            </w:r>
          </w:p>
        </w:tc>
        <w:tc>
          <w:tcPr>
            <w:tcW w:w="1620" w:type="dxa"/>
            <w:vAlign w:val="bottom"/>
          </w:tcPr>
          <w:p>
            <w:pPr>
              <w:jc w:val="right"/>
              <w:spacing w:after="0" w:line="191" w:lineRule="exact"/>
              <w:rPr>
                <w:sz w:val="20"/>
                <w:szCs w:val="20"/>
                <w:color w:val="auto"/>
              </w:rPr>
            </w:pPr>
            <w:r>
              <w:rPr>
                <w:rFonts w:ascii="Arial" w:cs="Arial" w:eastAsia="Arial" w:hAnsi="Arial"/>
                <w:sz w:val="14"/>
                <w:szCs w:val="14"/>
                <w:b w:val="1"/>
                <w:bCs w:val="1"/>
                <w:color w:val="auto"/>
              </w:rPr>
              <w:t>2025</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65"/>
        </w:trPr>
        <w:tc>
          <w:tcPr>
            <w:tcW w:w="1460" w:type="dxa"/>
            <w:vAlign w:val="bottom"/>
            <w:tcBorders>
              <w:bottom w:val="single" w:sz="8" w:color="582C83"/>
            </w:tcBorders>
          </w:tcPr>
          <w:p>
            <w:pPr>
              <w:ind w:left="60"/>
              <w:spacing w:after="0" w:line="158" w:lineRule="exact"/>
              <w:rPr>
                <w:sz w:val="20"/>
                <w:szCs w:val="20"/>
                <w:color w:val="auto"/>
              </w:rPr>
            </w:pPr>
            <w:r>
              <w:rPr>
                <w:rFonts w:ascii="Arial" w:cs="Arial" w:eastAsia="Arial" w:hAnsi="Arial"/>
                <w:sz w:val="14"/>
                <w:szCs w:val="14"/>
                <w:b w:val="1"/>
                <w:bCs w:val="1"/>
                <w:color w:val="auto"/>
              </w:rPr>
              <w:t>Name</w:t>
            </w:r>
          </w:p>
        </w:tc>
        <w:tc>
          <w:tcPr>
            <w:tcW w:w="1340" w:type="dxa"/>
            <w:vAlign w:val="bottom"/>
            <w:tcBorders>
              <w:bottom w:val="single" w:sz="8" w:color="582C83"/>
            </w:tcBorders>
          </w:tcPr>
          <w:p>
            <w:pPr>
              <w:ind w:left="60"/>
              <w:spacing w:after="0" w:line="158" w:lineRule="exact"/>
              <w:rPr>
                <w:sz w:val="20"/>
                <w:szCs w:val="20"/>
                <w:color w:val="auto"/>
              </w:rPr>
            </w:pPr>
            <w:r>
              <w:rPr>
                <w:rFonts w:ascii="Arial" w:cs="Arial" w:eastAsia="Arial" w:hAnsi="Arial"/>
                <w:sz w:val="14"/>
                <w:szCs w:val="14"/>
                <w:b w:val="1"/>
                <w:bCs w:val="1"/>
                <w:color w:val="auto"/>
              </w:rPr>
              <w:t>Plan</w:t>
            </w:r>
          </w:p>
        </w:tc>
        <w:tc>
          <w:tcPr>
            <w:tcW w:w="1220" w:type="dxa"/>
            <w:vAlign w:val="bottom"/>
            <w:tcBorders>
              <w:bottom w:val="single" w:sz="8" w:color="582C83"/>
            </w:tcBorders>
          </w:tcPr>
          <w:p>
            <w:pPr>
              <w:jc w:val="right"/>
              <w:spacing w:after="0" w:line="158" w:lineRule="exact"/>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582C83"/>
            </w:tcBorders>
          </w:tcPr>
          <w:p>
            <w:pPr>
              <w:jc w:val="right"/>
              <w:ind w:right="28"/>
              <w:spacing w:after="0" w:line="158"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582C83"/>
            </w:tcBorders>
          </w:tcPr>
          <w:p>
            <w:pPr>
              <w:jc w:val="right"/>
              <w:spacing w:after="0" w:line="158" w:lineRule="exact"/>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582C83"/>
            </w:tcBorders>
          </w:tcPr>
          <w:p>
            <w:pPr>
              <w:jc w:val="center"/>
              <w:ind w:left="808"/>
              <w:spacing w:after="0" w:line="158" w:lineRule="exact"/>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582C83"/>
            </w:tcBorders>
          </w:tcPr>
          <w:p>
            <w:pPr>
              <w:jc w:val="right"/>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2"/>
        </w:trPr>
        <w:tc>
          <w:tcPr>
            <w:tcW w:w="1460" w:type="dxa"/>
            <w:vAlign w:val="bottom"/>
            <w:tcBorders>
              <w:bottom w:val="single" w:sz="8" w:color="E1DBEB"/>
            </w:tcBorders>
            <w:vMerge w:val="restart"/>
            <w:shd w:val="clear" w:color="auto" w:fill="E1DBEB"/>
          </w:tcPr>
          <w:p>
            <w:pPr>
              <w:ind w:left="60"/>
              <w:spacing w:after="0"/>
              <w:rPr>
                <w:sz w:val="20"/>
                <w:szCs w:val="20"/>
                <w:color w:val="auto"/>
              </w:rPr>
            </w:pPr>
            <w:r>
              <w:rPr>
                <w:rFonts w:ascii="Arial" w:cs="Arial" w:eastAsia="Arial" w:hAnsi="Arial"/>
                <w:sz w:val="14"/>
                <w:szCs w:val="14"/>
                <w:b w:val="1"/>
                <w:bCs w:val="1"/>
                <w:color w:val="auto"/>
              </w:rPr>
              <w:t>Van de Put, Dirk</w:t>
            </w:r>
          </w:p>
        </w:tc>
        <w:tc>
          <w:tcPr>
            <w:tcW w:w="1340" w:type="dxa"/>
            <w:vAlign w:val="bottom"/>
            <w:tcBorders>
              <w:bottom w:val="single" w:sz="8" w:color="582C83"/>
            </w:tcBorders>
            <w:shd w:val="clear" w:color="auto" w:fill="E1DBEB"/>
          </w:tcPr>
          <w:p>
            <w:pPr>
              <w:ind w:left="60"/>
              <w:spacing w:after="0"/>
              <w:rPr>
                <w:sz w:val="20"/>
                <w:szCs w:val="20"/>
                <w:color w:val="auto"/>
              </w:rPr>
            </w:pPr>
            <w:r>
              <w:rPr>
                <w:rFonts w:ascii="Arial" w:cs="Arial" w:eastAsia="Arial" w:hAnsi="Arial"/>
                <w:sz w:val="14"/>
                <w:szCs w:val="14"/>
                <w:color w:val="auto"/>
              </w:rPr>
              <w:t>Supplemental Plan</w:t>
            </w:r>
          </w:p>
        </w:tc>
        <w:tc>
          <w:tcPr>
            <w:tcW w:w="1220" w:type="dxa"/>
            <w:vAlign w:val="bottom"/>
            <w:tcBorders>
              <w:bottom w:val="single" w:sz="8" w:color="582C83"/>
            </w:tcBorders>
            <w:shd w:val="clear" w:color="auto" w:fill="E1DBEB"/>
          </w:tcPr>
          <w:p>
            <w:pPr>
              <w:jc w:val="right"/>
              <w:spacing w:after="0"/>
              <w:rPr>
                <w:sz w:val="20"/>
                <w:szCs w:val="20"/>
                <w:color w:val="auto"/>
              </w:rPr>
            </w:pPr>
            <w:r>
              <w:rPr>
                <w:rFonts w:ascii="Arial" w:cs="Arial" w:eastAsia="Arial" w:hAnsi="Arial"/>
                <w:sz w:val="14"/>
                <w:szCs w:val="14"/>
                <w:color w:val="auto"/>
              </w:rPr>
              <w:t>221,469</w:t>
            </w:r>
          </w:p>
        </w:tc>
        <w:tc>
          <w:tcPr>
            <w:tcW w:w="1260" w:type="dxa"/>
            <w:vAlign w:val="bottom"/>
            <w:tcBorders>
              <w:bottom w:val="single" w:sz="8" w:color="582C83"/>
            </w:tcBorders>
            <w:shd w:val="clear" w:color="auto" w:fill="E1DBEB"/>
          </w:tcPr>
          <w:p>
            <w:pPr>
              <w:jc w:val="right"/>
              <w:ind w:right="28"/>
              <w:spacing w:after="0"/>
              <w:rPr>
                <w:sz w:val="20"/>
                <w:szCs w:val="20"/>
                <w:color w:val="auto"/>
              </w:rPr>
            </w:pPr>
            <w:r>
              <w:rPr>
                <w:rFonts w:ascii="Arial" w:cs="Arial" w:eastAsia="Arial" w:hAnsi="Arial"/>
                <w:sz w:val="14"/>
                <w:szCs w:val="14"/>
                <w:color w:val="auto"/>
              </w:rPr>
              <w:t>332,204</w:t>
            </w:r>
          </w:p>
        </w:tc>
        <w:tc>
          <w:tcPr>
            <w:tcW w:w="920" w:type="dxa"/>
            <w:vAlign w:val="bottom"/>
            <w:tcBorders>
              <w:bottom w:val="single" w:sz="8" w:color="582C83"/>
            </w:tcBorders>
            <w:shd w:val="clear" w:color="auto" w:fill="E1DBEB"/>
          </w:tcPr>
          <w:p>
            <w:pPr>
              <w:jc w:val="right"/>
              <w:ind w:right="8"/>
              <w:spacing w:after="0"/>
              <w:rPr>
                <w:sz w:val="20"/>
                <w:szCs w:val="20"/>
                <w:color w:val="auto"/>
              </w:rPr>
            </w:pPr>
            <w:r>
              <w:rPr>
                <w:rFonts w:ascii="Arial" w:cs="Arial" w:eastAsia="Arial" w:hAnsi="Arial"/>
                <w:sz w:val="14"/>
                <w:szCs w:val="14"/>
                <w:color w:val="auto"/>
              </w:rPr>
              <w:t>144,849</w:t>
            </w:r>
          </w:p>
        </w:tc>
        <w:tc>
          <w:tcPr>
            <w:tcW w:w="1220" w:type="dxa"/>
            <w:vAlign w:val="bottom"/>
            <w:tcBorders>
              <w:bottom w:val="single" w:sz="8" w:color="582C83"/>
            </w:tcBorders>
            <w:shd w:val="clear" w:color="auto" w:fill="E1DBEB"/>
          </w:tcPr>
          <w:p>
            <w:pPr>
              <w:jc w:val="center"/>
              <w:ind w:left="808"/>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582C83"/>
            </w:tcBorders>
            <w:shd w:val="clear" w:color="auto" w:fill="E1DBEB"/>
          </w:tcPr>
          <w:p>
            <w:pPr>
              <w:jc w:val="right"/>
              <w:spacing w:after="0"/>
              <w:rPr>
                <w:sz w:val="20"/>
                <w:szCs w:val="20"/>
                <w:color w:val="auto"/>
              </w:rPr>
            </w:pPr>
            <w:r>
              <w:rPr>
                <w:rFonts w:ascii="Arial" w:cs="Arial" w:eastAsia="Arial" w:hAnsi="Arial"/>
                <w:sz w:val="14"/>
                <w:szCs w:val="14"/>
                <w:color w:val="auto"/>
              </w:rPr>
              <w:t>5,156,418</w:t>
            </w:r>
          </w:p>
        </w:tc>
        <w:tc>
          <w:tcPr>
            <w:tcW w:w="0" w:type="dxa"/>
            <w:vAlign w:val="bottom"/>
          </w:tcPr>
          <w:p>
            <w:pPr>
              <w:spacing w:after="0"/>
              <w:rPr>
                <w:sz w:val="1"/>
                <w:szCs w:val="1"/>
                <w:color w:val="auto"/>
              </w:rPr>
            </w:pPr>
          </w:p>
        </w:tc>
      </w:tr>
      <w:tr>
        <w:trPr>
          <w:trHeight w:val="103"/>
        </w:trPr>
        <w:tc>
          <w:tcPr>
            <w:tcW w:w="1460" w:type="dxa"/>
            <w:vAlign w:val="bottom"/>
            <w:vMerge w:val="continue"/>
            <w:shd w:val="clear" w:color="auto" w:fill="E1DBEB"/>
          </w:tcPr>
          <w:p>
            <w:pPr>
              <w:spacing w:after="0"/>
              <w:rPr>
                <w:sz w:val="9"/>
                <w:szCs w:val="9"/>
                <w:color w:val="auto"/>
              </w:rPr>
            </w:pPr>
          </w:p>
        </w:tc>
        <w:tc>
          <w:tcPr>
            <w:tcW w:w="1340" w:type="dxa"/>
            <w:vAlign w:val="bottom"/>
            <w:vMerge w:val="restart"/>
            <w:shd w:val="clear" w:color="auto" w:fill="E1DBEB"/>
          </w:tcPr>
          <w:p>
            <w:pPr>
              <w:ind w:left="60"/>
              <w:spacing w:after="0"/>
              <w:rPr>
                <w:sz w:val="20"/>
                <w:szCs w:val="20"/>
                <w:color w:val="auto"/>
              </w:rPr>
            </w:pPr>
            <w:r>
              <w:rPr>
                <w:rFonts w:ascii="Arial" w:cs="Arial" w:eastAsia="Arial" w:hAnsi="Arial"/>
                <w:sz w:val="14"/>
                <w:szCs w:val="14"/>
                <w:color w:val="auto"/>
              </w:rPr>
              <w:t>MEDCP</w:t>
            </w:r>
          </w:p>
        </w:tc>
        <w:tc>
          <w:tcPr>
            <w:tcW w:w="1220" w:type="dxa"/>
            <w:vAlign w:val="bottom"/>
            <w:vMerge w:val="restart"/>
            <w:shd w:val="clear" w:color="auto" w:fill="E1DBEB"/>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E1DBEB"/>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E1DBEB"/>
          </w:tcPr>
          <w:p>
            <w:pPr>
              <w:jc w:val="right"/>
              <w:ind w:right="8"/>
              <w:spacing w:after="0"/>
              <w:rPr>
                <w:sz w:val="20"/>
                <w:szCs w:val="20"/>
                <w:color w:val="auto"/>
              </w:rPr>
            </w:pPr>
            <w:r>
              <w:rPr>
                <w:rFonts w:ascii="Arial" w:cs="Arial" w:eastAsia="Arial" w:hAnsi="Arial"/>
                <w:sz w:val="14"/>
                <w:szCs w:val="14"/>
                <w:color w:val="auto"/>
              </w:rPr>
              <w:t>544,276</w:t>
            </w:r>
          </w:p>
        </w:tc>
        <w:tc>
          <w:tcPr>
            <w:tcW w:w="1220" w:type="dxa"/>
            <w:vAlign w:val="bottom"/>
            <w:vMerge w:val="restart"/>
            <w:shd w:val="clear" w:color="auto" w:fill="E1DBEB"/>
          </w:tcPr>
          <w:p>
            <w:pPr>
              <w:jc w:val="center"/>
              <w:ind w:left="808"/>
              <w:spacing w:after="0"/>
              <w:rPr>
                <w:sz w:val="20"/>
                <w:szCs w:val="20"/>
                <w:color w:val="auto"/>
              </w:rPr>
            </w:pPr>
            <w:r>
              <w:rPr>
                <w:rFonts w:ascii="Arial" w:cs="Arial" w:eastAsia="Arial" w:hAnsi="Arial"/>
                <w:sz w:val="14"/>
                <w:szCs w:val="14"/>
                <w:color w:val="auto"/>
                <w:w w:val="99"/>
              </w:rPr>
              <w:t>—</w:t>
            </w:r>
          </w:p>
        </w:tc>
        <w:tc>
          <w:tcPr>
            <w:tcW w:w="1620" w:type="dxa"/>
            <w:vAlign w:val="bottom"/>
            <w:vMerge w:val="restart"/>
            <w:shd w:val="clear" w:color="auto" w:fill="E1DBEB"/>
          </w:tcPr>
          <w:p>
            <w:pPr>
              <w:jc w:val="right"/>
              <w:spacing w:after="0"/>
              <w:rPr>
                <w:sz w:val="20"/>
                <w:szCs w:val="20"/>
                <w:color w:val="auto"/>
              </w:rPr>
            </w:pPr>
            <w:r>
              <w:rPr>
                <w:rFonts w:ascii="Arial" w:cs="Arial" w:eastAsia="Arial" w:hAnsi="Arial"/>
                <w:sz w:val="14"/>
                <w:szCs w:val="14"/>
                <w:color w:val="auto"/>
              </w:rPr>
              <w:t>12,318,752</w:t>
            </w:r>
          </w:p>
        </w:tc>
        <w:tc>
          <w:tcPr>
            <w:tcW w:w="0" w:type="dxa"/>
            <w:vAlign w:val="bottom"/>
          </w:tcPr>
          <w:p>
            <w:pPr>
              <w:spacing w:after="0"/>
              <w:rPr>
                <w:sz w:val="1"/>
                <w:szCs w:val="1"/>
                <w:color w:val="auto"/>
              </w:rPr>
            </w:pPr>
          </w:p>
        </w:tc>
      </w:tr>
      <w:tr>
        <w:trPr>
          <w:trHeight w:val="106"/>
        </w:trPr>
        <w:tc>
          <w:tcPr>
            <w:tcW w:w="1460" w:type="dxa"/>
            <w:vAlign w:val="bottom"/>
            <w:tcBorders>
              <w:bottom w:val="single" w:sz="8" w:color="582C83"/>
            </w:tcBorders>
            <w:shd w:val="clear" w:color="auto" w:fill="E1DBEB"/>
          </w:tcPr>
          <w:p>
            <w:pPr>
              <w:spacing w:after="0"/>
              <w:rPr>
                <w:sz w:val="9"/>
                <w:szCs w:val="9"/>
                <w:color w:val="auto"/>
              </w:rPr>
            </w:pPr>
          </w:p>
        </w:tc>
        <w:tc>
          <w:tcPr>
            <w:tcW w:w="1340" w:type="dxa"/>
            <w:vAlign w:val="bottom"/>
            <w:tcBorders>
              <w:bottom w:val="single" w:sz="8" w:color="582C83"/>
            </w:tcBorders>
            <w:vMerge w:val="continue"/>
            <w:shd w:val="clear" w:color="auto" w:fill="E1DBEB"/>
          </w:tcPr>
          <w:p>
            <w:pPr>
              <w:spacing w:after="0"/>
              <w:rPr>
                <w:sz w:val="9"/>
                <w:szCs w:val="9"/>
                <w:color w:val="auto"/>
              </w:rPr>
            </w:pPr>
          </w:p>
        </w:tc>
        <w:tc>
          <w:tcPr>
            <w:tcW w:w="1220" w:type="dxa"/>
            <w:vAlign w:val="bottom"/>
            <w:tcBorders>
              <w:bottom w:val="single" w:sz="8" w:color="582C83"/>
            </w:tcBorders>
            <w:vMerge w:val="continue"/>
            <w:shd w:val="clear" w:color="auto" w:fill="E1DBEB"/>
          </w:tcPr>
          <w:p>
            <w:pPr>
              <w:spacing w:after="0"/>
              <w:rPr>
                <w:sz w:val="9"/>
                <w:szCs w:val="9"/>
                <w:color w:val="auto"/>
              </w:rPr>
            </w:pPr>
          </w:p>
        </w:tc>
        <w:tc>
          <w:tcPr>
            <w:tcW w:w="1260" w:type="dxa"/>
            <w:vAlign w:val="bottom"/>
            <w:tcBorders>
              <w:bottom w:val="single" w:sz="8" w:color="582C83"/>
            </w:tcBorders>
            <w:vMerge w:val="continue"/>
            <w:shd w:val="clear" w:color="auto" w:fill="E1DBEB"/>
          </w:tcPr>
          <w:p>
            <w:pPr>
              <w:spacing w:after="0"/>
              <w:rPr>
                <w:sz w:val="9"/>
                <w:szCs w:val="9"/>
                <w:color w:val="auto"/>
              </w:rPr>
            </w:pPr>
          </w:p>
        </w:tc>
        <w:tc>
          <w:tcPr>
            <w:tcW w:w="920" w:type="dxa"/>
            <w:vAlign w:val="bottom"/>
            <w:tcBorders>
              <w:bottom w:val="single" w:sz="8" w:color="582C83"/>
            </w:tcBorders>
            <w:vMerge w:val="continue"/>
            <w:shd w:val="clear" w:color="auto" w:fill="E1DBEB"/>
          </w:tcPr>
          <w:p>
            <w:pPr>
              <w:spacing w:after="0"/>
              <w:rPr>
                <w:sz w:val="9"/>
                <w:szCs w:val="9"/>
                <w:color w:val="auto"/>
              </w:rPr>
            </w:pPr>
          </w:p>
        </w:tc>
        <w:tc>
          <w:tcPr>
            <w:tcW w:w="1220" w:type="dxa"/>
            <w:vAlign w:val="bottom"/>
            <w:tcBorders>
              <w:bottom w:val="single" w:sz="8" w:color="582C83"/>
            </w:tcBorders>
            <w:vMerge w:val="continue"/>
            <w:shd w:val="clear" w:color="auto" w:fill="E1DBEB"/>
          </w:tcPr>
          <w:p>
            <w:pPr>
              <w:spacing w:after="0"/>
              <w:rPr>
                <w:sz w:val="9"/>
                <w:szCs w:val="9"/>
                <w:color w:val="auto"/>
              </w:rPr>
            </w:pPr>
          </w:p>
        </w:tc>
        <w:tc>
          <w:tcPr>
            <w:tcW w:w="1620" w:type="dxa"/>
            <w:vAlign w:val="bottom"/>
            <w:tcBorders>
              <w:bottom w:val="single" w:sz="8" w:color="582C83"/>
            </w:tcBorders>
            <w:vMerge w:val="continue"/>
            <w:shd w:val="clear" w:color="auto" w:fill="E1DBEB"/>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4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Zaramella, Luca</w:t>
            </w:r>
          </w:p>
        </w:tc>
        <w:tc>
          <w:tcPr>
            <w:tcW w:w="1340" w:type="dxa"/>
            <w:vAlign w:val="bottom"/>
            <w:tcBorders>
              <w:bottom w:val="single" w:sz="8" w:color="582C83"/>
            </w:tcBorders>
          </w:tcPr>
          <w:p>
            <w:pPr>
              <w:ind w:left="60"/>
              <w:spacing w:after="0"/>
              <w:rPr>
                <w:sz w:val="20"/>
                <w:szCs w:val="20"/>
                <w:color w:val="auto"/>
              </w:rPr>
            </w:pPr>
            <w:r>
              <w:rPr>
                <w:rFonts w:ascii="Arial" w:cs="Arial" w:eastAsia="Arial" w:hAnsi="Arial"/>
                <w:sz w:val="14"/>
                <w:szCs w:val="14"/>
                <w:color w:val="auto"/>
              </w:rPr>
              <w:t>Supplemental Plan</w:t>
            </w:r>
          </w:p>
        </w:tc>
        <w:tc>
          <w:tcPr>
            <w:tcW w:w="122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96,212</w:t>
            </w:r>
          </w:p>
        </w:tc>
        <w:tc>
          <w:tcPr>
            <w:tcW w:w="1260" w:type="dxa"/>
            <w:vAlign w:val="bottom"/>
            <w:tcBorders>
              <w:bottom w:val="single" w:sz="8" w:color="582C83"/>
            </w:tcBorders>
          </w:tcPr>
          <w:p>
            <w:pPr>
              <w:jc w:val="right"/>
              <w:ind w:right="28"/>
              <w:spacing w:after="0"/>
              <w:rPr>
                <w:sz w:val="20"/>
                <w:szCs w:val="20"/>
                <w:color w:val="auto"/>
              </w:rPr>
            </w:pPr>
            <w:r>
              <w:rPr>
                <w:rFonts w:ascii="Arial" w:cs="Arial" w:eastAsia="Arial" w:hAnsi="Arial"/>
                <w:sz w:val="14"/>
                <w:szCs w:val="14"/>
                <w:color w:val="auto"/>
              </w:rPr>
              <w:t>169,068</w:t>
            </w:r>
          </w:p>
        </w:tc>
        <w:tc>
          <w:tcPr>
            <w:tcW w:w="920" w:type="dxa"/>
            <w:vAlign w:val="bottom"/>
            <w:tcBorders>
              <w:bottom w:val="single" w:sz="8" w:color="582C83"/>
            </w:tcBorders>
          </w:tcPr>
          <w:p>
            <w:pPr>
              <w:jc w:val="right"/>
              <w:ind w:right="8"/>
              <w:spacing w:after="0"/>
              <w:rPr>
                <w:sz w:val="20"/>
                <w:szCs w:val="20"/>
                <w:color w:val="auto"/>
              </w:rPr>
            </w:pPr>
            <w:r>
              <w:rPr>
                <w:rFonts w:ascii="Arial" w:cs="Arial" w:eastAsia="Arial" w:hAnsi="Arial"/>
                <w:sz w:val="14"/>
                <w:szCs w:val="14"/>
                <w:color w:val="auto"/>
              </w:rPr>
              <w:t>49,311</w:t>
            </w:r>
          </w:p>
        </w:tc>
        <w:tc>
          <w:tcPr>
            <w:tcW w:w="1220" w:type="dxa"/>
            <w:vAlign w:val="bottom"/>
            <w:tcBorders>
              <w:bottom w:val="single" w:sz="8" w:color="582C83"/>
            </w:tcBorders>
          </w:tcPr>
          <w:p>
            <w:pPr>
              <w:jc w:val="center"/>
              <w:ind w:left="808"/>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1,800,156</w:t>
            </w:r>
          </w:p>
        </w:tc>
        <w:tc>
          <w:tcPr>
            <w:tcW w:w="0" w:type="dxa"/>
            <w:vAlign w:val="bottom"/>
          </w:tcPr>
          <w:p>
            <w:pPr>
              <w:spacing w:after="0"/>
              <w:rPr>
                <w:sz w:val="1"/>
                <w:szCs w:val="1"/>
                <w:color w:val="auto"/>
              </w:rPr>
            </w:pPr>
          </w:p>
        </w:tc>
      </w:tr>
      <w:tr>
        <w:trPr>
          <w:trHeight w:val="103"/>
        </w:trPr>
        <w:tc>
          <w:tcPr>
            <w:tcW w:w="1460" w:type="dxa"/>
            <w:vAlign w:val="bottom"/>
            <w:vMerge w:val="continue"/>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14"/>
                <w:szCs w:val="14"/>
                <w:color w:val="auto"/>
              </w:rPr>
              <w:t>MEDCP</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275,000</w:t>
            </w: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256,315</w:t>
            </w:r>
          </w:p>
        </w:tc>
        <w:tc>
          <w:tcPr>
            <w:tcW w:w="1220" w:type="dxa"/>
            <w:vAlign w:val="bottom"/>
            <w:vMerge w:val="restart"/>
          </w:tcPr>
          <w:p>
            <w:pPr>
              <w:jc w:val="center"/>
              <w:ind w:left="808"/>
              <w:spacing w:after="0"/>
              <w:rPr>
                <w:sz w:val="20"/>
                <w:szCs w:val="20"/>
                <w:color w:val="auto"/>
              </w:rPr>
            </w:pPr>
            <w:r>
              <w:rPr>
                <w:rFonts w:ascii="Arial" w:cs="Arial" w:eastAsia="Arial" w:hAnsi="Arial"/>
                <w:sz w:val="14"/>
                <w:szCs w:val="14"/>
                <w:color w:val="auto"/>
                <w:w w:val="99"/>
              </w:rPr>
              <w:t>—</w:t>
            </w: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1,671,570</w:t>
            </w:r>
          </w:p>
        </w:tc>
        <w:tc>
          <w:tcPr>
            <w:tcW w:w="0" w:type="dxa"/>
            <w:vAlign w:val="bottom"/>
          </w:tcPr>
          <w:p>
            <w:pPr>
              <w:spacing w:after="0"/>
              <w:rPr>
                <w:sz w:val="1"/>
                <w:szCs w:val="1"/>
                <w:color w:val="auto"/>
              </w:rPr>
            </w:pPr>
          </w:p>
        </w:tc>
      </w:tr>
      <w:tr>
        <w:trPr>
          <w:trHeight w:val="106"/>
        </w:trPr>
        <w:tc>
          <w:tcPr>
            <w:tcW w:w="1460" w:type="dxa"/>
            <w:vAlign w:val="bottom"/>
            <w:tcBorders>
              <w:bottom w:val="single" w:sz="8" w:color="582C83"/>
            </w:tcBorders>
          </w:tcPr>
          <w:p>
            <w:pPr>
              <w:spacing w:after="0"/>
              <w:rPr>
                <w:sz w:val="9"/>
                <w:szCs w:val="9"/>
                <w:color w:val="auto"/>
              </w:rPr>
            </w:pPr>
          </w:p>
        </w:tc>
        <w:tc>
          <w:tcPr>
            <w:tcW w:w="1340" w:type="dxa"/>
            <w:vAlign w:val="bottom"/>
            <w:tcBorders>
              <w:bottom w:val="single" w:sz="8" w:color="582C83"/>
            </w:tcBorders>
            <w:vMerge w:val="continue"/>
          </w:tcPr>
          <w:p>
            <w:pPr>
              <w:spacing w:after="0"/>
              <w:rPr>
                <w:sz w:val="9"/>
                <w:szCs w:val="9"/>
                <w:color w:val="auto"/>
              </w:rPr>
            </w:pPr>
          </w:p>
        </w:tc>
        <w:tc>
          <w:tcPr>
            <w:tcW w:w="1220" w:type="dxa"/>
            <w:vAlign w:val="bottom"/>
            <w:tcBorders>
              <w:bottom w:val="single" w:sz="8" w:color="582C83"/>
            </w:tcBorders>
            <w:vMerge w:val="continue"/>
          </w:tcPr>
          <w:p>
            <w:pPr>
              <w:spacing w:after="0"/>
              <w:rPr>
                <w:sz w:val="9"/>
                <w:szCs w:val="9"/>
                <w:color w:val="auto"/>
              </w:rPr>
            </w:pPr>
          </w:p>
        </w:tc>
        <w:tc>
          <w:tcPr>
            <w:tcW w:w="1260" w:type="dxa"/>
            <w:vAlign w:val="bottom"/>
            <w:tcBorders>
              <w:bottom w:val="single" w:sz="8" w:color="582C83"/>
            </w:tcBorders>
            <w:vMerge w:val="continue"/>
          </w:tcPr>
          <w:p>
            <w:pPr>
              <w:spacing w:after="0"/>
              <w:rPr>
                <w:sz w:val="9"/>
                <w:szCs w:val="9"/>
                <w:color w:val="auto"/>
              </w:rPr>
            </w:pPr>
          </w:p>
        </w:tc>
        <w:tc>
          <w:tcPr>
            <w:tcW w:w="920" w:type="dxa"/>
            <w:vAlign w:val="bottom"/>
            <w:tcBorders>
              <w:bottom w:val="single" w:sz="8" w:color="582C83"/>
            </w:tcBorders>
            <w:vMerge w:val="continue"/>
          </w:tcPr>
          <w:p>
            <w:pPr>
              <w:spacing w:after="0"/>
              <w:rPr>
                <w:sz w:val="9"/>
                <w:szCs w:val="9"/>
                <w:color w:val="auto"/>
              </w:rPr>
            </w:pPr>
          </w:p>
        </w:tc>
        <w:tc>
          <w:tcPr>
            <w:tcW w:w="1220" w:type="dxa"/>
            <w:vAlign w:val="bottom"/>
            <w:tcBorders>
              <w:bottom w:val="single" w:sz="8" w:color="582C83"/>
            </w:tcBorders>
            <w:vMerge w:val="continue"/>
          </w:tcPr>
          <w:p>
            <w:pPr>
              <w:spacing w:after="0"/>
              <w:rPr>
                <w:sz w:val="9"/>
                <w:szCs w:val="9"/>
                <w:color w:val="auto"/>
              </w:rPr>
            </w:pPr>
          </w:p>
        </w:tc>
        <w:tc>
          <w:tcPr>
            <w:tcW w:w="1620" w:type="dxa"/>
            <w:vAlign w:val="bottom"/>
            <w:tcBorders>
              <w:bottom w:val="single" w:sz="8" w:color="582C8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1460" w:type="dxa"/>
            <w:vAlign w:val="bottom"/>
            <w:tcBorders>
              <w:bottom w:val="single" w:sz="8" w:color="582C83"/>
            </w:tcBorders>
            <w:shd w:val="clear" w:color="auto" w:fill="E1DBEB"/>
          </w:tcPr>
          <w:p>
            <w:pPr>
              <w:ind w:left="60"/>
              <w:spacing w:after="0"/>
              <w:rPr>
                <w:sz w:val="20"/>
                <w:szCs w:val="20"/>
                <w:color w:val="auto"/>
              </w:rPr>
            </w:pPr>
            <w:r>
              <w:rPr>
                <w:rFonts w:ascii="Arial" w:cs="Arial" w:eastAsia="Arial" w:hAnsi="Arial"/>
                <w:sz w:val="14"/>
                <w:szCs w:val="14"/>
                <w:b w:val="1"/>
                <w:bCs w:val="1"/>
                <w:color w:val="auto"/>
              </w:rPr>
              <w:t>Valle, Gustavo</w:t>
            </w:r>
          </w:p>
        </w:tc>
        <w:tc>
          <w:tcPr>
            <w:tcW w:w="1340" w:type="dxa"/>
            <w:vAlign w:val="bottom"/>
            <w:tcBorders>
              <w:bottom w:val="single" w:sz="8" w:color="582C83"/>
            </w:tcBorders>
            <w:shd w:val="clear" w:color="auto" w:fill="E1DBEB"/>
          </w:tcPr>
          <w:p>
            <w:pPr>
              <w:ind w:left="60"/>
              <w:spacing w:after="0"/>
              <w:rPr>
                <w:sz w:val="20"/>
                <w:szCs w:val="20"/>
                <w:color w:val="auto"/>
              </w:rPr>
            </w:pPr>
            <w:r>
              <w:rPr>
                <w:rFonts w:ascii="Arial" w:cs="Arial" w:eastAsia="Arial" w:hAnsi="Arial"/>
                <w:sz w:val="14"/>
                <w:szCs w:val="14"/>
                <w:color w:val="auto"/>
              </w:rPr>
              <w:t>Supplemental Plan</w:t>
            </w:r>
          </w:p>
        </w:tc>
        <w:tc>
          <w:tcPr>
            <w:tcW w:w="1220" w:type="dxa"/>
            <w:vAlign w:val="bottom"/>
            <w:tcBorders>
              <w:bottom w:val="single" w:sz="8" w:color="582C83"/>
            </w:tcBorders>
            <w:shd w:val="clear" w:color="auto" w:fill="E1DBEB"/>
          </w:tcPr>
          <w:p>
            <w:pPr>
              <w:jc w:val="right"/>
              <w:spacing w:after="0"/>
              <w:rPr>
                <w:sz w:val="20"/>
                <w:szCs w:val="20"/>
                <w:color w:val="auto"/>
              </w:rPr>
            </w:pPr>
            <w:r>
              <w:rPr>
                <w:rFonts w:ascii="Arial" w:cs="Arial" w:eastAsia="Arial" w:hAnsi="Arial"/>
                <w:sz w:val="14"/>
                <w:szCs w:val="14"/>
                <w:color w:val="auto"/>
              </w:rPr>
              <w:t>44,620</w:t>
            </w:r>
          </w:p>
        </w:tc>
        <w:tc>
          <w:tcPr>
            <w:tcW w:w="1260" w:type="dxa"/>
            <w:vAlign w:val="bottom"/>
            <w:tcBorders>
              <w:bottom w:val="single" w:sz="8" w:color="582C83"/>
            </w:tcBorders>
            <w:shd w:val="clear" w:color="auto" w:fill="E1DBEB"/>
          </w:tcPr>
          <w:p>
            <w:pPr>
              <w:jc w:val="right"/>
              <w:ind w:right="28"/>
              <w:spacing w:after="0"/>
              <w:rPr>
                <w:sz w:val="20"/>
                <w:szCs w:val="20"/>
                <w:color w:val="auto"/>
              </w:rPr>
            </w:pPr>
            <w:r>
              <w:rPr>
                <w:rFonts w:ascii="Arial" w:cs="Arial" w:eastAsia="Arial" w:hAnsi="Arial"/>
                <w:sz w:val="14"/>
                <w:szCs w:val="14"/>
                <w:color w:val="auto"/>
              </w:rPr>
              <w:t>66,930</w:t>
            </w:r>
          </w:p>
        </w:tc>
        <w:tc>
          <w:tcPr>
            <w:tcW w:w="920" w:type="dxa"/>
            <w:vAlign w:val="bottom"/>
            <w:tcBorders>
              <w:bottom w:val="single" w:sz="8" w:color="582C83"/>
            </w:tcBorders>
            <w:shd w:val="clear" w:color="auto" w:fill="E1DBEB"/>
          </w:tcPr>
          <w:p>
            <w:pPr>
              <w:jc w:val="right"/>
              <w:ind w:right="8"/>
              <w:spacing w:after="0"/>
              <w:rPr>
                <w:sz w:val="20"/>
                <w:szCs w:val="20"/>
                <w:color w:val="auto"/>
              </w:rPr>
            </w:pPr>
            <w:r>
              <w:rPr>
                <w:rFonts w:ascii="Arial" w:cs="Arial" w:eastAsia="Arial" w:hAnsi="Arial"/>
                <w:sz w:val="14"/>
                <w:szCs w:val="14"/>
                <w:color w:val="auto"/>
              </w:rPr>
              <w:t>22,998</w:t>
            </w:r>
          </w:p>
        </w:tc>
        <w:tc>
          <w:tcPr>
            <w:tcW w:w="1220" w:type="dxa"/>
            <w:vAlign w:val="bottom"/>
            <w:tcBorders>
              <w:bottom w:val="single" w:sz="8" w:color="582C83"/>
            </w:tcBorders>
            <w:shd w:val="clear" w:color="auto" w:fill="E1DBEB"/>
          </w:tcPr>
          <w:p>
            <w:pPr>
              <w:jc w:val="center"/>
              <w:ind w:left="808"/>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582C83"/>
            </w:tcBorders>
            <w:shd w:val="clear" w:color="auto" w:fill="E1DBEB"/>
          </w:tcPr>
          <w:p>
            <w:pPr>
              <w:jc w:val="right"/>
              <w:spacing w:after="0"/>
              <w:rPr>
                <w:sz w:val="20"/>
                <w:szCs w:val="20"/>
                <w:color w:val="auto"/>
              </w:rPr>
            </w:pPr>
            <w:r>
              <w:rPr>
                <w:rFonts w:ascii="Arial" w:cs="Arial" w:eastAsia="Arial" w:hAnsi="Arial"/>
                <w:sz w:val="14"/>
                <w:szCs w:val="14"/>
                <w:color w:val="auto"/>
              </w:rPr>
              <w:t>850,080</w:t>
            </w:r>
          </w:p>
        </w:tc>
        <w:tc>
          <w:tcPr>
            <w:tcW w:w="0" w:type="dxa"/>
            <w:vAlign w:val="bottom"/>
          </w:tcPr>
          <w:p>
            <w:pPr>
              <w:spacing w:after="0"/>
              <w:rPr>
                <w:sz w:val="1"/>
                <w:szCs w:val="1"/>
                <w:color w:val="auto"/>
              </w:rPr>
            </w:pPr>
          </w:p>
        </w:tc>
      </w:tr>
      <w:tr>
        <w:trPr>
          <w:trHeight w:val="209"/>
        </w:trPr>
        <w:tc>
          <w:tcPr>
            <w:tcW w:w="146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Renaud, Martin</w:t>
            </w:r>
          </w:p>
        </w:tc>
        <w:tc>
          <w:tcPr>
            <w:tcW w:w="1340" w:type="dxa"/>
            <w:vAlign w:val="bottom"/>
            <w:tcBorders>
              <w:bottom w:val="single" w:sz="8" w:color="582C83"/>
            </w:tcBorders>
          </w:tcPr>
          <w:p>
            <w:pPr>
              <w:ind w:left="60"/>
              <w:spacing w:after="0"/>
              <w:rPr>
                <w:sz w:val="20"/>
                <w:szCs w:val="20"/>
                <w:color w:val="auto"/>
              </w:rPr>
            </w:pPr>
            <w:r>
              <w:rPr>
                <w:rFonts w:ascii="Arial" w:cs="Arial" w:eastAsia="Arial" w:hAnsi="Arial"/>
                <w:sz w:val="14"/>
                <w:szCs w:val="14"/>
                <w:color w:val="auto"/>
              </w:rPr>
              <w:t>Supplemental Plan</w:t>
            </w:r>
          </w:p>
        </w:tc>
        <w:tc>
          <w:tcPr>
            <w:tcW w:w="122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102,416</w:t>
            </w:r>
          </w:p>
        </w:tc>
        <w:tc>
          <w:tcPr>
            <w:tcW w:w="1260" w:type="dxa"/>
            <w:vAlign w:val="bottom"/>
            <w:tcBorders>
              <w:bottom w:val="single" w:sz="8" w:color="582C83"/>
            </w:tcBorders>
          </w:tcPr>
          <w:p>
            <w:pPr>
              <w:jc w:val="right"/>
              <w:ind w:right="28"/>
              <w:spacing w:after="0"/>
              <w:rPr>
                <w:sz w:val="20"/>
                <w:szCs w:val="20"/>
                <w:color w:val="auto"/>
              </w:rPr>
            </w:pPr>
            <w:r>
              <w:rPr>
                <w:rFonts w:ascii="Arial" w:cs="Arial" w:eastAsia="Arial" w:hAnsi="Arial"/>
                <w:sz w:val="14"/>
                <w:szCs w:val="14"/>
                <w:color w:val="auto"/>
              </w:rPr>
              <w:t>83,795</w:t>
            </w:r>
          </w:p>
        </w:tc>
        <w:tc>
          <w:tcPr>
            <w:tcW w:w="920" w:type="dxa"/>
            <w:vAlign w:val="bottom"/>
            <w:tcBorders>
              <w:bottom w:val="single" w:sz="8" w:color="582C83"/>
            </w:tcBorders>
          </w:tcPr>
          <w:p>
            <w:pPr>
              <w:jc w:val="right"/>
              <w:ind w:right="8"/>
              <w:spacing w:after="0"/>
              <w:rPr>
                <w:sz w:val="20"/>
                <w:szCs w:val="20"/>
                <w:color w:val="auto"/>
              </w:rPr>
            </w:pPr>
            <w:r>
              <w:rPr>
                <w:rFonts w:ascii="Arial" w:cs="Arial" w:eastAsia="Arial" w:hAnsi="Arial"/>
                <w:sz w:val="14"/>
                <w:szCs w:val="14"/>
                <w:color w:val="auto"/>
              </w:rPr>
              <w:t>40,360</w:t>
            </w:r>
          </w:p>
        </w:tc>
        <w:tc>
          <w:tcPr>
            <w:tcW w:w="1220" w:type="dxa"/>
            <w:vAlign w:val="bottom"/>
            <w:tcBorders>
              <w:bottom w:val="single" w:sz="8" w:color="582C83"/>
            </w:tcBorders>
          </w:tcPr>
          <w:p>
            <w:pPr>
              <w:jc w:val="center"/>
              <w:ind w:left="808"/>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1,469,821</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260" w:right="80" w:hanging="253"/>
        <w:spacing w:after="0" w:line="286" w:lineRule="auto"/>
        <w:tabs>
          <w:tab w:leader="none" w:pos="26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Base salary and 2025 AIP awards are included in the 2025 SCT. The 2025 deferred compensation amounts attributable to base salary and 2025 AIP awards for participating NEOs are as follows:</w:t>
      </w:r>
    </w:p>
    <w:p>
      <w:pPr>
        <w:spacing w:after="0" w:line="170" w:lineRule="exact"/>
        <w:rPr>
          <w:sz w:val="20"/>
          <w:szCs w:val="20"/>
          <w:color w:val="auto"/>
        </w:rPr>
      </w:pPr>
    </w:p>
    <w:tbl>
      <w:tblPr>
        <w:tblLayout w:type="fixed"/>
        <w:tblInd w:w="280" w:type="dxa"/>
        <w:tblCellMar>
          <w:top w:w="0" w:type="dxa"/>
          <w:left w:w="0" w:type="dxa"/>
          <w:bottom w:w="0" w:type="dxa"/>
          <w:right w:w="0" w:type="dxa"/>
        </w:tblCellMar>
      </w:tblPr>
      <w:tr>
        <w:trPr>
          <w:trHeight w:val="160"/>
        </w:trPr>
        <w:tc>
          <w:tcPr>
            <w:tcW w:w="2160" w:type="dxa"/>
            <w:vAlign w:val="bottom"/>
            <w:tcBorders>
              <w:bottom w:val="single" w:sz="8" w:color="582C83"/>
            </w:tcBorders>
          </w:tcPr>
          <w:p>
            <w:pPr>
              <w:ind w:left="40"/>
              <w:spacing w:after="0"/>
              <w:rPr>
                <w:sz w:val="20"/>
                <w:szCs w:val="20"/>
                <w:color w:val="auto"/>
              </w:rPr>
            </w:pPr>
            <w:r>
              <w:rPr>
                <w:rFonts w:ascii="Arial" w:cs="Arial" w:eastAsia="Arial" w:hAnsi="Arial"/>
                <w:sz w:val="13"/>
                <w:szCs w:val="13"/>
                <w:b w:val="1"/>
                <w:bCs w:val="1"/>
                <w:color w:val="auto"/>
              </w:rPr>
              <w:t>Name</w:t>
            </w:r>
          </w:p>
        </w:tc>
        <w:tc>
          <w:tcPr>
            <w:tcW w:w="4200" w:type="dxa"/>
            <w:vAlign w:val="bottom"/>
            <w:tcBorders>
              <w:bottom w:val="single" w:sz="8" w:color="582C83"/>
            </w:tcBorders>
          </w:tcPr>
          <w:p>
            <w:pPr>
              <w:ind w:left="40"/>
              <w:spacing w:after="0"/>
              <w:rPr>
                <w:sz w:val="20"/>
                <w:szCs w:val="20"/>
                <w:color w:val="auto"/>
              </w:rPr>
            </w:pPr>
            <w:r>
              <w:rPr>
                <w:rFonts w:ascii="Arial" w:cs="Arial" w:eastAsia="Arial" w:hAnsi="Arial"/>
                <w:sz w:val="13"/>
                <w:szCs w:val="13"/>
                <w:b w:val="1"/>
                <w:bCs w:val="1"/>
                <w:color w:val="auto"/>
              </w:rPr>
              <w:t>Plan</w:t>
            </w:r>
          </w:p>
        </w:tc>
        <w:tc>
          <w:tcPr>
            <w:tcW w:w="1360" w:type="dxa"/>
            <w:vAlign w:val="bottom"/>
            <w:tcBorders>
              <w:bottom w:val="single" w:sz="8" w:color="582C83"/>
            </w:tcBorders>
          </w:tcPr>
          <w:p>
            <w:pPr>
              <w:jc w:val="right"/>
              <w:ind w:right="117"/>
              <w:spacing w:after="0"/>
              <w:rPr>
                <w:sz w:val="20"/>
                <w:szCs w:val="20"/>
                <w:color w:val="auto"/>
              </w:rPr>
            </w:pPr>
            <w:r>
              <w:rPr>
                <w:rFonts w:ascii="Arial" w:cs="Arial" w:eastAsia="Arial" w:hAnsi="Arial"/>
                <w:sz w:val="13"/>
                <w:szCs w:val="13"/>
                <w:b w:val="1"/>
                <w:bCs w:val="1"/>
                <w:color w:val="auto"/>
              </w:rPr>
              <w:t>Base Salary ($)</w:t>
            </w:r>
          </w:p>
        </w:tc>
        <w:tc>
          <w:tcPr>
            <w:tcW w:w="1040" w:type="dxa"/>
            <w:vAlign w:val="bottom"/>
            <w:tcBorders>
              <w:bottom w:val="single" w:sz="8" w:color="582C83"/>
            </w:tcBorders>
          </w:tcPr>
          <w:p>
            <w:pPr>
              <w:jc w:val="right"/>
              <w:spacing w:after="0"/>
              <w:rPr>
                <w:sz w:val="20"/>
                <w:szCs w:val="20"/>
                <w:color w:val="auto"/>
              </w:rPr>
            </w:pPr>
            <w:r>
              <w:rPr>
                <w:rFonts w:ascii="Arial" w:cs="Arial" w:eastAsia="Arial" w:hAnsi="Arial"/>
                <w:sz w:val="13"/>
                <w:szCs w:val="13"/>
                <w:b w:val="1"/>
                <w:bCs w:val="1"/>
                <w:color w:val="auto"/>
              </w:rPr>
              <w:t>AIP Award ($)</w:t>
            </w:r>
          </w:p>
        </w:tc>
        <w:tc>
          <w:tcPr>
            <w:tcW w:w="0" w:type="dxa"/>
            <w:vAlign w:val="bottom"/>
          </w:tcPr>
          <w:p>
            <w:pPr>
              <w:spacing w:after="0"/>
              <w:rPr>
                <w:sz w:val="1"/>
                <w:szCs w:val="1"/>
                <w:color w:val="auto"/>
              </w:rPr>
            </w:pPr>
          </w:p>
        </w:tc>
      </w:tr>
      <w:tr>
        <w:trPr>
          <w:trHeight w:val="183"/>
        </w:trPr>
        <w:tc>
          <w:tcPr>
            <w:tcW w:w="2160" w:type="dxa"/>
            <w:vAlign w:val="bottom"/>
            <w:tcBorders>
              <w:bottom w:val="single" w:sz="8" w:color="E1DBEB"/>
            </w:tcBorders>
            <w:vMerge w:val="restart"/>
            <w:shd w:val="clear" w:color="auto" w:fill="E1DBEB"/>
          </w:tcPr>
          <w:p>
            <w:pPr>
              <w:ind w:left="40"/>
              <w:spacing w:after="0"/>
              <w:rPr>
                <w:sz w:val="20"/>
                <w:szCs w:val="20"/>
                <w:color w:val="auto"/>
              </w:rPr>
            </w:pPr>
            <w:r>
              <w:rPr>
                <w:rFonts w:ascii="Arial" w:cs="Arial" w:eastAsia="Arial" w:hAnsi="Arial"/>
                <w:sz w:val="13"/>
                <w:szCs w:val="13"/>
                <w:b w:val="1"/>
                <w:bCs w:val="1"/>
                <w:color w:val="auto"/>
              </w:rPr>
              <w:t>Van de Put, Dirk</w:t>
            </w:r>
          </w:p>
        </w:tc>
        <w:tc>
          <w:tcPr>
            <w:tcW w:w="4200" w:type="dxa"/>
            <w:vAlign w:val="bottom"/>
            <w:tcBorders>
              <w:bottom w:val="single" w:sz="8" w:color="582C83"/>
            </w:tcBorders>
            <w:shd w:val="clear" w:color="auto" w:fill="E1DBEB"/>
          </w:tcPr>
          <w:p>
            <w:pPr>
              <w:ind w:left="40"/>
              <w:spacing w:after="0"/>
              <w:rPr>
                <w:sz w:val="20"/>
                <w:szCs w:val="20"/>
                <w:color w:val="auto"/>
              </w:rPr>
            </w:pPr>
            <w:r>
              <w:rPr>
                <w:rFonts w:ascii="Arial" w:cs="Arial" w:eastAsia="Arial" w:hAnsi="Arial"/>
                <w:sz w:val="13"/>
                <w:szCs w:val="13"/>
                <w:color w:val="auto"/>
              </w:rPr>
              <w:t>Supplemental Plan</w:t>
            </w:r>
          </w:p>
        </w:tc>
        <w:tc>
          <w:tcPr>
            <w:tcW w:w="1360" w:type="dxa"/>
            <w:vAlign w:val="bottom"/>
            <w:tcBorders>
              <w:bottom w:val="single" w:sz="8" w:color="582C83"/>
            </w:tcBorders>
            <w:shd w:val="clear" w:color="auto" w:fill="E1DBEB"/>
          </w:tcPr>
          <w:p>
            <w:pPr>
              <w:jc w:val="right"/>
              <w:ind w:right="117"/>
              <w:spacing w:after="0"/>
              <w:rPr>
                <w:sz w:val="20"/>
                <w:szCs w:val="20"/>
                <w:color w:val="auto"/>
              </w:rPr>
            </w:pPr>
            <w:r>
              <w:rPr>
                <w:rFonts w:ascii="Arial" w:cs="Arial" w:eastAsia="Arial" w:hAnsi="Arial"/>
                <w:sz w:val="13"/>
                <w:szCs w:val="13"/>
                <w:color w:val="auto"/>
              </w:rPr>
              <w:t>75,785</w:t>
            </w:r>
          </w:p>
        </w:tc>
        <w:tc>
          <w:tcPr>
            <w:tcW w:w="1040" w:type="dxa"/>
            <w:vAlign w:val="bottom"/>
            <w:tcBorders>
              <w:bottom w:val="single" w:sz="8" w:color="582C83"/>
            </w:tcBorders>
            <w:shd w:val="clear" w:color="auto" w:fill="E1DBEB"/>
          </w:tcPr>
          <w:p>
            <w:pPr>
              <w:jc w:val="right"/>
              <w:spacing w:after="0"/>
              <w:rPr>
                <w:sz w:val="20"/>
                <w:szCs w:val="20"/>
                <w:color w:val="auto"/>
              </w:rPr>
            </w:pPr>
            <w:r>
              <w:rPr>
                <w:rFonts w:ascii="Arial" w:cs="Arial" w:eastAsia="Arial" w:hAnsi="Arial"/>
                <w:sz w:val="13"/>
                <w:szCs w:val="13"/>
                <w:color w:val="auto"/>
              </w:rPr>
              <w:t>145,685</w:t>
            </w:r>
          </w:p>
        </w:tc>
        <w:tc>
          <w:tcPr>
            <w:tcW w:w="0" w:type="dxa"/>
            <w:vAlign w:val="bottom"/>
          </w:tcPr>
          <w:p>
            <w:pPr>
              <w:spacing w:after="0"/>
              <w:rPr>
                <w:sz w:val="1"/>
                <w:szCs w:val="1"/>
                <w:color w:val="auto"/>
              </w:rPr>
            </w:pPr>
          </w:p>
        </w:tc>
      </w:tr>
      <w:tr>
        <w:trPr>
          <w:trHeight w:val="73"/>
        </w:trPr>
        <w:tc>
          <w:tcPr>
            <w:tcW w:w="2160" w:type="dxa"/>
            <w:vAlign w:val="bottom"/>
            <w:vMerge w:val="continue"/>
            <w:shd w:val="clear" w:color="auto" w:fill="E1DBEB"/>
          </w:tcPr>
          <w:p>
            <w:pPr>
              <w:spacing w:after="0"/>
              <w:rPr>
                <w:sz w:val="6"/>
                <w:szCs w:val="6"/>
                <w:color w:val="auto"/>
              </w:rPr>
            </w:pPr>
          </w:p>
        </w:tc>
        <w:tc>
          <w:tcPr>
            <w:tcW w:w="4200" w:type="dxa"/>
            <w:vAlign w:val="bottom"/>
            <w:vMerge w:val="restart"/>
            <w:shd w:val="clear" w:color="auto" w:fill="E1DBEB"/>
          </w:tcPr>
          <w:p>
            <w:pPr>
              <w:ind w:left="40"/>
              <w:spacing w:after="0"/>
              <w:rPr>
                <w:sz w:val="20"/>
                <w:szCs w:val="20"/>
                <w:color w:val="auto"/>
              </w:rPr>
            </w:pPr>
            <w:r>
              <w:rPr>
                <w:rFonts w:ascii="Arial" w:cs="Arial" w:eastAsia="Arial" w:hAnsi="Arial"/>
                <w:sz w:val="13"/>
                <w:szCs w:val="13"/>
                <w:color w:val="auto"/>
              </w:rPr>
              <w:t>MEDCP</w:t>
            </w:r>
          </w:p>
        </w:tc>
        <w:tc>
          <w:tcPr>
            <w:tcW w:w="1360" w:type="dxa"/>
            <w:vAlign w:val="bottom"/>
            <w:vMerge w:val="restart"/>
            <w:shd w:val="clear" w:color="auto" w:fill="E1DBEB"/>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vMerge w:val="restart"/>
            <w:shd w:val="clear" w:color="auto" w:fill="E1DBE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0"/>
        </w:trPr>
        <w:tc>
          <w:tcPr>
            <w:tcW w:w="2160" w:type="dxa"/>
            <w:vAlign w:val="bottom"/>
            <w:tcBorders>
              <w:bottom w:val="single" w:sz="8" w:color="582C83"/>
            </w:tcBorders>
            <w:shd w:val="clear" w:color="auto" w:fill="E1DBEB"/>
          </w:tcPr>
          <w:p>
            <w:pPr>
              <w:spacing w:after="0"/>
              <w:rPr>
                <w:sz w:val="9"/>
                <w:szCs w:val="9"/>
                <w:color w:val="auto"/>
              </w:rPr>
            </w:pPr>
          </w:p>
        </w:tc>
        <w:tc>
          <w:tcPr>
            <w:tcW w:w="4200" w:type="dxa"/>
            <w:vAlign w:val="bottom"/>
            <w:tcBorders>
              <w:bottom w:val="single" w:sz="8" w:color="582C83"/>
            </w:tcBorders>
            <w:vMerge w:val="continue"/>
            <w:shd w:val="clear" w:color="auto" w:fill="E1DBEB"/>
          </w:tcPr>
          <w:p>
            <w:pPr>
              <w:spacing w:after="0"/>
              <w:rPr>
                <w:sz w:val="9"/>
                <w:szCs w:val="9"/>
                <w:color w:val="auto"/>
              </w:rPr>
            </w:pPr>
          </w:p>
        </w:tc>
        <w:tc>
          <w:tcPr>
            <w:tcW w:w="1360" w:type="dxa"/>
            <w:vAlign w:val="bottom"/>
            <w:tcBorders>
              <w:bottom w:val="single" w:sz="8" w:color="582C83"/>
            </w:tcBorders>
            <w:vMerge w:val="continue"/>
            <w:shd w:val="clear" w:color="auto" w:fill="E1DBEB"/>
          </w:tcPr>
          <w:p>
            <w:pPr>
              <w:spacing w:after="0"/>
              <w:rPr>
                <w:sz w:val="9"/>
                <w:szCs w:val="9"/>
                <w:color w:val="auto"/>
              </w:rPr>
            </w:pPr>
          </w:p>
        </w:tc>
        <w:tc>
          <w:tcPr>
            <w:tcW w:w="1040" w:type="dxa"/>
            <w:vAlign w:val="bottom"/>
            <w:tcBorders>
              <w:bottom w:val="single" w:sz="8" w:color="582C83"/>
            </w:tcBorders>
            <w:vMerge w:val="continue"/>
            <w:shd w:val="clear" w:color="auto" w:fill="E1DBEB"/>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16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Zaramella, Luca</w:t>
            </w:r>
          </w:p>
        </w:tc>
        <w:tc>
          <w:tcPr>
            <w:tcW w:w="4200" w:type="dxa"/>
            <w:vAlign w:val="bottom"/>
            <w:tcBorders>
              <w:bottom w:val="single" w:sz="8" w:color="582C83"/>
            </w:tcBorders>
          </w:tcPr>
          <w:p>
            <w:pPr>
              <w:ind w:left="40"/>
              <w:spacing w:after="0"/>
              <w:rPr>
                <w:sz w:val="20"/>
                <w:szCs w:val="20"/>
                <w:color w:val="auto"/>
              </w:rPr>
            </w:pPr>
            <w:r>
              <w:rPr>
                <w:rFonts w:ascii="Arial" w:cs="Arial" w:eastAsia="Arial" w:hAnsi="Arial"/>
                <w:sz w:val="13"/>
                <w:szCs w:val="13"/>
                <w:color w:val="auto"/>
              </w:rPr>
              <w:t>Supplemental Plan</w:t>
            </w:r>
          </w:p>
        </w:tc>
        <w:tc>
          <w:tcPr>
            <w:tcW w:w="1360" w:type="dxa"/>
            <w:vAlign w:val="bottom"/>
            <w:tcBorders>
              <w:bottom w:val="single" w:sz="8" w:color="582C83"/>
            </w:tcBorders>
          </w:tcPr>
          <w:p>
            <w:pPr>
              <w:jc w:val="right"/>
              <w:ind w:right="117"/>
              <w:spacing w:after="0"/>
              <w:rPr>
                <w:sz w:val="20"/>
                <w:szCs w:val="20"/>
                <w:color w:val="auto"/>
              </w:rPr>
            </w:pPr>
            <w:r>
              <w:rPr>
                <w:rFonts w:ascii="Arial" w:cs="Arial" w:eastAsia="Arial" w:hAnsi="Arial"/>
                <w:sz w:val="13"/>
                <w:szCs w:val="13"/>
                <w:color w:val="auto"/>
              </w:rPr>
              <w:t>55,020</w:t>
            </w:r>
          </w:p>
        </w:tc>
        <w:tc>
          <w:tcPr>
            <w:tcW w:w="10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41,192</w:t>
            </w:r>
          </w:p>
        </w:tc>
        <w:tc>
          <w:tcPr>
            <w:tcW w:w="0" w:type="dxa"/>
            <w:vAlign w:val="bottom"/>
          </w:tcPr>
          <w:p>
            <w:pPr>
              <w:spacing w:after="0"/>
              <w:rPr>
                <w:sz w:val="1"/>
                <w:szCs w:val="1"/>
                <w:color w:val="auto"/>
              </w:rPr>
            </w:pPr>
          </w:p>
        </w:tc>
      </w:tr>
      <w:tr>
        <w:trPr>
          <w:trHeight w:val="73"/>
        </w:trPr>
        <w:tc>
          <w:tcPr>
            <w:tcW w:w="2160" w:type="dxa"/>
            <w:vAlign w:val="bottom"/>
            <w:vMerge w:val="continue"/>
          </w:tcPr>
          <w:p>
            <w:pPr>
              <w:spacing w:after="0"/>
              <w:rPr>
                <w:sz w:val="6"/>
                <w:szCs w:val="6"/>
                <w:color w:val="auto"/>
              </w:rPr>
            </w:pPr>
          </w:p>
        </w:tc>
        <w:tc>
          <w:tcPr>
            <w:tcW w:w="4200" w:type="dxa"/>
            <w:vAlign w:val="bottom"/>
            <w:vMerge w:val="restart"/>
          </w:tcPr>
          <w:p>
            <w:pPr>
              <w:ind w:left="40"/>
              <w:spacing w:after="0"/>
              <w:rPr>
                <w:sz w:val="20"/>
                <w:szCs w:val="20"/>
                <w:color w:val="auto"/>
              </w:rPr>
            </w:pPr>
            <w:r>
              <w:rPr>
                <w:rFonts w:ascii="Arial" w:cs="Arial" w:eastAsia="Arial" w:hAnsi="Arial"/>
                <w:sz w:val="13"/>
                <w:szCs w:val="13"/>
                <w:color w:val="auto"/>
              </w:rPr>
              <w:t>MEDCP</w:t>
            </w:r>
          </w:p>
        </w:tc>
        <w:tc>
          <w:tcPr>
            <w:tcW w:w="136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275,000</w:t>
            </w:r>
          </w:p>
        </w:tc>
        <w:tc>
          <w:tcPr>
            <w:tcW w:w="0" w:type="dxa"/>
            <w:vAlign w:val="bottom"/>
          </w:tcPr>
          <w:p>
            <w:pPr>
              <w:spacing w:after="0"/>
              <w:rPr>
                <w:sz w:val="1"/>
                <w:szCs w:val="1"/>
                <w:color w:val="auto"/>
              </w:rPr>
            </w:pPr>
          </w:p>
        </w:tc>
      </w:tr>
      <w:tr>
        <w:trPr>
          <w:trHeight w:val="110"/>
        </w:trPr>
        <w:tc>
          <w:tcPr>
            <w:tcW w:w="2160" w:type="dxa"/>
            <w:vAlign w:val="bottom"/>
            <w:tcBorders>
              <w:bottom w:val="single" w:sz="8" w:color="582C83"/>
            </w:tcBorders>
          </w:tcPr>
          <w:p>
            <w:pPr>
              <w:spacing w:after="0"/>
              <w:rPr>
                <w:sz w:val="9"/>
                <w:szCs w:val="9"/>
                <w:color w:val="auto"/>
              </w:rPr>
            </w:pPr>
          </w:p>
        </w:tc>
        <w:tc>
          <w:tcPr>
            <w:tcW w:w="4200" w:type="dxa"/>
            <w:vAlign w:val="bottom"/>
            <w:tcBorders>
              <w:bottom w:val="single" w:sz="8" w:color="582C83"/>
            </w:tcBorders>
            <w:vMerge w:val="continue"/>
          </w:tcPr>
          <w:p>
            <w:pPr>
              <w:spacing w:after="0"/>
              <w:rPr>
                <w:sz w:val="9"/>
                <w:szCs w:val="9"/>
                <w:color w:val="auto"/>
              </w:rPr>
            </w:pPr>
          </w:p>
        </w:tc>
        <w:tc>
          <w:tcPr>
            <w:tcW w:w="1360" w:type="dxa"/>
            <w:vAlign w:val="bottom"/>
            <w:tcBorders>
              <w:bottom w:val="single" w:sz="8" w:color="582C83"/>
            </w:tcBorders>
            <w:vMerge w:val="continue"/>
          </w:tcPr>
          <w:p>
            <w:pPr>
              <w:spacing w:after="0"/>
              <w:rPr>
                <w:sz w:val="9"/>
                <w:szCs w:val="9"/>
                <w:color w:val="auto"/>
              </w:rPr>
            </w:pPr>
          </w:p>
        </w:tc>
        <w:tc>
          <w:tcPr>
            <w:tcW w:w="1040" w:type="dxa"/>
            <w:vAlign w:val="bottom"/>
            <w:tcBorders>
              <w:bottom w:val="single" w:sz="8" w:color="582C8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160" w:type="dxa"/>
            <w:vAlign w:val="bottom"/>
            <w:tcBorders>
              <w:bottom w:val="single" w:sz="8" w:color="582C83"/>
            </w:tcBorders>
            <w:shd w:val="clear" w:color="auto" w:fill="E1DBEB"/>
          </w:tcPr>
          <w:p>
            <w:pPr>
              <w:ind w:left="40"/>
              <w:spacing w:after="0"/>
              <w:rPr>
                <w:sz w:val="20"/>
                <w:szCs w:val="20"/>
                <w:color w:val="auto"/>
              </w:rPr>
            </w:pPr>
            <w:r>
              <w:rPr>
                <w:rFonts w:ascii="Arial" w:cs="Arial" w:eastAsia="Arial" w:hAnsi="Arial"/>
                <w:sz w:val="13"/>
                <w:szCs w:val="13"/>
                <w:b w:val="1"/>
                <w:bCs w:val="1"/>
                <w:color w:val="auto"/>
              </w:rPr>
              <w:t>Valle, Gustavo</w:t>
            </w:r>
          </w:p>
        </w:tc>
        <w:tc>
          <w:tcPr>
            <w:tcW w:w="4200" w:type="dxa"/>
            <w:vAlign w:val="bottom"/>
            <w:tcBorders>
              <w:bottom w:val="single" w:sz="8" w:color="582C83"/>
            </w:tcBorders>
            <w:shd w:val="clear" w:color="auto" w:fill="E1DBEB"/>
          </w:tcPr>
          <w:p>
            <w:pPr>
              <w:ind w:left="40"/>
              <w:spacing w:after="0"/>
              <w:rPr>
                <w:sz w:val="20"/>
                <w:szCs w:val="20"/>
                <w:color w:val="auto"/>
              </w:rPr>
            </w:pPr>
            <w:r>
              <w:rPr>
                <w:rFonts w:ascii="Arial" w:cs="Arial" w:eastAsia="Arial" w:hAnsi="Arial"/>
                <w:sz w:val="13"/>
                <w:szCs w:val="13"/>
                <w:color w:val="auto"/>
              </w:rPr>
              <w:t>Supplemental Plan</w:t>
            </w:r>
          </w:p>
        </w:tc>
        <w:tc>
          <w:tcPr>
            <w:tcW w:w="1360" w:type="dxa"/>
            <w:vAlign w:val="bottom"/>
            <w:tcBorders>
              <w:bottom w:val="single" w:sz="8" w:color="582C83"/>
            </w:tcBorders>
            <w:shd w:val="clear" w:color="auto" w:fill="E1DBEB"/>
          </w:tcPr>
          <w:p>
            <w:pPr>
              <w:jc w:val="right"/>
              <w:ind w:right="117"/>
              <w:spacing w:after="0"/>
              <w:rPr>
                <w:sz w:val="20"/>
                <w:szCs w:val="20"/>
                <w:color w:val="auto"/>
              </w:rPr>
            </w:pPr>
            <w:r>
              <w:rPr>
                <w:rFonts w:ascii="Arial" w:cs="Arial" w:eastAsia="Arial" w:hAnsi="Arial"/>
                <w:sz w:val="13"/>
                <w:szCs w:val="13"/>
                <w:color w:val="auto"/>
              </w:rPr>
              <w:t>39,102</w:t>
            </w:r>
          </w:p>
        </w:tc>
        <w:tc>
          <w:tcPr>
            <w:tcW w:w="1040" w:type="dxa"/>
            <w:vAlign w:val="bottom"/>
            <w:tcBorders>
              <w:bottom w:val="single" w:sz="8" w:color="582C83"/>
            </w:tcBorders>
            <w:shd w:val="clear" w:color="auto" w:fill="E1DBEB"/>
          </w:tcPr>
          <w:p>
            <w:pPr>
              <w:jc w:val="right"/>
              <w:spacing w:after="0"/>
              <w:rPr>
                <w:sz w:val="20"/>
                <w:szCs w:val="20"/>
                <w:color w:val="auto"/>
              </w:rPr>
            </w:pPr>
            <w:r>
              <w:rPr>
                <w:rFonts w:ascii="Arial" w:cs="Arial" w:eastAsia="Arial" w:hAnsi="Arial"/>
                <w:sz w:val="13"/>
                <w:szCs w:val="13"/>
                <w:color w:val="auto"/>
              </w:rPr>
              <w:t>5,519</w:t>
            </w:r>
          </w:p>
        </w:tc>
        <w:tc>
          <w:tcPr>
            <w:tcW w:w="0" w:type="dxa"/>
            <w:vAlign w:val="bottom"/>
          </w:tcPr>
          <w:p>
            <w:pPr>
              <w:spacing w:after="0"/>
              <w:rPr>
                <w:sz w:val="1"/>
                <w:szCs w:val="1"/>
                <w:color w:val="auto"/>
              </w:rPr>
            </w:pPr>
          </w:p>
        </w:tc>
      </w:tr>
      <w:tr>
        <w:trPr>
          <w:trHeight w:val="183"/>
        </w:trPr>
        <w:tc>
          <w:tcPr>
            <w:tcW w:w="2160" w:type="dxa"/>
            <w:vAlign w:val="bottom"/>
            <w:tcBorders>
              <w:bottom w:val="single" w:sz="8" w:color="582C83"/>
            </w:tcBorders>
          </w:tcPr>
          <w:p>
            <w:pPr>
              <w:ind w:left="40"/>
              <w:spacing w:after="0"/>
              <w:rPr>
                <w:sz w:val="20"/>
                <w:szCs w:val="20"/>
                <w:color w:val="auto"/>
              </w:rPr>
            </w:pPr>
            <w:r>
              <w:rPr>
                <w:rFonts w:ascii="Arial" w:cs="Arial" w:eastAsia="Arial" w:hAnsi="Arial"/>
                <w:sz w:val="13"/>
                <w:szCs w:val="13"/>
                <w:b w:val="1"/>
                <w:bCs w:val="1"/>
                <w:color w:val="auto"/>
              </w:rPr>
              <w:t>Renaud, Martin</w:t>
            </w:r>
          </w:p>
        </w:tc>
        <w:tc>
          <w:tcPr>
            <w:tcW w:w="4200" w:type="dxa"/>
            <w:vAlign w:val="bottom"/>
            <w:tcBorders>
              <w:bottom w:val="single" w:sz="8" w:color="582C83"/>
            </w:tcBorders>
          </w:tcPr>
          <w:p>
            <w:pPr>
              <w:ind w:left="40"/>
              <w:spacing w:after="0"/>
              <w:rPr>
                <w:sz w:val="20"/>
                <w:szCs w:val="20"/>
                <w:color w:val="auto"/>
              </w:rPr>
            </w:pPr>
            <w:r>
              <w:rPr>
                <w:rFonts w:ascii="Arial" w:cs="Arial" w:eastAsia="Arial" w:hAnsi="Arial"/>
                <w:sz w:val="13"/>
                <w:szCs w:val="13"/>
                <w:color w:val="auto"/>
              </w:rPr>
              <w:t>Supplemental Plan</w:t>
            </w:r>
          </w:p>
        </w:tc>
        <w:tc>
          <w:tcPr>
            <w:tcW w:w="1360" w:type="dxa"/>
            <w:vAlign w:val="bottom"/>
            <w:tcBorders>
              <w:bottom w:val="single" w:sz="8" w:color="582C83"/>
            </w:tcBorders>
          </w:tcPr>
          <w:p>
            <w:pPr>
              <w:jc w:val="right"/>
              <w:ind w:right="117"/>
              <w:spacing w:after="0"/>
              <w:rPr>
                <w:sz w:val="20"/>
                <w:szCs w:val="20"/>
                <w:color w:val="auto"/>
              </w:rPr>
            </w:pPr>
            <w:r>
              <w:rPr>
                <w:rFonts w:ascii="Arial" w:cs="Arial" w:eastAsia="Arial" w:hAnsi="Arial"/>
                <w:sz w:val="13"/>
                <w:szCs w:val="13"/>
                <w:color w:val="auto"/>
              </w:rPr>
              <w:t>66,152</w:t>
            </w:r>
          </w:p>
        </w:tc>
        <w:tc>
          <w:tcPr>
            <w:tcW w:w="10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36,264</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260" w:hanging="253"/>
        <w:spacing w:after="0"/>
        <w:tabs>
          <w:tab w:leader="none" w:pos="26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Amounts in this column are also included in the “All Other Compensation” column in the 2025 SCT.</w:t>
      </w:r>
    </w:p>
    <w:p>
      <w:pPr>
        <w:spacing w:after="0" w:line="16" w:lineRule="exact"/>
        <w:rPr>
          <w:rFonts w:ascii="Arial" w:cs="Arial" w:eastAsia="Arial" w:hAnsi="Arial"/>
          <w:sz w:val="13"/>
          <w:szCs w:val="13"/>
          <w:color w:val="auto"/>
        </w:rPr>
      </w:pPr>
    </w:p>
    <w:p>
      <w:pPr>
        <w:ind w:left="260" w:hanging="253"/>
        <w:spacing w:after="0"/>
        <w:tabs>
          <w:tab w:leader="none" w:pos="26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Amounts in this column are at market rates and thus are not reflected in the 2025 SCT.</w:t>
      </w:r>
    </w:p>
    <w:p>
      <w:pPr>
        <w:spacing w:after="0" w:line="12" w:lineRule="exact"/>
        <w:rPr>
          <w:rFonts w:ascii="Arial" w:cs="Arial" w:eastAsia="Arial" w:hAnsi="Arial"/>
          <w:sz w:val="13"/>
          <w:szCs w:val="13"/>
          <w:color w:val="auto"/>
        </w:rPr>
      </w:pPr>
    </w:p>
    <w:p>
      <w:pPr>
        <w:ind w:left="260" w:hanging="253"/>
        <w:spacing w:after="0" w:line="270" w:lineRule="auto"/>
        <w:tabs>
          <w:tab w:leader="none" w:pos="26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aggregate balance includes amounts reported as compensation for our NEOs in prior years. Amounts reported attributable to base salary, AIP awards, or all other compensation that were reported in the SCT of previously filed proxy statements for the participating NEOs are as follows: Mr. Van de Put – $14,724,281; Mr. Zaramella – $2,235,738; Mr. Valle – $639,225; and Mr. Renaud – $0.</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MONDELĒZ GLOBAL LLC SUPPLEMENTAL BENEFITS PLAN</w:t>
      </w:r>
    </w:p>
    <w:p>
      <w:pPr>
        <w:spacing w:after="0" w:line="11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Because IRS Code Sections 401(a)(17) and 415 limits the amount that may be contributed to our U.S. tax-qualified defined contribution plan on behalf of an employee, we offer our U.S.-based NEOs a supplemental defined contribution program under the Supplemental Plan. This is an unfunded non-qualified plan that allows eligible employees to defer a portion of their annual compensation (base salary and AIP awards) and receive corresponding matching amounts to the extent that their contributions to the tax-qualified defined contribution plan (and the corresponding matching contributions) are limited by Code Sections 401(a)(17) or 415. In addition, all eligible U.S.-based employees, who are not otherwise eligible to participate in the Mondelēz Global LLC Retirement Plan, receive an additional non-elective company contribution to the Supplemental Plan equal to 4.5% of eligible compensation.</w:t>
      </w:r>
    </w:p>
    <w:p>
      <w:pPr>
        <w:spacing w:after="0" w:line="72"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The timing of distributions depends on whether the amount distributed is subject to Code Section 409A. For distributions not subject to Code Section 409A, the distribution will be made in accordance with the employee’s distribution election. For distributions subject to Code Section 409A, employees will receive their account balances in a lump sum within 90 days after separation from service. An employee who is a “specified employee” for purposes of Code Section 409A will have the lump sum delayed for six months. Amounts deferred and notional employer matching contributions earn the same notional rate of return as the Income Fund, which is a market rate investment option available to participants in the U.S. tax-qualified defined contribution plan. The rate of return under this investment option in 2025 was 3.00%.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796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10375" cy="79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EXECUTIVE COMPENSATION TABLES</w:t>
      </w:r>
    </w:p>
    <w:p>
      <w:pPr>
        <w:spacing w:after="0" w:line="33" w:lineRule="exact"/>
        <w:rPr>
          <w:sz w:val="20"/>
          <w:szCs w:val="20"/>
          <w:color w:val="auto"/>
        </w:rPr>
      </w:pPr>
    </w:p>
    <w:p>
      <w:pPr>
        <w:ind w:left="60"/>
        <w:spacing w:after="0" w:line="161" w:lineRule="exact"/>
        <w:rPr>
          <w:sz w:val="20"/>
          <w:szCs w:val="20"/>
          <w:color w:val="auto"/>
        </w:rPr>
      </w:pPr>
      <w:r>
        <w:rPr>
          <w:rFonts w:ascii="Arial" w:cs="Arial" w:eastAsia="Arial" w:hAnsi="Arial"/>
          <w:sz w:val="14"/>
          <w:szCs w:val="14"/>
          <w:color w:val="auto"/>
        </w:rPr>
        <w:t>2025 Non</w:t>
      </w:r>
      <w:r>
        <w:rPr>
          <w:rFonts w:ascii="MS PGothic" w:cs="MS PGothic" w:eastAsia="MS PGothic" w:hAnsi="MS PGothic"/>
          <w:sz w:val="14"/>
          <w:szCs w:val="14"/>
          <w:color w:val="auto"/>
        </w:rPr>
        <w:t>‑</w:t>
      </w:r>
      <w:r>
        <w:rPr>
          <w:rFonts w:ascii="Arial" w:cs="Arial" w:eastAsia="Arial" w:hAnsi="Arial"/>
          <w:sz w:val="14"/>
          <w:szCs w:val="14"/>
          <w:color w:val="auto"/>
        </w:rPr>
        <w:t>Qualified Deferred Compensation Benefits</w:t>
      </w:r>
    </w:p>
    <w:p>
      <w:pPr>
        <w:sectPr>
          <w:pgSz w:w="11900" w:h="16838" w:orient="portrait"/>
          <w:cols w:equalWidth="0" w:num="1">
            <w:col w:w="9040"/>
          </w:cols>
          <w:pgMar w:left="1420" w:top="643" w:right="1439" w:bottom="0" w:gutter="0" w:footer="0" w:header="0"/>
        </w:sectPr>
      </w:pPr>
    </w:p>
    <w:bookmarkStart w:id="80" w:name="page81"/>
    <w:bookmarkEnd w:id="80"/>
    <w:p>
      <w:pPr>
        <w:spacing w:after="0"/>
        <w:rPr>
          <w:sz w:val="20"/>
          <w:szCs w:val="20"/>
          <w:color w:val="auto"/>
        </w:rPr>
      </w:pPr>
      <w:r>
        <w:rPr>
          <w:rFonts w:ascii="Arial" w:cs="Arial" w:eastAsia="Arial" w:hAnsi="Arial"/>
          <w:sz w:val="22"/>
          <w:szCs w:val="22"/>
          <w:b w:val="1"/>
          <w:bCs w:val="1"/>
          <w:color w:val="582C83"/>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0600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10375" cy="8060055"/>
                    </a:xfrm>
                    <a:prstGeom prst="rect">
                      <a:avLst/>
                    </a:prstGeom>
                    <a:noFill/>
                  </pic:spPr>
                </pic:pic>
              </a:graphicData>
            </a:graphic>
          </wp:anchor>
        </w:drawing>
        <w:t>MONDELĒZ GLOBAL LLC MEDCP</w:t>
      </w:r>
    </w:p>
    <w:p>
      <w:pPr>
        <w:spacing w:after="0" w:line="11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MEDCP is a non-qualified plan that allows U.S.-based participants to defer, on a pre-tax basis, up to 50% of salary and up to 100% of their AIP award. The notional investment options are similar to those offered to participants in our U.S. tax-qualified defined contribution plan. A participant who elects to defer compensation must decide whether to defer receipt of the compensation until separation from service, as determined under Code Section 409A, or to receive a distribution while still employed with the Company. Distributions may be made in a lump sum or annual installments of between two and 10 years. Any participant who is a specified employee for purposes of Code Section 409A will have the distribution delayed for six months following a separation from service.</w:t>
      </w:r>
    </w:p>
    <w:p>
      <w:pPr>
        <w:spacing w:after="0" w:line="70"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The notional investment options available to participants in the MEDCP are selected by the Company and may be changed from time to time. Participants are permitted to change their investment elections at any time on a prospective basis (subject to applicable requirements of Code Section 409A). The table below shows the available notional investment options under the MEDCP and their annual rate of return for the calendar year ended December 31, 2025.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2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Name of Fund</w:t>
            </w:r>
          </w:p>
        </w:tc>
        <w:tc>
          <w:tcPr>
            <w:tcW w:w="322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Annual Return</w:t>
            </w:r>
          </w:p>
        </w:tc>
      </w:tr>
      <w:tr>
        <w:trPr>
          <w:trHeight w:val="216"/>
        </w:trPr>
        <w:tc>
          <w:tcPr>
            <w:tcW w:w="5820" w:type="dxa"/>
            <w:vAlign w:val="bottom"/>
            <w:tcBorders>
              <w:bottom w:val="single" w:sz="8" w:color="5D2D91"/>
            </w:tcBorders>
            <w:shd w:val="clear" w:color="auto" w:fill="E0DBEA"/>
          </w:tcPr>
          <w:p>
            <w:pPr>
              <w:ind w:left="60"/>
              <w:spacing w:after="0"/>
              <w:rPr>
                <w:sz w:val="20"/>
                <w:szCs w:val="20"/>
                <w:color w:val="auto"/>
              </w:rPr>
            </w:pPr>
            <w:r>
              <w:rPr>
                <w:rFonts w:ascii="Arial" w:cs="Arial" w:eastAsia="Arial" w:hAnsi="Arial"/>
                <w:sz w:val="14"/>
                <w:szCs w:val="14"/>
                <w:color w:val="auto"/>
              </w:rPr>
              <w:t>SSgA S&amp;P 500 Index (SVSPX)</w:t>
            </w:r>
          </w:p>
        </w:tc>
        <w:tc>
          <w:tcPr>
            <w:tcW w:w="3220" w:type="dxa"/>
            <w:vAlign w:val="bottom"/>
            <w:tcBorders>
              <w:bottom w:val="single" w:sz="8" w:color="5D2D91"/>
            </w:tcBorders>
            <w:shd w:val="clear" w:color="auto" w:fill="E0DBEA"/>
          </w:tcPr>
          <w:p>
            <w:pPr>
              <w:jc w:val="right"/>
              <w:spacing w:after="0"/>
              <w:rPr>
                <w:sz w:val="20"/>
                <w:szCs w:val="20"/>
                <w:color w:val="auto"/>
              </w:rPr>
            </w:pPr>
            <w:r>
              <w:rPr>
                <w:rFonts w:ascii="Arial" w:cs="Arial" w:eastAsia="Arial" w:hAnsi="Arial"/>
                <w:sz w:val="14"/>
                <w:szCs w:val="14"/>
                <w:color w:val="auto"/>
              </w:rPr>
              <w:t>17.68%</w:t>
            </w:r>
          </w:p>
        </w:tc>
      </w:tr>
      <w:tr>
        <w:trPr>
          <w:trHeight w:val="210"/>
        </w:trPr>
        <w:tc>
          <w:tcPr>
            <w:tcW w:w="5820" w:type="dxa"/>
            <w:vAlign w:val="bottom"/>
            <w:tcBorders>
              <w:bottom w:val="single" w:sz="8" w:color="5D2D91"/>
            </w:tcBorders>
          </w:tcPr>
          <w:p>
            <w:pPr>
              <w:ind w:left="60"/>
              <w:spacing w:after="0"/>
              <w:rPr>
                <w:sz w:val="20"/>
                <w:szCs w:val="20"/>
                <w:color w:val="auto"/>
              </w:rPr>
            </w:pPr>
            <w:r>
              <w:rPr>
                <w:rFonts w:ascii="Arial" w:cs="Arial" w:eastAsia="Arial" w:hAnsi="Arial"/>
                <w:sz w:val="14"/>
                <w:szCs w:val="14"/>
                <w:color w:val="auto"/>
              </w:rPr>
              <w:t>Vanguard Developed Markets Index Admiral (VTMGX)</w:t>
            </w:r>
          </w:p>
        </w:tc>
        <w:tc>
          <w:tcPr>
            <w:tcW w:w="3220" w:type="dxa"/>
            <w:vAlign w:val="bottom"/>
            <w:tcBorders>
              <w:bottom w:val="single" w:sz="8" w:color="5D2D91"/>
            </w:tcBorders>
          </w:tcPr>
          <w:p>
            <w:pPr>
              <w:jc w:val="right"/>
              <w:spacing w:after="0"/>
              <w:rPr>
                <w:sz w:val="20"/>
                <w:szCs w:val="20"/>
                <w:color w:val="auto"/>
              </w:rPr>
            </w:pPr>
            <w:r>
              <w:rPr>
                <w:rFonts w:ascii="Arial" w:cs="Arial" w:eastAsia="Arial" w:hAnsi="Arial"/>
                <w:sz w:val="14"/>
                <w:szCs w:val="14"/>
                <w:color w:val="auto"/>
              </w:rPr>
              <w:t>35.17%</w:t>
            </w:r>
          </w:p>
        </w:tc>
      </w:tr>
      <w:tr>
        <w:trPr>
          <w:trHeight w:val="209"/>
        </w:trPr>
        <w:tc>
          <w:tcPr>
            <w:tcW w:w="5820" w:type="dxa"/>
            <w:vAlign w:val="bottom"/>
            <w:tcBorders>
              <w:bottom w:val="single" w:sz="8" w:color="5D2D91"/>
            </w:tcBorders>
            <w:shd w:val="clear" w:color="auto" w:fill="E0DBEA"/>
          </w:tcPr>
          <w:p>
            <w:pPr>
              <w:ind w:left="60"/>
              <w:spacing w:after="0"/>
              <w:rPr>
                <w:sz w:val="20"/>
                <w:szCs w:val="20"/>
                <w:color w:val="auto"/>
              </w:rPr>
            </w:pPr>
            <w:r>
              <w:rPr>
                <w:rFonts w:ascii="Arial" w:cs="Arial" w:eastAsia="Arial" w:hAnsi="Arial"/>
                <w:sz w:val="14"/>
                <w:szCs w:val="14"/>
                <w:color w:val="auto"/>
              </w:rPr>
              <w:t>Vanguard Emerging Mkts Stock Index Admiral (VEMAX)</w:t>
            </w:r>
          </w:p>
        </w:tc>
        <w:tc>
          <w:tcPr>
            <w:tcW w:w="3220" w:type="dxa"/>
            <w:vAlign w:val="bottom"/>
            <w:tcBorders>
              <w:bottom w:val="single" w:sz="8" w:color="5D2D91"/>
            </w:tcBorders>
            <w:shd w:val="clear" w:color="auto" w:fill="E0DBEA"/>
          </w:tcPr>
          <w:p>
            <w:pPr>
              <w:jc w:val="right"/>
              <w:spacing w:after="0"/>
              <w:rPr>
                <w:sz w:val="20"/>
                <w:szCs w:val="20"/>
                <w:color w:val="auto"/>
              </w:rPr>
            </w:pPr>
            <w:r>
              <w:rPr>
                <w:rFonts w:ascii="Arial" w:cs="Arial" w:eastAsia="Arial" w:hAnsi="Arial"/>
                <w:sz w:val="14"/>
                <w:szCs w:val="14"/>
                <w:color w:val="auto"/>
              </w:rPr>
              <w:t>24.75%</w:t>
            </w:r>
          </w:p>
        </w:tc>
      </w:tr>
      <w:tr>
        <w:trPr>
          <w:trHeight w:val="209"/>
        </w:trPr>
        <w:tc>
          <w:tcPr>
            <w:tcW w:w="5820" w:type="dxa"/>
            <w:vAlign w:val="bottom"/>
            <w:tcBorders>
              <w:bottom w:val="single" w:sz="8" w:color="5D2D91"/>
            </w:tcBorders>
          </w:tcPr>
          <w:p>
            <w:pPr>
              <w:ind w:left="60"/>
              <w:spacing w:after="0"/>
              <w:rPr>
                <w:sz w:val="20"/>
                <w:szCs w:val="20"/>
                <w:color w:val="auto"/>
              </w:rPr>
            </w:pPr>
            <w:r>
              <w:rPr>
                <w:rFonts w:ascii="Arial" w:cs="Arial" w:eastAsia="Arial" w:hAnsi="Arial"/>
                <w:sz w:val="14"/>
                <w:szCs w:val="14"/>
                <w:color w:val="auto"/>
              </w:rPr>
              <w:t>Vanguard Extended Market Index Admiral (VEXAX)</w:t>
            </w:r>
          </w:p>
        </w:tc>
        <w:tc>
          <w:tcPr>
            <w:tcW w:w="3220" w:type="dxa"/>
            <w:vAlign w:val="bottom"/>
            <w:tcBorders>
              <w:bottom w:val="single" w:sz="8" w:color="5D2D91"/>
            </w:tcBorders>
          </w:tcPr>
          <w:p>
            <w:pPr>
              <w:jc w:val="right"/>
              <w:ind w:right="8"/>
              <w:spacing w:after="0"/>
              <w:rPr>
                <w:sz w:val="20"/>
                <w:szCs w:val="20"/>
                <w:color w:val="auto"/>
              </w:rPr>
            </w:pPr>
            <w:r>
              <w:rPr>
                <w:rFonts w:ascii="Arial" w:cs="Arial" w:eastAsia="Arial" w:hAnsi="Arial"/>
                <w:sz w:val="14"/>
                <w:szCs w:val="14"/>
                <w:color w:val="auto"/>
              </w:rPr>
              <w:t>11.42%</w:t>
            </w:r>
          </w:p>
        </w:tc>
      </w:tr>
      <w:tr>
        <w:trPr>
          <w:trHeight w:val="210"/>
        </w:trPr>
        <w:tc>
          <w:tcPr>
            <w:tcW w:w="5820" w:type="dxa"/>
            <w:vAlign w:val="bottom"/>
            <w:tcBorders>
              <w:bottom w:val="single" w:sz="8" w:color="5D2D91"/>
            </w:tcBorders>
            <w:shd w:val="clear" w:color="auto" w:fill="E0DBEA"/>
          </w:tcPr>
          <w:p>
            <w:pPr>
              <w:ind w:left="60"/>
              <w:spacing w:after="0"/>
              <w:rPr>
                <w:sz w:val="20"/>
                <w:szCs w:val="20"/>
                <w:color w:val="auto"/>
              </w:rPr>
            </w:pPr>
            <w:r>
              <w:rPr>
                <w:rFonts w:ascii="Arial" w:cs="Arial" w:eastAsia="Arial" w:hAnsi="Arial"/>
                <w:sz w:val="14"/>
                <w:szCs w:val="14"/>
                <w:color w:val="auto"/>
              </w:rPr>
              <w:t>Vanguard Federal Money Market Fund (VMFXX)</w:t>
            </w:r>
          </w:p>
        </w:tc>
        <w:tc>
          <w:tcPr>
            <w:tcW w:w="3220" w:type="dxa"/>
            <w:vAlign w:val="bottom"/>
            <w:tcBorders>
              <w:bottom w:val="single" w:sz="8" w:color="5D2D91"/>
            </w:tcBorders>
            <w:shd w:val="clear" w:color="auto" w:fill="E0DBEA"/>
          </w:tcPr>
          <w:p>
            <w:pPr>
              <w:jc w:val="right"/>
              <w:spacing w:after="0"/>
              <w:rPr>
                <w:sz w:val="20"/>
                <w:szCs w:val="20"/>
                <w:color w:val="auto"/>
              </w:rPr>
            </w:pPr>
            <w:r>
              <w:rPr>
                <w:rFonts w:ascii="Arial" w:cs="Arial" w:eastAsia="Arial" w:hAnsi="Arial"/>
                <w:sz w:val="14"/>
                <w:szCs w:val="14"/>
                <w:color w:val="auto"/>
              </w:rPr>
              <w:t>4.22%</w:t>
            </w:r>
          </w:p>
        </w:tc>
      </w:tr>
      <w:tr>
        <w:trPr>
          <w:trHeight w:val="209"/>
        </w:trPr>
        <w:tc>
          <w:tcPr>
            <w:tcW w:w="5820" w:type="dxa"/>
            <w:vAlign w:val="bottom"/>
            <w:tcBorders>
              <w:bottom w:val="single" w:sz="8" w:color="5D2D91"/>
            </w:tcBorders>
          </w:tcPr>
          <w:p>
            <w:pPr>
              <w:ind w:left="60"/>
              <w:spacing w:after="0"/>
              <w:rPr>
                <w:sz w:val="20"/>
                <w:szCs w:val="20"/>
                <w:color w:val="auto"/>
              </w:rPr>
            </w:pPr>
            <w:r>
              <w:rPr>
                <w:rFonts w:ascii="Arial" w:cs="Arial" w:eastAsia="Arial" w:hAnsi="Arial"/>
                <w:sz w:val="14"/>
                <w:szCs w:val="14"/>
                <w:color w:val="auto"/>
              </w:rPr>
              <w:t>Vanguard Inflation Protected Sec Admiral (VAIPX)</w:t>
            </w:r>
          </w:p>
        </w:tc>
        <w:tc>
          <w:tcPr>
            <w:tcW w:w="3220" w:type="dxa"/>
            <w:vAlign w:val="bottom"/>
            <w:tcBorders>
              <w:bottom w:val="single" w:sz="8" w:color="5D2D91"/>
            </w:tcBorders>
          </w:tcPr>
          <w:p>
            <w:pPr>
              <w:jc w:val="right"/>
              <w:spacing w:after="0"/>
              <w:rPr>
                <w:sz w:val="20"/>
                <w:szCs w:val="20"/>
                <w:color w:val="auto"/>
              </w:rPr>
            </w:pPr>
            <w:r>
              <w:rPr>
                <w:rFonts w:ascii="Arial" w:cs="Arial" w:eastAsia="Arial" w:hAnsi="Arial"/>
                <w:sz w:val="14"/>
                <w:szCs w:val="14"/>
                <w:color w:val="auto"/>
              </w:rPr>
              <w:t>6.87%</w:t>
            </w:r>
          </w:p>
        </w:tc>
      </w:tr>
      <w:tr>
        <w:trPr>
          <w:trHeight w:val="210"/>
        </w:trPr>
        <w:tc>
          <w:tcPr>
            <w:tcW w:w="5820" w:type="dxa"/>
            <w:vAlign w:val="bottom"/>
            <w:tcBorders>
              <w:bottom w:val="single" w:sz="8" w:color="5D2D91"/>
            </w:tcBorders>
            <w:shd w:val="clear" w:color="auto" w:fill="E0DBEA"/>
          </w:tcPr>
          <w:p>
            <w:pPr>
              <w:ind w:left="60"/>
              <w:spacing w:after="0"/>
              <w:rPr>
                <w:sz w:val="20"/>
                <w:szCs w:val="20"/>
                <w:color w:val="auto"/>
              </w:rPr>
            </w:pPr>
            <w:r>
              <w:rPr>
                <w:rFonts w:ascii="Arial" w:cs="Arial" w:eastAsia="Arial" w:hAnsi="Arial"/>
                <w:sz w:val="14"/>
                <w:szCs w:val="14"/>
                <w:color w:val="auto"/>
              </w:rPr>
              <w:t>Vanguard LifeStrategy Moderate Growth Inv (VSMGX)</w:t>
            </w:r>
          </w:p>
        </w:tc>
        <w:tc>
          <w:tcPr>
            <w:tcW w:w="3220" w:type="dxa"/>
            <w:vAlign w:val="bottom"/>
            <w:tcBorders>
              <w:bottom w:val="single" w:sz="8" w:color="5D2D91"/>
            </w:tcBorders>
            <w:shd w:val="clear" w:color="auto" w:fill="E0DBEA"/>
          </w:tcPr>
          <w:p>
            <w:pPr>
              <w:jc w:val="right"/>
              <w:spacing w:after="0"/>
              <w:rPr>
                <w:sz w:val="20"/>
                <w:szCs w:val="20"/>
                <w:color w:val="auto"/>
              </w:rPr>
            </w:pPr>
            <w:r>
              <w:rPr>
                <w:rFonts w:ascii="Arial" w:cs="Arial" w:eastAsia="Arial" w:hAnsi="Arial"/>
                <w:sz w:val="14"/>
                <w:szCs w:val="14"/>
                <w:color w:val="auto"/>
              </w:rPr>
              <w:t>16.24%</w:t>
            </w:r>
          </w:p>
        </w:tc>
      </w:tr>
      <w:tr>
        <w:trPr>
          <w:trHeight w:val="209"/>
        </w:trPr>
        <w:tc>
          <w:tcPr>
            <w:tcW w:w="5820" w:type="dxa"/>
            <w:vAlign w:val="bottom"/>
            <w:tcBorders>
              <w:bottom w:val="single" w:sz="8" w:color="5D2D91"/>
            </w:tcBorders>
          </w:tcPr>
          <w:p>
            <w:pPr>
              <w:ind w:left="60"/>
              <w:spacing w:after="0"/>
              <w:rPr>
                <w:sz w:val="20"/>
                <w:szCs w:val="20"/>
                <w:color w:val="auto"/>
              </w:rPr>
            </w:pPr>
            <w:r>
              <w:rPr>
                <w:rFonts w:ascii="Arial" w:cs="Arial" w:eastAsia="Arial" w:hAnsi="Arial"/>
                <w:sz w:val="14"/>
                <w:szCs w:val="14"/>
                <w:color w:val="auto"/>
              </w:rPr>
              <w:t>Vanguard Short Term Treasury Admiral (VFIRX)</w:t>
            </w:r>
          </w:p>
        </w:tc>
        <w:tc>
          <w:tcPr>
            <w:tcW w:w="3220" w:type="dxa"/>
            <w:vAlign w:val="bottom"/>
            <w:tcBorders>
              <w:bottom w:val="single" w:sz="8" w:color="5D2D91"/>
            </w:tcBorders>
          </w:tcPr>
          <w:p>
            <w:pPr>
              <w:jc w:val="right"/>
              <w:spacing w:after="0"/>
              <w:rPr>
                <w:sz w:val="20"/>
                <w:szCs w:val="20"/>
                <w:color w:val="auto"/>
              </w:rPr>
            </w:pPr>
            <w:r>
              <w:rPr>
                <w:rFonts w:ascii="Arial" w:cs="Arial" w:eastAsia="Arial" w:hAnsi="Arial"/>
                <w:sz w:val="14"/>
                <w:szCs w:val="14"/>
                <w:color w:val="auto"/>
              </w:rPr>
              <w:t>5.45%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92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23736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10375" cy="237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EXECUTIVE COMPENSATION TABLES</w:t>
      </w:r>
    </w:p>
    <w:p>
      <w:pPr>
        <w:spacing w:after="0" w:line="48"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Potential Payments Upon Termination or Change in Control</w:t>
      </w:r>
    </w:p>
    <w:p>
      <w:pPr>
        <w:spacing w:after="0" w:line="200" w:lineRule="exact"/>
        <w:rPr>
          <w:sz w:val="20"/>
          <w:szCs w:val="20"/>
          <w:color w:val="auto"/>
        </w:rPr>
      </w:pPr>
    </w:p>
    <w:p>
      <w:pPr>
        <w:spacing w:after="0" w:line="316" w:lineRule="exact"/>
        <w:rPr>
          <w:sz w:val="20"/>
          <w:szCs w:val="20"/>
          <w:color w:val="auto"/>
        </w:rPr>
      </w:pPr>
    </w:p>
    <w:p>
      <w:pPr>
        <w:ind w:left="440" w:right="540" w:hanging="363"/>
        <w:spacing w:after="0"/>
        <w:rPr>
          <w:sz w:val="20"/>
          <w:szCs w:val="20"/>
          <w:color w:val="auto"/>
        </w:rPr>
      </w:pPr>
      <w:r>
        <w:rPr>
          <w:sz w:val="1"/>
          <w:szCs w:val="1"/>
          <w:color w:val="auto"/>
        </w:rPr>
        <w:drawing>
          <wp:inline distT="0" distB="0" distL="0" distR="0">
            <wp:extent cx="162560" cy="16256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9"/>
          <w:szCs w:val="29"/>
          <w:b w:val="1"/>
          <w:bCs w:val="1"/>
          <w:color w:val="auto"/>
        </w:rPr>
        <w:t xml:space="preserve"> POTENTIAL PAYMENTS UPON TERMINATION OR CHANGE IN CONTROL</w:t>
      </w:r>
    </w:p>
    <w:p>
      <w:pPr>
        <w:spacing w:after="0" w:line="142"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The narrative and tables below describe the potential payments to each NEO, upon certain terminations, including following a CIC. In accordance with SEC rules, all information described in this section is presented as if the triggering events occurred on December 31, 2025.</w:t>
      </w:r>
    </w:p>
    <w:p>
      <w:pPr>
        <w:sectPr>
          <w:pgSz w:w="11900" w:h="16838" w:orient="portrait"/>
          <w:cols w:equalWidth="0" w:num="1">
            <w:col w:w="9040"/>
          </w:cols>
          <w:pgMar w:left="1420" w:top="462" w:right="1439" w:bottom="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582C83"/>
        </w:rPr>
        <w:t>INVOLUNTARY TERMINATION WITHOUT CAUSE OR FOR GOOD REASON (NON-</w:t>
      </w:r>
    </w:p>
    <w:p>
      <w:pPr>
        <w:sectPr>
          <w:pgSz w:w="11900" w:h="16838" w:orient="portrait"/>
          <w:cols w:equalWidth="0" w:num="1">
            <w:col w:w="9040"/>
          </w:cols>
          <w:pgMar w:left="1420" w:top="462" w:right="1439" w:bottom="0" w:gutter="0" w:footer="0" w:header="0"/>
          <w:type w:val="continuous"/>
        </w:sectPr>
      </w:pPr>
    </w:p>
    <w:bookmarkStart w:id="81" w:name="page82"/>
    <w:bookmarkEnd w:id="81"/>
    <w:p>
      <w:pPr>
        <w:spacing w:after="0" w:line="45"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CHANGE IN CONTROL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-133350</wp:posOffset>
            </wp:positionV>
            <wp:extent cx="6810375" cy="6482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10375" cy="6482715"/>
                    </a:xfrm>
                    <a:prstGeom prst="rect">
                      <a:avLst/>
                    </a:prstGeom>
                    <a:noFill/>
                  </pic:spPr>
                </pic:pic>
              </a:graphicData>
            </a:graphic>
          </wp:anchor>
        </w:drawing>
      </w:r>
    </w:p>
    <w:p>
      <w:pPr>
        <w:spacing w:after="0" w:line="1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Officers of the Company, including our NEOs, are eligible to participate in the Severance Plan. The Severance Plan provides participants with certain benefits upon a termination of employment by the Company without “Cause” or a termination by the executive for “Good Reason” (each as defined in the Severance Plan and together, a “Non-CIC Qualifying Termination”). To receive any severance benefits under the Severance Plan, a participant must enter into a general release of claims in favor of the Company, which may include restrictive covenants, including non-competition, non-solicitation, and non-disparagement covenants (unless prohibited by applicable law).</w:t>
      </w:r>
    </w:p>
    <w:p>
      <w:pPr>
        <w:spacing w:after="0" w:line="81"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The following chart reflects the separation benefits that would be offered to an NEO upon a Non-CIC Qualifying Termination under the Severance Plan. For Mr. Van de Put, the chart reflects certain benefits provided under his offer letter to the extent more favorable than under the Severance Plan. Non-U.S. participants are eligible to receive the greater of (x) the separation benefits described under “Severance Benefits,” “AIP Awards,” and “Equity Awards” in the chart below, or (y) the comparable separation benefits provided under the laws of his or her home country or the Company’s local programs or policies, determined on an aggregate basis. Non-U.S. participants are not eligible to receive all the separation benefits described under “Health Benefit Stipend” and “Other Benefits” that are provided in the U.S. and are instead eligible to receive any comparable local benefits (if any).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86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Element</w:t>
            </w:r>
          </w:p>
        </w:tc>
        <w:tc>
          <w:tcPr>
            <w:tcW w:w="7180" w:type="dxa"/>
            <w:vAlign w:val="bottom"/>
            <w:tcBorders>
              <w:bottom w:val="single" w:sz="8" w:color="582C83"/>
            </w:tcBorders>
            <w:gridSpan w:val="2"/>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860" w:type="dxa"/>
            <w:vAlign w:val="bottom"/>
            <w:tcBorders>
              <w:bottom w:val="single" w:sz="8" w:color="582C83"/>
            </w:tcBorders>
            <w:shd w:val="clear" w:color="auto" w:fill="E1DBEB"/>
          </w:tcPr>
          <w:p>
            <w:pPr>
              <w:ind w:left="60"/>
              <w:spacing w:after="0"/>
              <w:rPr>
                <w:sz w:val="20"/>
                <w:szCs w:val="20"/>
                <w:color w:val="auto"/>
              </w:rPr>
            </w:pPr>
            <w:r>
              <w:rPr>
                <w:rFonts w:ascii="Arial" w:cs="Arial" w:eastAsia="Arial" w:hAnsi="Arial"/>
                <w:sz w:val="14"/>
                <w:szCs w:val="14"/>
                <w:b w:val="1"/>
                <w:bCs w:val="1"/>
                <w:color w:val="auto"/>
              </w:rPr>
              <w:t>Severance Benefits</w:t>
            </w:r>
          </w:p>
        </w:tc>
        <w:tc>
          <w:tcPr>
            <w:tcW w:w="240" w:type="dxa"/>
            <w:vAlign w:val="bottom"/>
            <w:tcBorders>
              <w:bottom w:val="single" w:sz="8" w:color="582C83"/>
            </w:tcBorders>
            <w:shd w:val="clear" w:color="auto" w:fill="E1DBEB"/>
          </w:tcPr>
          <w:p>
            <w:pPr>
              <w:ind w:left="140"/>
              <w:spacing w:after="0"/>
              <w:rPr>
                <w:sz w:val="20"/>
                <w:szCs w:val="20"/>
                <w:color w:val="auto"/>
              </w:rPr>
            </w:pPr>
            <w:r>
              <w:rPr>
                <w:rFonts w:ascii="Arial" w:cs="Arial" w:eastAsia="Arial" w:hAnsi="Arial"/>
                <w:sz w:val="17"/>
                <w:szCs w:val="17"/>
                <w:color w:val="582C83"/>
              </w:rPr>
              <w:t>•</w:t>
            </w:r>
          </w:p>
        </w:tc>
        <w:tc>
          <w:tcPr>
            <w:tcW w:w="6940" w:type="dxa"/>
            <w:vAlign w:val="bottom"/>
            <w:tcBorders>
              <w:bottom w:val="single" w:sz="8" w:color="582C83"/>
            </w:tcBorders>
            <w:shd w:val="clear" w:color="auto" w:fill="E1DBEB"/>
          </w:tcPr>
          <w:p>
            <w:pPr>
              <w:ind w:left="20"/>
              <w:spacing w:after="0"/>
              <w:rPr>
                <w:sz w:val="20"/>
                <w:szCs w:val="20"/>
                <w:color w:val="auto"/>
              </w:rPr>
            </w:pPr>
            <w:r>
              <w:rPr>
                <w:rFonts w:ascii="Arial" w:cs="Arial" w:eastAsia="Arial" w:hAnsi="Arial"/>
                <w:sz w:val="14"/>
                <w:szCs w:val="14"/>
                <w:color w:val="auto"/>
              </w:rPr>
              <w:t>Cash severance equal to one (or two for the CEO) times the NEO’s base salary.</w:t>
            </w:r>
          </w:p>
        </w:tc>
      </w:tr>
      <w:tr>
        <w:trPr>
          <w:trHeight w:val="237"/>
        </w:trPr>
        <w:tc>
          <w:tcPr>
            <w:tcW w:w="186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Health Benefit Stipend</w:t>
            </w:r>
            <w:r>
              <w:rPr>
                <w:rFonts w:ascii="Arial" w:cs="Arial" w:eastAsia="Arial" w:hAnsi="Arial"/>
                <w:sz w:val="18"/>
                <w:szCs w:val="18"/>
                <w:b w:val="1"/>
                <w:bCs w:val="1"/>
                <w:color w:val="auto"/>
                <w:vertAlign w:val="superscript"/>
              </w:rPr>
              <w:t>(1)</w:t>
            </w:r>
          </w:p>
        </w:tc>
        <w:tc>
          <w:tcPr>
            <w:tcW w:w="240" w:type="dxa"/>
            <w:vAlign w:val="bottom"/>
            <w:tcBorders>
              <w:bottom w:val="single" w:sz="8" w:color="582C83"/>
            </w:tcBorders>
          </w:tcPr>
          <w:p>
            <w:pPr>
              <w:ind w:left="140"/>
              <w:spacing w:after="0"/>
              <w:rPr>
                <w:sz w:val="20"/>
                <w:szCs w:val="20"/>
                <w:color w:val="auto"/>
              </w:rPr>
            </w:pPr>
            <w:r>
              <w:rPr>
                <w:rFonts w:ascii="Arial" w:cs="Arial" w:eastAsia="Arial" w:hAnsi="Arial"/>
                <w:sz w:val="17"/>
                <w:szCs w:val="17"/>
                <w:color w:val="582C83"/>
              </w:rPr>
              <w:t>•</w:t>
            </w:r>
          </w:p>
        </w:tc>
        <w:tc>
          <w:tcPr>
            <w:tcW w:w="6940" w:type="dxa"/>
            <w:vAlign w:val="bottom"/>
            <w:tcBorders>
              <w:bottom w:val="single" w:sz="8" w:color="582C83"/>
            </w:tcBorders>
          </w:tcPr>
          <w:p>
            <w:pPr>
              <w:ind w:left="20"/>
              <w:spacing w:after="0"/>
              <w:rPr>
                <w:sz w:val="20"/>
                <w:szCs w:val="20"/>
                <w:color w:val="auto"/>
              </w:rPr>
            </w:pPr>
            <w:r>
              <w:rPr>
                <w:rFonts w:ascii="Arial" w:cs="Arial" w:eastAsia="Arial" w:hAnsi="Arial"/>
                <w:sz w:val="14"/>
                <w:szCs w:val="14"/>
                <w:color w:val="auto"/>
              </w:rPr>
              <w:t>A lump sum cash payment to cover the employer-portion of medical plan premiums for one year.</w:t>
            </w:r>
          </w:p>
        </w:tc>
      </w:tr>
      <w:tr>
        <w:trPr>
          <w:trHeight w:val="249"/>
        </w:trPr>
        <w:tc>
          <w:tcPr>
            <w:tcW w:w="1860" w:type="dxa"/>
            <w:vAlign w:val="bottom"/>
            <w:shd w:val="clear" w:color="auto" w:fill="E1DBEB"/>
          </w:tcPr>
          <w:p>
            <w:pPr>
              <w:ind w:left="60"/>
              <w:spacing w:after="0"/>
              <w:rPr>
                <w:sz w:val="20"/>
                <w:szCs w:val="20"/>
                <w:color w:val="auto"/>
              </w:rPr>
            </w:pPr>
            <w:r>
              <w:rPr>
                <w:rFonts w:ascii="Arial" w:cs="Arial" w:eastAsia="Arial" w:hAnsi="Arial"/>
                <w:sz w:val="14"/>
                <w:szCs w:val="14"/>
                <w:b w:val="1"/>
                <w:bCs w:val="1"/>
                <w:color w:val="auto"/>
              </w:rPr>
              <w:t>Other Benefits</w:t>
            </w:r>
            <w:r>
              <w:rPr>
                <w:rFonts w:ascii="Arial" w:cs="Arial" w:eastAsia="Arial" w:hAnsi="Arial"/>
                <w:sz w:val="18"/>
                <w:szCs w:val="18"/>
                <w:b w:val="1"/>
                <w:bCs w:val="1"/>
                <w:color w:val="auto"/>
                <w:vertAlign w:val="superscript"/>
              </w:rPr>
              <w:t>(1)</w:t>
            </w:r>
          </w:p>
        </w:tc>
        <w:tc>
          <w:tcPr>
            <w:tcW w:w="240" w:type="dxa"/>
            <w:vAlign w:val="bottom"/>
            <w:shd w:val="clear" w:color="auto" w:fill="E1DBEB"/>
          </w:tcPr>
          <w:p>
            <w:pPr>
              <w:ind w:left="140"/>
              <w:spacing w:after="0"/>
              <w:rPr>
                <w:sz w:val="20"/>
                <w:szCs w:val="20"/>
                <w:color w:val="auto"/>
              </w:rPr>
            </w:pPr>
            <w:r>
              <w:rPr>
                <w:rFonts w:ascii="Arial" w:cs="Arial" w:eastAsia="Arial" w:hAnsi="Arial"/>
                <w:sz w:val="17"/>
                <w:szCs w:val="17"/>
                <w:color w:val="582C83"/>
              </w:rPr>
              <w:t>•</w:t>
            </w:r>
          </w:p>
        </w:tc>
        <w:tc>
          <w:tcPr>
            <w:tcW w:w="6940" w:type="dxa"/>
            <w:vAlign w:val="bottom"/>
            <w:shd w:val="clear" w:color="auto" w:fill="E1DBEB"/>
          </w:tcPr>
          <w:p>
            <w:pPr>
              <w:ind w:left="20"/>
              <w:spacing w:after="0"/>
              <w:rPr>
                <w:sz w:val="20"/>
                <w:szCs w:val="20"/>
                <w:color w:val="auto"/>
              </w:rPr>
            </w:pPr>
            <w:r>
              <w:rPr>
                <w:rFonts w:ascii="Arial" w:cs="Arial" w:eastAsia="Arial" w:hAnsi="Arial"/>
                <w:sz w:val="14"/>
                <w:szCs w:val="14"/>
                <w:color w:val="auto"/>
              </w:rPr>
              <w:t>Outplacement services for up to one year.</w:t>
            </w:r>
          </w:p>
        </w:tc>
      </w:tr>
      <w:tr>
        <w:trPr>
          <w:trHeight w:val="231"/>
        </w:trPr>
        <w:tc>
          <w:tcPr>
            <w:tcW w:w="1860" w:type="dxa"/>
            <w:vAlign w:val="bottom"/>
            <w:shd w:val="clear" w:color="auto" w:fill="E1DBEB"/>
          </w:tcPr>
          <w:p>
            <w:pPr>
              <w:spacing w:after="0"/>
              <w:rPr>
                <w:sz w:val="20"/>
                <w:szCs w:val="20"/>
                <w:color w:val="auto"/>
              </w:rPr>
            </w:pPr>
          </w:p>
        </w:tc>
        <w:tc>
          <w:tcPr>
            <w:tcW w:w="240" w:type="dxa"/>
            <w:vAlign w:val="bottom"/>
            <w:shd w:val="clear" w:color="auto" w:fill="E1DBEB"/>
          </w:tcPr>
          <w:p>
            <w:pPr>
              <w:ind w:left="140"/>
              <w:spacing w:after="0"/>
              <w:rPr>
                <w:sz w:val="20"/>
                <w:szCs w:val="20"/>
                <w:color w:val="auto"/>
              </w:rPr>
            </w:pPr>
            <w:r>
              <w:rPr>
                <w:rFonts w:ascii="Arial" w:cs="Arial" w:eastAsia="Arial" w:hAnsi="Arial"/>
                <w:sz w:val="17"/>
                <w:szCs w:val="17"/>
                <w:color w:val="582C83"/>
              </w:rPr>
              <w:t>•</w:t>
            </w:r>
          </w:p>
        </w:tc>
        <w:tc>
          <w:tcPr>
            <w:tcW w:w="6940" w:type="dxa"/>
            <w:vAlign w:val="bottom"/>
            <w:shd w:val="clear" w:color="auto" w:fill="E1DBEB"/>
          </w:tcPr>
          <w:p>
            <w:pPr>
              <w:ind w:left="20"/>
              <w:spacing w:after="0"/>
              <w:rPr>
                <w:sz w:val="20"/>
                <w:szCs w:val="20"/>
                <w:color w:val="auto"/>
              </w:rPr>
            </w:pPr>
            <w:r>
              <w:rPr>
                <w:rFonts w:ascii="Arial" w:cs="Arial" w:eastAsia="Arial" w:hAnsi="Arial"/>
                <w:sz w:val="14"/>
                <w:szCs w:val="14"/>
                <w:color w:val="auto"/>
              </w:rPr>
              <w:t>A lump sum payment equal to the NEO’s financial planning and car allowance for one year.</w:t>
            </w:r>
          </w:p>
        </w:tc>
      </w:tr>
      <w:tr>
        <w:trPr>
          <w:trHeight w:val="257"/>
        </w:trPr>
        <w:tc>
          <w:tcPr>
            <w:tcW w:w="1860" w:type="dxa"/>
            <w:vAlign w:val="bottom"/>
            <w:shd w:val="clear" w:color="auto" w:fill="E1DBEB"/>
          </w:tcPr>
          <w:p>
            <w:pPr>
              <w:spacing w:after="0"/>
              <w:rPr>
                <w:sz w:val="22"/>
                <w:szCs w:val="22"/>
                <w:color w:val="auto"/>
              </w:rPr>
            </w:pPr>
          </w:p>
        </w:tc>
        <w:tc>
          <w:tcPr>
            <w:tcW w:w="240" w:type="dxa"/>
            <w:vAlign w:val="bottom"/>
            <w:shd w:val="clear" w:color="auto" w:fill="E1DBEB"/>
          </w:tcPr>
          <w:p>
            <w:pPr>
              <w:ind w:left="140"/>
              <w:spacing w:after="0"/>
              <w:rPr>
                <w:sz w:val="20"/>
                <w:szCs w:val="20"/>
                <w:color w:val="auto"/>
              </w:rPr>
            </w:pPr>
            <w:r>
              <w:rPr>
                <w:rFonts w:ascii="Arial" w:cs="Arial" w:eastAsia="Arial" w:hAnsi="Arial"/>
                <w:sz w:val="17"/>
                <w:szCs w:val="17"/>
                <w:color w:val="582C83"/>
              </w:rPr>
              <w:t>•</w:t>
            </w:r>
          </w:p>
        </w:tc>
        <w:tc>
          <w:tcPr>
            <w:tcW w:w="6940" w:type="dxa"/>
            <w:vAlign w:val="bottom"/>
            <w:shd w:val="clear" w:color="auto" w:fill="E1DBEB"/>
          </w:tcPr>
          <w:p>
            <w:pPr>
              <w:ind w:left="20"/>
              <w:spacing w:after="0"/>
              <w:rPr>
                <w:sz w:val="20"/>
                <w:szCs w:val="20"/>
                <w:color w:val="auto"/>
              </w:rPr>
            </w:pPr>
            <w:r>
              <w:rPr>
                <w:rFonts w:ascii="Arial" w:cs="Arial" w:eastAsia="Arial" w:hAnsi="Arial"/>
                <w:sz w:val="14"/>
                <w:szCs w:val="14"/>
                <w:color w:val="auto"/>
              </w:rPr>
              <w:t>A lump sum payment equal to any employer contributions forfeited by the NEO under the Company’s 401(k)</w:t>
            </w:r>
          </w:p>
        </w:tc>
      </w:tr>
      <w:tr>
        <w:trPr>
          <w:trHeight w:val="234"/>
        </w:trPr>
        <w:tc>
          <w:tcPr>
            <w:tcW w:w="1860" w:type="dxa"/>
            <w:vAlign w:val="bottom"/>
            <w:tcBorders>
              <w:bottom w:val="single" w:sz="8" w:color="E1DBEB"/>
            </w:tcBorders>
            <w:shd w:val="clear" w:color="auto" w:fill="E1DBEB"/>
          </w:tcPr>
          <w:p>
            <w:pPr>
              <w:spacing w:after="0"/>
              <w:rPr>
                <w:sz w:val="19"/>
                <w:szCs w:val="19"/>
                <w:color w:val="auto"/>
              </w:rPr>
            </w:pPr>
          </w:p>
        </w:tc>
        <w:tc>
          <w:tcPr>
            <w:tcW w:w="240" w:type="dxa"/>
            <w:vAlign w:val="bottom"/>
            <w:tcBorders>
              <w:bottom w:val="single" w:sz="8" w:color="E1DBEB"/>
            </w:tcBorders>
            <w:shd w:val="clear" w:color="auto" w:fill="E1DBEB"/>
          </w:tcPr>
          <w:p>
            <w:pPr>
              <w:spacing w:after="0"/>
              <w:rPr>
                <w:sz w:val="19"/>
                <w:szCs w:val="19"/>
                <w:color w:val="auto"/>
              </w:rPr>
            </w:pPr>
          </w:p>
        </w:tc>
        <w:tc>
          <w:tcPr>
            <w:tcW w:w="6940" w:type="dxa"/>
            <w:vAlign w:val="bottom"/>
            <w:tcBorders>
              <w:bottom w:val="single" w:sz="8" w:color="E1DBEB"/>
            </w:tcBorders>
            <w:shd w:val="clear" w:color="auto" w:fill="E1DBEB"/>
          </w:tcPr>
          <w:p>
            <w:pPr>
              <w:ind w:left="20"/>
              <w:spacing w:after="0"/>
              <w:rPr>
                <w:sz w:val="20"/>
                <w:szCs w:val="20"/>
                <w:color w:val="auto"/>
              </w:rPr>
            </w:pPr>
            <w:r>
              <w:rPr>
                <w:rFonts w:ascii="Arial" w:cs="Arial" w:eastAsia="Arial" w:hAnsi="Arial"/>
                <w:sz w:val="14"/>
                <w:szCs w:val="14"/>
                <w:color w:val="auto"/>
              </w:rPr>
              <w:t>plan (if any) and waiver of any repayment obligations with respect to any sign-on or similar bonuses (if any).</w:t>
            </w:r>
          </w:p>
        </w:tc>
      </w:tr>
      <w:tr>
        <w:trPr>
          <w:trHeight w:val="223"/>
        </w:trPr>
        <w:tc>
          <w:tcPr>
            <w:tcW w:w="1860" w:type="dxa"/>
            <w:vAlign w:val="bottom"/>
            <w:tcBorders>
              <w:top w:val="single" w:sz="8" w:color="582C83"/>
            </w:tcBorders>
          </w:tcPr>
          <w:p>
            <w:pPr>
              <w:ind w:left="60"/>
              <w:spacing w:after="0"/>
              <w:rPr>
                <w:sz w:val="20"/>
                <w:szCs w:val="20"/>
                <w:color w:val="auto"/>
              </w:rPr>
            </w:pPr>
            <w:r>
              <w:rPr>
                <w:rFonts w:ascii="Arial" w:cs="Arial" w:eastAsia="Arial" w:hAnsi="Arial"/>
                <w:sz w:val="14"/>
                <w:szCs w:val="14"/>
                <w:b w:val="1"/>
                <w:bCs w:val="1"/>
                <w:color w:val="auto"/>
              </w:rPr>
              <w:t>AIP Awards</w:t>
            </w:r>
          </w:p>
        </w:tc>
        <w:tc>
          <w:tcPr>
            <w:tcW w:w="240" w:type="dxa"/>
            <w:vAlign w:val="bottom"/>
            <w:tcBorders>
              <w:top w:val="single" w:sz="8" w:color="582C83"/>
            </w:tcBorders>
          </w:tcPr>
          <w:p>
            <w:pPr>
              <w:ind w:left="140"/>
              <w:spacing w:after="0"/>
              <w:rPr>
                <w:sz w:val="20"/>
                <w:szCs w:val="20"/>
                <w:color w:val="auto"/>
              </w:rPr>
            </w:pPr>
            <w:r>
              <w:rPr>
                <w:rFonts w:ascii="Arial" w:cs="Arial" w:eastAsia="Arial" w:hAnsi="Arial"/>
                <w:sz w:val="17"/>
                <w:szCs w:val="17"/>
                <w:color w:val="582C83"/>
              </w:rPr>
              <w:t>•</w:t>
            </w:r>
          </w:p>
        </w:tc>
        <w:tc>
          <w:tcPr>
            <w:tcW w:w="6940" w:type="dxa"/>
            <w:vAlign w:val="bottom"/>
            <w:tcBorders>
              <w:top w:val="single" w:sz="8" w:color="582C83"/>
            </w:tcBorders>
          </w:tcPr>
          <w:p>
            <w:pPr>
              <w:ind w:left="20"/>
              <w:spacing w:after="0"/>
              <w:rPr>
                <w:sz w:val="20"/>
                <w:szCs w:val="20"/>
                <w:color w:val="auto"/>
              </w:rPr>
            </w:pPr>
            <w:r>
              <w:rPr>
                <w:rFonts w:ascii="Arial" w:cs="Arial" w:eastAsia="Arial" w:hAnsi="Arial"/>
                <w:sz w:val="14"/>
                <w:szCs w:val="14"/>
                <w:color w:val="auto"/>
              </w:rPr>
              <w:t>If the termination occurs after March 31 but before December 31 of the termination year, a prorated AIP</w:t>
            </w:r>
          </w:p>
        </w:tc>
      </w:tr>
      <w:tr>
        <w:trPr>
          <w:trHeight w:val="194"/>
        </w:trPr>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940" w:type="dxa"/>
            <w:vAlign w:val="bottom"/>
          </w:tcPr>
          <w:p>
            <w:pPr>
              <w:ind w:left="20"/>
              <w:spacing w:after="0"/>
              <w:rPr>
                <w:sz w:val="20"/>
                <w:szCs w:val="20"/>
                <w:color w:val="auto"/>
              </w:rPr>
            </w:pPr>
            <w:r>
              <w:rPr>
                <w:rFonts w:ascii="Arial" w:cs="Arial" w:eastAsia="Arial" w:hAnsi="Arial"/>
                <w:sz w:val="14"/>
                <w:szCs w:val="14"/>
                <w:color w:val="auto"/>
              </w:rPr>
              <w:t>award based on target performance (or for the CEO, based on actual company performance if better).</w:t>
            </w:r>
          </w:p>
        </w:tc>
      </w:tr>
      <w:tr>
        <w:trPr>
          <w:trHeight w:val="292"/>
        </w:trPr>
        <w:tc>
          <w:tcPr>
            <w:tcW w:w="1860" w:type="dxa"/>
            <w:vAlign w:val="bottom"/>
          </w:tcPr>
          <w:p>
            <w:pPr>
              <w:spacing w:after="0"/>
              <w:rPr>
                <w:sz w:val="24"/>
                <w:szCs w:val="24"/>
                <w:color w:val="auto"/>
              </w:rPr>
            </w:pPr>
          </w:p>
        </w:tc>
        <w:tc>
          <w:tcPr>
            <w:tcW w:w="240" w:type="dxa"/>
            <w:vAlign w:val="bottom"/>
          </w:tcPr>
          <w:p>
            <w:pPr>
              <w:ind w:left="140"/>
              <w:spacing w:after="0"/>
              <w:rPr>
                <w:sz w:val="20"/>
                <w:szCs w:val="20"/>
                <w:color w:val="auto"/>
              </w:rPr>
            </w:pPr>
            <w:r>
              <w:rPr>
                <w:rFonts w:ascii="Arial" w:cs="Arial" w:eastAsia="Arial" w:hAnsi="Arial"/>
                <w:sz w:val="17"/>
                <w:szCs w:val="17"/>
                <w:color w:val="582C83"/>
              </w:rPr>
              <w:t>•</w:t>
            </w:r>
          </w:p>
        </w:tc>
        <w:tc>
          <w:tcPr>
            <w:tcW w:w="6940" w:type="dxa"/>
            <w:vAlign w:val="bottom"/>
          </w:tcPr>
          <w:p>
            <w:pPr>
              <w:ind w:left="20"/>
              <w:spacing w:after="0"/>
              <w:rPr>
                <w:sz w:val="20"/>
                <w:szCs w:val="20"/>
                <w:color w:val="auto"/>
              </w:rPr>
            </w:pPr>
            <w:r>
              <w:rPr>
                <w:rFonts w:ascii="Arial" w:cs="Arial" w:eastAsia="Arial" w:hAnsi="Arial"/>
                <w:sz w:val="14"/>
                <w:szCs w:val="14"/>
                <w:color w:val="auto"/>
              </w:rPr>
              <w:t>If the termination occurs on December 31 of the termination year (or following completion of the applicable</w:t>
            </w:r>
          </w:p>
        </w:tc>
      </w:tr>
      <w:tr>
        <w:trPr>
          <w:trHeight w:val="194"/>
        </w:trPr>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940" w:type="dxa"/>
            <w:vAlign w:val="bottom"/>
          </w:tcPr>
          <w:p>
            <w:pPr>
              <w:ind w:left="20"/>
              <w:spacing w:after="0"/>
              <w:rPr>
                <w:sz w:val="20"/>
                <w:szCs w:val="20"/>
                <w:color w:val="auto"/>
              </w:rPr>
            </w:pPr>
            <w:r>
              <w:rPr>
                <w:rFonts w:ascii="Arial" w:cs="Arial" w:eastAsia="Arial" w:hAnsi="Arial"/>
                <w:sz w:val="14"/>
                <w:szCs w:val="14"/>
                <w:color w:val="auto"/>
              </w:rPr>
              <w:t>calendar year but prior to actual payment of the AIP award), a non-prorated AIP award based on actual</w:t>
            </w:r>
          </w:p>
        </w:tc>
      </w:tr>
      <w:tr>
        <w:trPr>
          <w:trHeight w:val="216"/>
        </w:trPr>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4"/>
                <w:szCs w:val="14"/>
                <w:color w:val="auto"/>
              </w:rPr>
              <w:t>company performance.</w:t>
            </w:r>
          </w:p>
        </w:tc>
      </w:tr>
      <w:tr>
        <w:trPr>
          <w:trHeight w:val="35"/>
        </w:trPr>
        <w:tc>
          <w:tcPr>
            <w:tcW w:w="1860" w:type="dxa"/>
            <w:vAlign w:val="bottom"/>
            <w:tcBorders>
              <w:bottom w:val="single" w:sz="8" w:color="582C83"/>
            </w:tcBorders>
          </w:tcPr>
          <w:p>
            <w:pPr>
              <w:spacing w:after="0"/>
              <w:rPr>
                <w:sz w:val="3"/>
                <w:szCs w:val="3"/>
                <w:color w:val="auto"/>
              </w:rPr>
            </w:pPr>
          </w:p>
        </w:tc>
        <w:tc>
          <w:tcPr>
            <w:tcW w:w="240" w:type="dxa"/>
            <w:vAlign w:val="bottom"/>
            <w:tcBorders>
              <w:bottom w:val="single" w:sz="8" w:color="582C83"/>
            </w:tcBorders>
          </w:tcPr>
          <w:p>
            <w:pPr>
              <w:spacing w:after="0"/>
              <w:rPr>
                <w:sz w:val="3"/>
                <w:szCs w:val="3"/>
                <w:color w:val="auto"/>
              </w:rPr>
            </w:pPr>
          </w:p>
        </w:tc>
        <w:tc>
          <w:tcPr>
            <w:tcW w:w="6940" w:type="dxa"/>
            <w:vAlign w:val="bottom"/>
            <w:tcBorders>
              <w:bottom w:val="single" w:sz="8" w:color="582C83"/>
            </w:tcBorders>
          </w:tcPr>
          <w:p>
            <w:pPr>
              <w:spacing w:after="0"/>
              <w:rPr>
                <w:sz w:val="3"/>
                <w:szCs w:val="3"/>
                <w:color w:val="auto"/>
              </w:rPr>
            </w:pPr>
          </w:p>
        </w:tc>
      </w:tr>
      <w:tr>
        <w:trPr>
          <w:trHeight w:val="227"/>
        </w:trPr>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Equity Awards</w:t>
            </w:r>
            <w:r>
              <w:rPr>
                <w:rFonts w:ascii="Arial" w:cs="Arial" w:eastAsia="Arial" w:hAnsi="Arial"/>
                <w:sz w:val="18"/>
                <w:szCs w:val="18"/>
                <w:b w:val="1"/>
                <w:bCs w:val="1"/>
                <w:color w:val="auto"/>
                <w:vertAlign w:val="superscript"/>
              </w:rPr>
              <w:t>(2)(3)</w:t>
            </w:r>
          </w:p>
        </w:tc>
        <w:tc>
          <w:tcPr>
            <w:tcW w:w="240" w:type="dxa"/>
            <w:vAlign w:val="bottom"/>
          </w:tcPr>
          <w:p>
            <w:pPr>
              <w:ind w:left="140"/>
              <w:spacing w:after="0"/>
              <w:rPr>
                <w:sz w:val="20"/>
                <w:szCs w:val="20"/>
                <w:color w:val="auto"/>
              </w:rPr>
            </w:pPr>
            <w:r>
              <w:rPr>
                <w:rFonts w:ascii="Arial" w:cs="Arial" w:eastAsia="Arial" w:hAnsi="Arial"/>
                <w:sz w:val="17"/>
                <w:szCs w:val="17"/>
                <w:color w:val="582C83"/>
              </w:rPr>
              <w:t>•</w:t>
            </w:r>
          </w:p>
        </w:tc>
        <w:tc>
          <w:tcPr>
            <w:tcW w:w="6940" w:type="dxa"/>
            <w:vAlign w:val="bottom"/>
          </w:tcPr>
          <w:p>
            <w:pPr>
              <w:ind w:left="20"/>
              <w:spacing w:after="0"/>
              <w:rPr>
                <w:sz w:val="20"/>
                <w:szCs w:val="20"/>
                <w:color w:val="auto"/>
              </w:rPr>
            </w:pPr>
            <w:r>
              <w:rPr>
                <w:rFonts w:ascii="Arial" w:cs="Arial" w:eastAsia="Arial" w:hAnsi="Arial"/>
                <w:sz w:val="14"/>
                <w:szCs w:val="14"/>
                <w:color w:val="auto"/>
              </w:rPr>
              <w:t>A prorated number of PSUs will remain outstanding and eligible to vest subject to actual</w:t>
            </w:r>
          </w:p>
        </w:tc>
      </w:tr>
      <w:tr>
        <w:trPr>
          <w:trHeight w:val="190"/>
        </w:trPr>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940" w:type="dxa"/>
            <w:vAlign w:val="bottom"/>
          </w:tcPr>
          <w:p>
            <w:pPr>
              <w:ind w:left="20"/>
              <w:spacing w:after="0"/>
              <w:rPr>
                <w:sz w:val="20"/>
                <w:szCs w:val="20"/>
                <w:color w:val="auto"/>
              </w:rPr>
            </w:pPr>
            <w:r>
              <w:rPr>
                <w:rFonts w:ascii="Arial" w:cs="Arial" w:eastAsia="Arial" w:hAnsi="Arial"/>
                <w:sz w:val="14"/>
                <w:szCs w:val="14"/>
                <w:color w:val="auto"/>
              </w:rPr>
              <w:t>company performance.</w:t>
            </w:r>
          </w:p>
        </w:tc>
      </w:tr>
    </w:tbl>
    <w:p>
      <w:pPr>
        <w:spacing w:after="0" w:line="93" w:lineRule="exact"/>
        <w:rPr>
          <w:sz w:val="20"/>
          <w:szCs w:val="20"/>
          <w:color w:val="auto"/>
        </w:rPr>
      </w:pPr>
    </w:p>
    <w:p>
      <w:pPr>
        <w:ind w:left="2120" w:right="160" w:hanging="121"/>
        <w:spacing w:after="0" w:line="294" w:lineRule="auto"/>
        <w:tabs>
          <w:tab w:leader="none" w:pos="2120" w:val="left"/>
        </w:tabs>
        <w:numPr>
          <w:ilvl w:val="1"/>
          <w:numId w:val="107"/>
        </w:numPr>
        <w:rPr>
          <w:rFonts w:ascii="Arial" w:cs="Arial" w:eastAsia="Arial" w:hAnsi="Arial"/>
          <w:sz w:val="17"/>
          <w:szCs w:val="17"/>
          <w:color w:val="582C83"/>
        </w:rPr>
      </w:pPr>
      <w:r>
        <w:rPr>
          <w:rFonts w:ascii="Arial" w:cs="Arial" w:eastAsia="Arial" w:hAnsi="Arial"/>
          <w:sz w:val="14"/>
          <w:szCs w:val="14"/>
          <w:color w:val="auto"/>
        </w:rPr>
        <w:t>Unvested DSUs and stock options will accelerate and vest on a pro-rata basis. NEOs have until the earlier of one year from termination or the end of the original term to exercise vested stock options.</w:t>
      </w:r>
    </w:p>
    <w:p>
      <w:pPr>
        <w:spacing w:after="0" w:line="35" w:lineRule="exact"/>
        <w:rPr>
          <w:rFonts w:ascii="Arial" w:cs="Arial" w:eastAsia="Arial" w:hAnsi="Arial"/>
          <w:sz w:val="17"/>
          <w:szCs w:val="17"/>
          <w:color w:val="582C83"/>
        </w:rPr>
      </w:pPr>
    </w:p>
    <w:p>
      <w:pPr>
        <w:ind w:left="2120" w:right="120" w:hanging="121"/>
        <w:spacing w:after="0" w:line="310" w:lineRule="auto"/>
        <w:tabs>
          <w:tab w:leader="none" w:pos="2120" w:val="left"/>
        </w:tabs>
        <w:numPr>
          <w:ilvl w:val="1"/>
          <w:numId w:val="107"/>
        </w:numPr>
        <w:rPr>
          <w:rFonts w:ascii="Arial" w:cs="Arial" w:eastAsia="Arial" w:hAnsi="Arial"/>
          <w:sz w:val="17"/>
          <w:szCs w:val="17"/>
          <w:color w:val="582C83"/>
        </w:rPr>
      </w:pPr>
      <w:r>
        <w:rPr>
          <w:rFonts w:ascii="Arial" w:cs="Arial" w:eastAsia="Arial" w:hAnsi="Arial"/>
          <w:sz w:val="14"/>
          <w:szCs w:val="14"/>
          <w:color w:val="auto"/>
        </w:rPr>
        <w:t>To the extent a participant qualifies for retirement treatment under the terms of the applicable award agreement and such retirement treatment is more favorable than the terms above, the retirement treatment in the applicable award agreement will apply.</w:t>
      </w:r>
    </w:p>
    <w:p>
      <w:pPr>
        <w:spacing w:after="0" w:line="51" w:lineRule="exact"/>
        <w:rPr>
          <w:rFonts w:ascii="Arial" w:cs="Arial" w:eastAsia="Arial" w:hAnsi="Arial"/>
          <w:sz w:val="17"/>
          <w:szCs w:val="17"/>
          <w:color w:val="582C83"/>
        </w:rPr>
      </w:pPr>
    </w:p>
    <w:p>
      <w:pPr>
        <w:ind w:left="260" w:hanging="253"/>
        <w:spacing w:after="0"/>
        <w:tabs>
          <w:tab w:leader="none" w:pos="26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Under the local benefits programs for our non-U.S. NEO (Mr. Kuhn), he is only eligible to receive outplacement services.</w:t>
      </w:r>
    </w:p>
    <w:p>
      <w:pPr>
        <w:spacing w:after="0" w:line="16" w:lineRule="exact"/>
        <w:rPr>
          <w:rFonts w:ascii="Arial" w:cs="Arial" w:eastAsia="Arial" w:hAnsi="Arial"/>
          <w:sz w:val="13"/>
          <w:szCs w:val="13"/>
          <w:color w:val="auto"/>
        </w:rPr>
      </w:pPr>
    </w:p>
    <w:p>
      <w:pPr>
        <w:ind w:left="260" w:hanging="253"/>
        <w:spacing w:after="0"/>
        <w:tabs>
          <w:tab w:leader="none" w:pos="26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Provided the NEO is actively employed for at least 180 days following the grant date.</w:t>
      </w:r>
    </w:p>
    <w:p>
      <w:pPr>
        <w:spacing w:after="0" w:line="12" w:lineRule="exact"/>
        <w:rPr>
          <w:rFonts w:ascii="Arial" w:cs="Arial" w:eastAsia="Arial" w:hAnsi="Arial"/>
          <w:sz w:val="13"/>
          <w:szCs w:val="13"/>
          <w:color w:val="auto"/>
        </w:rPr>
      </w:pPr>
    </w:p>
    <w:p>
      <w:pPr>
        <w:ind w:left="260" w:hanging="253"/>
        <w:spacing w:after="0"/>
        <w:tabs>
          <w:tab w:leader="none" w:pos="26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Prorated based on the number of months of active employment during the performance cycle for PSUs and vesting period for DSUs and stock options.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39509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10375" cy="3950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EXECUTIVE COMPENSATION TABLES</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Potential Payments Upon Termination or Change in Control</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DOUBLE TRIGGER CHANGE IN CONTROL ARRANGEMENTS</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NEOs are not eligible for any severance benefit solely upon a CIC. Our CIC Plan for senior executives of the Company, including the NEOs, provides for certain benefits upon a termination of employment by the Company without “Cause” or a termination by the executive for “Good Reason” (as defined in the CIC Plan) within two years following a CIC (a “CIC Qualifying Termination”). To receive any severance benefits under the CIC Plan, a participant must enter into a general release of claims in favor of the Company and abide by certain restrictive covenants, including a non-compete and non-solicitation for one year following termination (unless prohibited by applicable law). Under the terms of the CIC Plan, a participant who violates a provision of these restrictive covenants must pay back any amounts already paid and receives no further payments from the CIC Plan. Additionally, our 2005 PIP and 2024 PIP provide for certain treatment of assumed and unassumed outstanding equity grants upon a CIC and upon a CIC Qualifying Termination.</w:t>
      </w:r>
    </w:p>
    <w:p>
      <w:pPr>
        <w:spacing w:after="0" w:line="76" w:lineRule="exact"/>
        <w:rPr>
          <w:sz w:val="20"/>
          <w:szCs w:val="20"/>
          <w:color w:val="auto"/>
        </w:rPr>
      </w:pPr>
    </w:p>
    <w:p>
      <w:pPr>
        <w:ind w:right="780"/>
        <w:spacing w:after="0" w:line="317" w:lineRule="auto"/>
        <w:rPr>
          <w:sz w:val="20"/>
          <w:szCs w:val="20"/>
          <w:color w:val="auto"/>
        </w:rPr>
      </w:pPr>
      <w:r>
        <w:rPr>
          <w:rFonts w:ascii="Arial" w:cs="Arial" w:eastAsia="Arial" w:hAnsi="Arial"/>
          <w:sz w:val="17"/>
          <w:szCs w:val="17"/>
          <w:color w:val="auto"/>
        </w:rPr>
        <w:t>The key elements of the CIC Plan and our equity plans assuming a CIC and a CIC Qualifying Termination are described in the chart below.</w:t>
      </w:r>
    </w:p>
    <w:p>
      <w:pPr>
        <w:spacing w:after="0" w:line="321" w:lineRule="exact"/>
        <w:rPr>
          <w:sz w:val="20"/>
          <w:szCs w:val="20"/>
          <w:color w:val="auto"/>
        </w:rPr>
      </w:pPr>
    </w:p>
    <w:p>
      <w:pPr>
        <w:ind w:left="60"/>
        <w:spacing w:after="0"/>
        <w:tabs>
          <w:tab w:leader="none" w:pos="1980" w:val="left"/>
        </w:tabs>
        <w:rPr>
          <w:sz w:val="20"/>
          <w:szCs w:val="20"/>
          <w:color w:val="auto"/>
        </w:rPr>
      </w:pPr>
      <w:r>
        <w:rPr>
          <w:rFonts w:ascii="Arial" w:cs="Arial" w:eastAsia="Arial" w:hAnsi="Arial"/>
          <w:sz w:val="14"/>
          <w:szCs w:val="14"/>
          <w:b w:val="1"/>
          <w:bCs w:val="1"/>
          <w:color w:val="auto"/>
        </w:rPr>
        <w:t>Severance and Benefits</w:t>
      </w:r>
      <w:r>
        <w:rPr>
          <w:sz w:val="20"/>
          <w:szCs w:val="20"/>
          <w:color w:val="auto"/>
        </w:rPr>
        <w:tab/>
      </w:r>
      <w:r>
        <w:rPr>
          <w:rFonts w:ascii="Arial" w:cs="Arial" w:eastAsia="Arial" w:hAnsi="Arial"/>
          <w:sz w:val="17"/>
          <w:szCs w:val="17"/>
          <w:color w:val="582C83"/>
        </w:rPr>
        <w:t xml:space="preserve">• </w:t>
      </w:r>
      <w:r>
        <w:rPr>
          <w:rFonts w:ascii="Arial" w:cs="Arial" w:eastAsia="Arial" w:hAnsi="Arial"/>
          <w:sz w:val="14"/>
          <w:szCs w:val="14"/>
          <w:color w:val="000000"/>
        </w:rPr>
        <w:t>Cash severance equal to two (or 2.99 for the CEO) times the NEO’s base salary plus target AIP award.</w:t>
      </w:r>
    </w:p>
    <w:p>
      <w:pPr>
        <w:spacing w:after="0" w:line="87" w:lineRule="exact"/>
        <w:rPr>
          <w:sz w:val="20"/>
          <w:szCs w:val="20"/>
          <w:color w:val="auto"/>
        </w:rPr>
      </w:pPr>
    </w:p>
    <w:p>
      <w:pPr>
        <w:ind w:left="2120" w:right="80" w:hanging="121"/>
        <w:spacing w:after="0" w:line="294" w:lineRule="auto"/>
        <w:tabs>
          <w:tab w:leader="none" w:pos="2120" w:val="left"/>
        </w:tabs>
        <w:numPr>
          <w:ilvl w:val="0"/>
          <w:numId w:val="108"/>
        </w:numPr>
        <w:rPr>
          <w:rFonts w:ascii="Arial" w:cs="Arial" w:eastAsia="Arial" w:hAnsi="Arial"/>
          <w:sz w:val="17"/>
          <w:szCs w:val="17"/>
          <w:color w:val="582C83"/>
        </w:rPr>
      </w:pPr>
      <w:r>
        <w:rPr>
          <w:rFonts w:ascii="Arial" w:cs="Arial" w:eastAsia="Arial" w:hAnsi="Arial"/>
          <w:sz w:val="14"/>
          <w:szCs w:val="14"/>
          <w:color w:val="auto"/>
        </w:rPr>
        <w:t>For U.S. NEOs, health and welfare benefits continuation equal to three years for the CEO and two years for the other NEOs.</w:t>
      </w:r>
    </w:p>
    <w:p>
      <w:pPr>
        <w:spacing w:after="0" w:line="30" w:lineRule="exact"/>
        <w:rPr>
          <w:rFonts w:ascii="Arial" w:cs="Arial" w:eastAsia="Arial" w:hAnsi="Arial"/>
          <w:sz w:val="17"/>
          <w:szCs w:val="17"/>
          <w:color w:val="582C83"/>
        </w:rPr>
      </w:pPr>
    </w:p>
    <w:p>
      <w:pPr>
        <w:ind w:left="2120" w:hanging="121"/>
        <w:spacing w:after="0"/>
        <w:tabs>
          <w:tab w:leader="none" w:pos="2120" w:val="left"/>
        </w:tabs>
        <w:numPr>
          <w:ilvl w:val="0"/>
          <w:numId w:val="108"/>
        </w:numPr>
        <w:rPr>
          <w:rFonts w:ascii="Arial" w:cs="Arial" w:eastAsia="Arial" w:hAnsi="Arial"/>
          <w:sz w:val="17"/>
          <w:szCs w:val="17"/>
          <w:color w:val="582C83"/>
        </w:rPr>
      </w:pPr>
      <w:r>
        <w:rPr>
          <w:rFonts w:ascii="Arial" w:cs="Arial" w:eastAsia="Arial" w:hAnsi="Arial"/>
          <w:sz w:val="14"/>
          <w:szCs w:val="14"/>
          <w:color w:val="auto"/>
        </w:rPr>
        <w:t>Outplacement services for up to two years.</w:t>
      </w:r>
    </w:p>
    <w:p>
      <w:pPr>
        <w:spacing w:after="0" w:line="61" w:lineRule="exact"/>
        <w:rPr>
          <w:rFonts w:ascii="Arial" w:cs="Arial" w:eastAsia="Arial" w:hAnsi="Arial"/>
          <w:sz w:val="17"/>
          <w:szCs w:val="17"/>
          <w:color w:val="582C83"/>
        </w:rPr>
      </w:pPr>
    </w:p>
    <w:p>
      <w:pPr>
        <w:ind w:left="2120" w:hanging="121"/>
        <w:spacing w:after="0"/>
        <w:tabs>
          <w:tab w:leader="none" w:pos="2120" w:val="left"/>
        </w:tabs>
        <w:numPr>
          <w:ilvl w:val="0"/>
          <w:numId w:val="108"/>
        </w:numPr>
        <w:rPr>
          <w:rFonts w:ascii="Arial" w:cs="Arial" w:eastAsia="Arial" w:hAnsi="Arial"/>
          <w:sz w:val="17"/>
          <w:szCs w:val="17"/>
          <w:color w:val="582C83"/>
        </w:rPr>
      </w:pPr>
      <w:r>
        <w:rPr>
          <w:rFonts w:ascii="Arial" w:cs="Arial" w:eastAsia="Arial" w:hAnsi="Arial"/>
          <w:sz w:val="14"/>
          <w:szCs w:val="14"/>
          <w:color w:val="auto"/>
        </w:rPr>
        <w:t>Continuation of financial counseling and car allowances for three years for the CEO and two years for the</w:t>
      </w:r>
    </w:p>
    <w:p>
      <w:pPr>
        <w:sectPr>
          <w:pgSz w:w="11900" w:h="16883" w:orient="portrait"/>
          <w:cols w:equalWidth="0" w:num="1">
            <w:col w:w="9040"/>
          </w:cols>
          <w:pgMar w:left="1420" w:top="98" w:right="1439" w:bottom="0" w:gutter="0" w:footer="0" w:header="0"/>
        </w:sectPr>
      </w:pPr>
    </w:p>
    <w:bookmarkStart w:id="82" w:name="page83"/>
    <w:bookmarkEnd w:id="82"/>
    <w:p>
      <w:pPr>
        <w:ind w:left="2120"/>
        <w:spacing w:after="0"/>
        <w:rPr>
          <w:sz w:val="20"/>
          <w:szCs w:val="20"/>
          <w:color w:val="auto"/>
        </w:rPr>
      </w:pPr>
      <w:r>
        <w:rPr>
          <w:rFonts w:ascii="Arial" w:cs="Arial" w:eastAsia="Arial" w:hAnsi="Arial"/>
          <w:sz w:val="14"/>
          <w:szCs w:val="14"/>
          <w:color w:val="auto"/>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-36830</wp:posOffset>
            </wp:positionV>
            <wp:extent cx="6810375" cy="49053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10375" cy="4905375"/>
                    </a:xfrm>
                    <a:prstGeom prst="rect">
                      <a:avLst/>
                    </a:prstGeom>
                    <a:noFill/>
                  </pic:spPr>
                </pic:pic>
              </a:graphicData>
            </a:graphic>
          </wp:anchor>
        </w:drawing>
      </w:r>
    </w:p>
    <w:p>
      <w:pPr>
        <w:ind w:left="60"/>
        <w:spacing w:after="0"/>
        <w:tabs>
          <w:tab w:leader="none" w:pos="1980" w:val="left"/>
        </w:tabs>
        <w:rPr>
          <w:sz w:val="20"/>
          <w:szCs w:val="20"/>
          <w:color w:val="auto"/>
        </w:rPr>
      </w:pPr>
      <w:r>
        <w:rPr>
          <w:rFonts w:ascii="Arial" w:cs="Arial" w:eastAsia="Arial" w:hAnsi="Arial"/>
          <w:sz w:val="14"/>
          <w:szCs w:val="14"/>
          <w:b w:val="1"/>
          <w:bCs w:val="1"/>
          <w:color w:val="auto"/>
        </w:rPr>
        <w:t>Element</w:t>
      </w:r>
      <w:r>
        <w:rPr>
          <w:sz w:val="20"/>
          <w:szCs w:val="20"/>
          <w:color w:val="auto"/>
        </w:rPr>
        <w:tab/>
      </w:r>
      <w:r>
        <w:rPr>
          <w:rFonts w:ascii="Arial" w:cs="Arial" w:eastAsia="Arial" w:hAnsi="Arial"/>
          <w:sz w:val="14"/>
          <w:szCs w:val="14"/>
          <w:b w:val="1"/>
          <w:bCs w:val="1"/>
          <w:color w:val="auto"/>
        </w:rPr>
        <w:t>Description</w:t>
      </w:r>
    </w:p>
    <w:p>
      <w:pPr>
        <w:spacing w:after="0" w:line="41" w:lineRule="exact"/>
        <w:rPr>
          <w:sz w:val="20"/>
          <w:szCs w:val="20"/>
          <w:color w:val="auto"/>
        </w:rPr>
      </w:pPr>
    </w:p>
    <w:p>
      <w:pPr>
        <w:ind w:left="2120" w:right="160" w:hanging="121"/>
        <w:spacing w:after="0" w:line="307" w:lineRule="auto"/>
        <w:tabs>
          <w:tab w:leader="none" w:pos="2120" w:val="left"/>
        </w:tabs>
        <w:numPr>
          <w:ilvl w:val="0"/>
          <w:numId w:val="109"/>
        </w:numPr>
        <w:rPr>
          <w:rFonts w:ascii="Arial" w:cs="Arial" w:eastAsia="Arial" w:hAnsi="Arial"/>
          <w:sz w:val="17"/>
          <w:szCs w:val="17"/>
          <w:color w:val="582C83"/>
        </w:rPr>
      </w:pPr>
      <w:r>
        <w:rPr>
          <w:rFonts w:ascii="Arial" w:cs="Arial" w:eastAsia="Arial" w:hAnsi="Arial"/>
          <w:sz w:val="14"/>
          <w:szCs w:val="14"/>
          <w:color w:val="auto"/>
        </w:rPr>
        <w:t>A lump sum payment equal to any employer matching contributions forfeited by the NEO under the Company’s 401(k) plan which would have vested had the NEO remained employed for two years following termination and waiver of any repayment obligations with respect to any sign-on or similar bonuses.</w:t>
      </w:r>
    </w:p>
    <w:tbl>
      <w:tblPr>
        <w:tblLayout w:type="fixed"/>
        <w:tblInd w:w="0" w:type="dxa"/>
        <w:tblCellMar>
          <w:top w:w="0" w:type="dxa"/>
          <w:left w:w="0" w:type="dxa"/>
          <w:bottom w:w="0" w:type="dxa"/>
          <w:right w:w="0" w:type="dxa"/>
        </w:tblCellMar>
      </w:tblPr>
      <w:tr>
        <w:trPr>
          <w:trHeight w:val="225"/>
        </w:trPr>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AIP Awards</w:t>
            </w:r>
          </w:p>
        </w:tc>
        <w:tc>
          <w:tcPr>
            <w:tcW w:w="240" w:type="dxa"/>
            <w:vAlign w:val="bottom"/>
          </w:tcPr>
          <w:p>
            <w:pPr>
              <w:ind w:left="140"/>
              <w:spacing w:after="0"/>
              <w:rPr>
                <w:sz w:val="20"/>
                <w:szCs w:val="20"/>
                <w:color w:val="auto"/>
              </w:rPr>
            </w:pPr>
            <w:r>
              <w:rPr>
                <w:rFonts w:ascii="Arial" w:cs="Arial" w:eastAsia="Arial" w:hAnsi="Arial"/>
                <w:sz w:val="17"/>
                <w:szCs w:val="17"/>
                <w:color w:val="582C83"/>
              </w:rPr>
              <w:t>•</w:t>
            </w:r>
          </w:p>
        </w:tc>
        <w:tc>
          <w:tcPr>
            <w:tcW w:w="6940" w:type="dxa"/>
            <w:vAlign w:val="bottom"/>
          </w:tcPr>
          <w:p>
            <w:pPr>
              <w:ind w:left="20"/>
              <w:spacing w:after="0"/>
              <w:rPr>
                <w:sz w:val="20"/>
                <w:szCs w:val="20"/>
                <w:color w:val="auto"/>
              </w:rPr>
            </w:pPr>
            <w:r>
              <w:rPr>
                <w:rFonts w:ascii="Arial" w:cs="Arial" w:eastAsia="Arial" w:hAnsi="Arial"/>
                <w:sz w:val="14"/>
                <w:szCs w:val="14"/>
                <w:color w:val="auto"/>
              </w:rPr>
              <w:t>Any unpaid AIP award for the previously completed fiscal year and a prorated target award for the</w:t>
            </w:r>
          </w:p>
        </w:tc>
        <w:tc>
          <w:tcPr>
            <w:tcW w:w="0" w:type="dxa"/>
            <w:vAlign w:val="bottom"/>
          </w:tcPr>
          <w:p>
            <w:pPr>
              <w:spacing w:after="0"/>
              <w:rPr>
                <w:sz w:val="1"/>
                <w:szCs w:val="1"/>
                <w:color w:val="auto"/>
              </w:rPr>
            </w:pPr>
          </w:p>
        </w:tc>
      </w:tr>
      <w:tr>
        <w:trPr>
          <w:trHeight w:val="194"/>
        </w:trPr>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940" w:type="dxa"/>
            <w:vAlign w:val="bottom"/>
          </w:tcPr>
          <w:p>
            <w:pPr>
              <w:ind w:left="20"/>
              <w:spacing w:after="0"/>
              <w:rPr>
                <w:sz w:val="20"/>
                <w:szCs w:val="20"/>
                <w:color w:val="auto"/>
              </w:rPr>
            </w:pPr>
            <w:r>
              <w:rPr>
                <w:rFonts w:ascii="Arial" w:cs="Arial" w:eastAsia="Arial" w:hAnsi="Arial"/>
                <w:sz w:val="14"/>
                <w:szCs w:val="14"/>
                <w:color w:val="auto"/>
              </w:rPr>
              <w:t>termination year (the latter may not be duplicative with the In-Flight Bonus below).</w:t>
            </w:r>
          </w:p>
        </w:tc>
        <w:tc>
          <w:tcPr>
            <w:tcW w:w="0" w:type="dxa"/>
            <w:vAlign w:val="bottom"/>
          </w:tcPr>
          <w:p>
            <w:pPr>
              <w:spacing w:after="0"/>
              <w:rPr>
                <w:sz w:val="1"/>
                <w:szCs w:val="1"/>
                <w:color w:val="auto"/>
              </w:rPr>
            </w:pPr>
          </w:p>
        </w:tc>
      </w:tr>
      <w:tr>
        <w:trPr>
          <w:trHeight w:val="278"/>
        </w:trPr>
        <w:tc>
          <w:tcPr>
            <w:tcW w:w="1860" w:type="dxa"/>
            <w:vAlign w:val="bottom"/>
          </w:tcPr>
          <w:p>
            <w:pPr>
              <w:spacing w:after="0"/>
              <w:rPr>
                <w:sz w:val="24"/>
                <w:szCs w:val="24"/>
                <w:color w:val="auto"/>
              </w:rPr>
            </w:pPr>
          </w:p>
        </w:tc>
        <w:tc>
          <w:tcPr>
            <w:tcW w:w="240" w:type="dxa"/>
            <w:vAlign w:val="bottom"/>
          </w:tcPr>
          <w:p>
            <w:pPr>
              <w:ind w:left="140"/>
              <w:spacing w:after="0"/>
              <w:rPr>
                <w:sz w:val="20"/>
                <w:szCs w:val="20"/>
                <w:color w:val="auto"/>
              </w:rPr>
            </w:pPr>
            <w:r>
              <w:rPr>
                <w:rFonts w:ascii="Arial" w:cs="Arial" w:eastAsia="Arial" w:hAnsi="Arial"/>
                <w:sz w:val="17"/>
                <w:szCs w:val="17"/>
                <w:color w:val="582C83"/>
              </w:rPr>
              <w:t>•</w:t>
            </w:r>
          </w:p>
        </w:tc>
        <w:tc>
          <w:tcPr>
            <w:tcW w:w="6940" w:type="dxa"/>
            <w:vAlign w:val="bottom"/>
          </w:tcPr>
          <w:p>
            <w:pPr>
              <w:ind w:left="20"/>
              <w:spacing w:after="0"/>
              <w:rPr>
                <w:sz w:val="20"/>
                <w:szCs w:val="20"/>
                <w:color w:val="auto"/>
              </w:rPr>
            </w:pPr>
            <w:r>
              <w:rPr>
                <w:rFonts w:ascii="Arial" w:cs="Arial" w:eastAsia="Arial" w:hAnsi="Arial"/>
                <w:sz w:val="14"/>
                <w:szCs w:val="14"/>
                <w:color w:val="auto"/>
              </w:rPr>
              <w:t>Upon a CIC, our NEOs will also be eligible to receive an AIP award for the CIC fiscal year, at the higher of</w:t>
            </w:r>
          </w:p>
        </w:tc>
        <w:tc>
          <w:tcPr>
            <w:tcW w:w="0" w:type="dxa"/>
            <w:vAlign w:val="bottom"/>
          </w:tcPr>
          <w:p>
            <w:pPr>
              <w:spacing w:after="0"/>
              <w:rPr>
                <w:sz w:val="1"/>
                <w:szCs w:val="1"/>
                <w:color w:val="auto"/>
              </w:rPr>
            </w:pPr>
          </w:p>
        </w:tc>
      </w:tr>
      <w:tr>
        <w:trPr>
          <w:trHeight w:val="208"/>
        </w:trPr>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4"/>
                <w:szCs w:val="14"/>
                <w:color w:val="auto"/>
              </w:rPr>
              <w:t>target or actual performance as of immediately prior to the CIC; provided that if less than 50% of the fiscal</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4"/>
                <w:szCs w:val="14"/>
                <w:color w:val="auto"/>
              </w:rPr>
              <w:t>year has elapsed prior to the CIC, such AIP will be prorated based on the number of days that have</w:t>
            </w:r>
          </w:p>
        </w:tc>
        <w:tc>
          <w:tcPr>
            <w:tcW w:w="0" w:type="dxa"/>
            <w:vAlign w:val="bottom"/>
          </w:tcPr>
          <w:p>
            <w:pPr>
              <w:spacing w:after="0"/>
              <w:rPr>
                <w:sz w:val="1"/>
                <w:szCs w:val="1"/>
                <w:color w:val="auto"/>
              </w:rPr>
            </w:pPr>
          </w:p>
        </w:tc>
      </w:tr>
      <w:tr>
        <w:trPr>
          <w:trHeight w:val="230"/>
        </w:trPr>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40" w:type="dxa"/>
            <w:vAlign w:val="bottom"/>
          </w:tcPr>
          <w:p>
            <w:pPr>
              <w:ind w:left="20"/>
              <w:spacing w:after="0"/>
              <w:rPr>
                <w:sz w:val="20"/>
                <w:szCs w:val="20"/>
                <w:color w:val="auto"/>
              </w:rPr>
            </w:pPr>
            <w:r>
              <w:rPr>
                <w:rFonts w:ascii="Arial" w:cs="Arial" w:eastAsia="Arial" w:hAnsi="Arial"/>
                <w:sz w:val="14"/>
                <w:szCs w:val="14"/>
                <w:color w:val="auto"/>
              </w:rPr>
              <w:t>elapsed through the CIC (the “In-Flight Bonus”).</w:t>
            </w:r>
          </w:p>
        </w:tc>
        <w:tc>
          <w:tcPr>
            <w:tcW w:w="0" w:type="dxa"/>
            <w:vAlign w:val="bottom"/>
          </w:tcPr>
          <w:p>
            <w:pPr>
              <w:spacing w:after="0"/>
              <w:rPr>
                <w:sz w:val="1"/>
                <w:szCs w:val="1"/>
                <w:color w:val="auto"/>
              </w:rPr>
            </w:pPr>
          </w:p>
        </w:tc>
      </w:tr>
      <w:tr>
        <w:trPr>
          <w:trHeight w:val="264"/>
        </w:trPr>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Equity Awards</w:t>
            </w:r>
          </w:p>
        </w:tc>
        <w:tc>
          <w:tcPr>
            <w:tcW w:w="240" w:type="dxa"/>
            <w:vAlign w:val="bottom"/>
          </w:tcPr>
          <w:p>
            <w:pPr>
              <w:ind w:left="140"/>
              <w:spacing w:after="0"/>
              <w:rPr>
                <w:sz w:val="20"/>
                <w:szCs w:val="20"/>
                <w:color w:val="auto"/>
              </w:rPr>
            </w:pPr>
            <w:r>
              <w:rPr>
                <w:rFonts w:ascii="Arial" w:cs="Arial" w:eastAsia="Arial" w:hAnsi="Arial"/>
                <w:sz w:val="17"/>
                <w:szCs w:val="17"/>
                <w:color w:val="582C83"/>
              </w:rPr>
              <w:t>•</w:t>
            </w:r>
          </w:p>
        </w:tc>
        <w:tc>
          <w:tcPr>
            <w:tcW w:w="6940" w:type="dxa"/>
            <w:vAlign w:val="bottom"/>
          </w:tcPr>
          <w:p>
            <w:pPr>
              <w:ind w:left="20"/>
              <w:spacing w:after="0"/>
              <w:rPr>
                <w:sz w:val="20"/>
                <w:szCs w:val="20"/>
                <w:color w:val="auto"/>
              </w:rPr>
            </w:pPr>
            <w:r>
              <w:rPr>
                <w:rFonts w:ascii="Arial" w:cs="Arial" w:eastAsia="Arial" w:hAnsi="Arial"/>
                <w:sz w:val="14"/>
                <w:szCs w:val="14"/>
                <w:color w:val="auto"/>
              </w:rPr>
              <w:t>Upon a CIC, each DSU and stock option assumed by the successor will remain outstanding and continue to</w:t>
            </w:r>
          </w:p>
        </w:tc>
        <w:tc>
          <w:tcPr>
            <w:tcW w:w="0" w:type="dxa"/>
            <w:vAlign w:val="bottom"/>
          </w:tcPr>
          <w:p>
            <w:pPr>
              <w:spacing w:after="0"/>
              <w:rPr>
                <w:sz w:val="1"/>
                <w:szCs w:val="1"/>
                <w:color w:val="auto"/>
              </w:rPr>
            </w:pPr>
          </w:p>
        </w:tc>
      </w:tr>
      <w:tr>
        <w:trPr>
          <w:trHeight w:val="194"/>
        </w:trPr>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940" w:type="dxa"/>
            <w:vAlign w:val="bottom"/>
          </w:tcPr>
          <w:p>
            <w:pPr>
              <w:ind w:left="20"/>
              <w:spacing w:after="0"/>
              <w:rPr>
                <w:sz w:val="20"/>
                <w:szCs w:val="20"/>
                <w:color w:val="auto"/>
              </w:rPr>
            </w:pPr>
            <w:r>
              <w:rPr>
                <w:rFonts w:ascii="Arial" w:cs="Arial" w:eastAsia="Arial" w:hAnsi="Arial"/>
                <w:sz w:val="14"/>
                <w:szCs w:val="14"/>
                <w:color w:val="auto"/>
              </w:rPr>
              <w:t>vest pursuant to their terms and outstanding PSUs will be automatically converted into time-based DSUs</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4"/>
                <w:szCs w:val="14"/>
                <w:color w:val="auto"/>
              </w:rPr>
              <w:t>based on the higher of target or actual performance, which will be scheduled to vest on the last day of the</w:t>
            </w:r>
          </w:p>
        </w:tc>
        <w:tc>
          <w:tcPr>
            <w:tcW w:w="0" w:type="dxa"/>
            <w:vAlign w:val="bottom"/>
          </w:tcPr>
          <w:p>
            <w:pPr>
              <w:spacing w:after="0"/>
              <w:rPr>
                <w:sz w:val="1"/>
                <w:szCs w:val="1"/>
                <w:color w:val="auto"/>
              </w:rPr>
            </w:pPr>
          </w:p>
        </w:tc>
      </w:tr>
      <w:tr>
        <w:trPr>
          <w:trHeight w:val="230"/>
        </w:trPr>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40" w:type="dxa"/>
            <w:vAlign w:val="bottom"/>
          </w:tcPr>
          <w:p>
            <w:pPr>
              <w:ind w:left="20"/>
              <w:spacing w:after="0"/>
              <w:rPr>
                <w:sz w:val="20"/>
                <w:szCs w:val="20"/>
                <w:color w:val="auto"/>
              </w:rPr>
            </w:pPr>
            <w:r>
              <w:rPr>
                <w:rFonts w:ascii="Arial" w:cs="Arial" w:eastAsia="Arial" w:hAnsi="Arial"/>
                <w:sz w:val="14"/>
                <w:szCs w:val="14"/>
                <w:color w:val="auto"/>
              </w:rPr>
              <w:t>original performance period of the related PSU grant.</w:t>
            </w:r>
          </w:p>
        </w:tc>
        <w:tc>
          <w:tcPr>
            <w:tcW w:w="0" w:type="dxa"/>
            <w:vAlign w:val="bottom"/>
          </w:tcPr>
          <w:p>
            <w:pPr>
              <w:spacing w:after="0"/>
              <w:rPr>
                <w:sz w:val="1"/>
                <w:szCs w:val="1"/>
                <w:color w:val="auto"/>
              </w:rPr>
            </w:pPr>
          </w:p>
        </w:tc>
      </w:tr>
      <w:tr>
        <w:trPr>
          <w:trHeight w:val="278"/>
        </w:trPr>
        <w:tc>
          <w:tcPr>
            <w:tcW w:w="1860" w:type="dxa"/>
            <w:vAlign w:val="bottom"/>
          </w:tcPr>
          <w:p>
            <w:pPr>
              <w:spacing w:after="0"/>
              <w:rPr>
                <w:sz w:val="24"/>
                <w:szCs w:val="24"/>
                <w:color w:val="auto"/>
              </w:rPr>
            </w:pPr>
          </w:p>
        </w:tc>
        <w:tc>
          <w:tcPr>
            <w:tcW w:w="240" w:type="dxa"/>
            <w:vAlign w:val="bottom"/>
          </w:tcPr>
          <w:p>
            <w:pPr>
              <w:ind w:left="140"/>
              <w:spacing w:after="0"/>
              <w:rPr>
                <w:sz w:val="20"/>
                <w:szCs w:val="20"/>
                <w:color w:val="auto"/>
              </w:rPr>
            </w:pPr>
            <w:r>
              <w:rPr>
                <w:rFonts w:ascii="Arial" w:cs="Arial" w:eastAsia="Arial" w:hAnsi="Arial"/>
                <w:sz w:val="17"/>
                <w:szCs w:val="17"/>
                <w:color w:val="582C83"/>
              </w:rPr>
              <w:t>•</w:t>
            </w:r>
          </w:p>
        </w:tc>
        <w:tc>
          <w:tcPr>
            <w:tcW w:w="6940" w:type="dxa"/>
            <w:vAlign w:val="bottom"/>
          </w:tcPr>
          <w:p>
            <w:pPr>
              <w:ind w:left="20"/>
              <w:spacing w:after="0"/>
              <w:rPr>
                <w:sz w:val="20"/>
                <w:szCs w:val="20"/>
                <w:color w:val="auto"/>
              </w:rPr>
            </w:pPr>
            <w:r>
              <w:rPr>
                <w:rFonts w:ascii="Arial" w:cs="Arial" w:eastAsia="Arial" w:hAnsi="Arial"/>
                <w:sz w:val="14"/>
                <w:szCs w:val="14"/>
                <w:color w:val="auto"/>
              </w:rPr>
              <w:t>Upon a CIC Qualifying Termination, all of such NEO’s outstanding equity awards will fully vest and stock</w:t>
            </w:r>
          </w:p>
        </w:tc>
        <w:tc>
          <w:tcPr>
            <w:tcW w:w="0" w:type="dxa"/>
            <w:vAlign w:val="bottom"/>
          </w:tcPr>
          <w:p>
            <w:pPr>
              <w:spacing w:after="0"/>
              <w:rPr>
                <w:sz w:val="1"/>
                <w:szCs w:val="1"/>
                <w:color w:val="auto"/>
              </w:rPr>
            </w:pPr>
          </w:p>
        </w:tc>
      </w:tr>
      <w:tr>
        <w:trPr>
          <w:trHeight w:val="208"/>
        </w:trPr>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4"/>
                <w:szCs w:val="14"/>
                <w:color w:val="auto"/>
              </w:rPr>
              <w:t>options will remain exercisable until the expiration of their original full term.</w:t>
            </w:r>
          </w:p>
        </w:tc>
        <w:tc>
          <w:tcPr>
            <w:tcW w:w="0" w:type="dxa"/>
            <w:vAlign w:val="bottom"/>
          </w:tcPr>
          <w:p>
            <w:pPr>
              <w:spacing w:after="0"/>
              <w:rPr>
                <w:sz w:val="1"/>
                <w:szCs w:val="1"/>
                <w:color w:val="auto"/>
              </w:rPr>
            </w:pPr>
          </w:p>
        </w:tc>
      </w:tr>
      <w:tr>
        <w:trPr>
          <w:trHeight w:val="215"/>
        </w:trPr>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Maximum CIC Plan</w:t>
            </w:r>
          </w:p>
        </w:tc>
        <w:tc>
          <w:tcPr>
            <w:tcW w:w="240" w:type="dxa"/>
            <w:vAlign w:val="bottom"/>
          </w:tcPr>
          <w:p>
            <w:pPr>
              <w:ind w:left="140"/>
              <w:spacing w:after="0"/>
              <w:rPr>
                <w:sz w:val="20"/>
                <w:szCs w:val="20"/>
                <w:color w:val="auto"/>
              </w:rPr>
            </w:pPr>
            <w:r>
              <w:rPr>
                <w:rFonts w:ascii="Arial" w:cs="Arial" w:eastAsia="Arial" w:hAnsi="Arial"/>
                <w:sz w:val="17"/>
                <w:szCs w:val="17"/>
                <w:color w:val="auto"/>
              </w:rPr>
              <w:t>•</w:t>
            </w:r>
          </w:p>
        </w:tc>
        <w:tc>
          <w:tcPr>
            <w:tcW w:w="6940" w:type="dxa"/>
            <w:vAlign w:val="bottom"/>
          </w:tcPr>
          <w:p>
            <w:pPr>
              <w:ind w:left="20"/>
              <w:spacing w:after="0"/>
              <w:rPr>
                <w:sz w:val="20"/>
                <w:szCs w:val="20"/>
                <w:color w:val="auto"/>
              </w:rPr>
            </w:pPr>
            <w:r>
              <w:rPr>
                <w:rFonts w:ascii="Arial" w:cs="Arial" w:eastAsia="Arial" w:hAnsi="Arial"/>
                <w:sz w:val="14"/>
                <w:szCs w:val="14"/>
                <w:color w:val="auto"/>
              </w:rPr>
              <w:t>The maximum CIC benefit under the CIC Plan or otherwise is the greater of the full benefits or a reduced</w:t>
            </w:r>
          </w:p>
        </w:tc>
        <w:tc>
          <w:tcPr>
            <w:tcW w:w="0" w:type="dxa"/>
            <w:vAlign w:val="bottom"/>
          </w:tcPr>
          <w:p>
            <w:pPr>
              <w:spacing w:after="0"/>
              <w:rPr>
                <w:sz w:val="1"/>
                <w:szCs w:val="1"/>
                <w:color w:val="auto"/>
              </w:rPr>
            </w:pPr>
          </w:p>
        </w:tc>
      </w:tr>
      <w:tr>
        <w:trPr>
          <w:trHeight w:val="175"/>
        </w:trPr>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Benefit/No Gross Up for</w:t>
            </w:r>
          </w:p>
        </w:tc>
        <w:tc>
          <w:tcPr>
            <w:tcW w:w="240" w:type="dxa"/>
            <w:vAlign w:val="bottom"/>
          </w:tcPr>
          <w:p>
            <w:pPr>
              <w:spacing w:after="0"/>
              <w:rPr>
                <w:sz w:val="15"/>
                <w:szCs w:val="15"/>
                <w:color w:val="auto"/>
              </w:rPr>
            </w:pPr>
          </w:p>
        </w:tc>
        <w:tc>
          <w:tcPr>
            <w:tcW w:w="6940" w:type="dxa"/>
            <w:vAlign w:val="bottom"/>
            <w:vMerge w:val="restart"/>
          </w:tcPr>
          <w:p>
            <w:pPr>
              <w:ind w:left="20"/>
              <w:spacing w:after="0"/>
              <w:rPr>
                <w:sz w:val="20"/>
                <w:szCs w:val="20"/>
                <w:color w:val="auto"/>
              </w:rPr>
            </w:pPr>
            <w:r>
              <w:rPr>
                <w:rFonts w:ascii="Arial" w:cs="Arial" w:eastAsia="Arial" w:hAnsi="Arial"/>
                <w:sz w:val="14"/>
                <w:szCs w:val="14"/>
                <w:color w:val="auto"/>
              </w:rPr>
              <w:t>benefit that does not trigger the excise tax under Code Section 4999, as determined on an after-tax basis</w:t>
            </w:r>
          </w:p>
        </w:tc>
        <w:tc>
          <w:tcPr>
            <w:tcW w:w="0" w:type="dxa"/>
            <w:vAlign w:val="bottom"/>
          </w:tcPr>
          <w:p>
            <w:pPr>
              <w:spacing w:after="0"/>
              <w:rPr>
                <w:sz w:val="1"/>
                <w:szCs w:val="1"/>
                <w:color w:val="auto"/>
              </w:rPr>
            </w:pPr>
          </w:p>
        </w:tc>
      </w:tr>
      <w:tr>
        <w:trPr>
          <w:trHeight w:val="69"/>
        </w:trPr>
        <w:tc>
          <w:tcPr>
            <w:tcW w:w="18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Payment of Excise Tax</w:t>
            </w:r>
          </w:p>
        </w:tc>
        <w:tc>
          <w:tcPr>
            <w:tcW w:w="240" w:type="dxa"/>
            <w:vAlign w:val="bottom"/>
          </w:tcPr>
          <w:p>
            <w:pPr>
              <w:spacing w:after="0"/>
              <w:rPr>
                <w:sz w:val="5"/>
                <w:szCs w:val="5"/>
                <w:color w:val="auto"/>
              </w:rPr>
            </w:pPr>
          </w:p>
        </w:tc>
        <w:tc>
          <w:tcPr>
            <w:tcW w:w="6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8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940" w:type="dxa"/>
            <w:vAlign w:val="bottom"/>
            <w:vMerge w:val="restart"/>
          </w:tcPr>
          <w:p>
            <w:pPr>
              <w:ind w:left="20"/>
              <w:spacing w:after="0"/>
              <w:rPr>
                <w:sz w:val="20"/>
                <w:szCs w:val="20"/>
                <w:color w:val="auto"/>
              </w:rPr>
            </w:pPr>
            <w:r>
              <w:rPr>
                <w:rFonts w:ascii="Arial" w:cs="Arial" w:eastAsia="Arial" w:hAnsi="Arial"/>
                <w:sz w:val="14"/>
                <w:szCs w:val="14"/>
                <w:color w:val="auto"/>
              </w:rPr>
              <w:t>for each NEO.</w:t>
            </w:r>
          </w:p>
        </w:tc>
        <w:tc>
          <w:tcPr>
            <w:tcW w:w="0" w:type="dxa"/>
            <w:vAlign w:val="bottom"/>
          </w:tcPr>
          <w:p>
            <w:pPr>
              <w:spacing w:after="0"/>
              <w:rPr>
                <w:sz w:val="1"/>
                <w:szCs w:val="1"/>
                <w:color w:val="auto"/>
              </w:rPr>
            </w:pPr>
          </w:p>
        </w:tc>
      </w:tr>
      <w:tr>
        <w:trPr>
          <w:trHeight w:val="88"/>
        </w:trPr>
        <w:tc>
          <w:tcPr>
            <w:tcW w:w="1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1860" w:type="dxa"/>
            <w:vAlign w:val="bottom"/>
          </w:tcPr>
          <w:p>
            <w:pPr>
              <w:spacing w:after="0"/>
              <w:rPr>
                <w:sz w:val="24"/>
                <w:szCs w:val="24"/>
                <w:color w:val="auto"/>
              </w:rPr>
            </w:pPr>
          </w:p>
        </w:tc>
        <w:tc>
          <w:tcPr>
            <w:tcW w:w="240" w:type="dxa"/>
            <w:vAlign w:val="bottom"/>
          </w:tcPr>
          <w:p>
            <w:pPr>
              <w:ind w:left="140"/>
              <w:spacing w:after="0"/>
              <w:rPr>
                <w:sz w:val="20"/>
                <w:szCs w:val="20"/>
                <w:color w:val="auto"/>
              </w:rPr>
            </w:pPr>
            <w:r>
              <w:rPr>
                <w:rFonts w:ascii="Arial" w:cs="Arial" w:eastAsia="Arial" w:hAnsi="Arial"/>
                <w:sz w:val="17"/>
                <w:szCs w:val="17"/>
                <w:color w:val="582C83"/>
              </w:rPr>
              <w:t>•</w:t>
            </w:r>
          </w:p>
        </w:tc>
        <w:tc>
          <w:tcPr>
            <w:tcW w:w="6940" w:type="dxa"/>
            <w:vAlign w:val="bottom"/>
          </w:tcPr>
          <w:p>
            <w:pPr>
              <w:ind w:left="20"/>
              <w:spacing w:after="0"/>
              <w:rPr>
                <w:sz w:val="20"/>
                <w:szCs w:val="20"/>
                <w:color w:val="auto"/>
              </w:rPr>
            </w:pPr>
            <w:r>
              <w:rPr>
                <w:rFonts w:ascii="Arial" w:cs="Arial" w:eastAsia="Arial" w:hAnsi="Arial"/>
                <w:sz w:val="14"/>
                <w:szCs w:val="14"/>
                <w:color w:val="auto"/>
              </w:rPr>
              <w:t>The CIC Plan does not provide for gross-up excise tax payments for any NEOs.</w:t>
            </w:r>
          </w:p>
        </w:tc>
        <w:tc>
          <w:tcPr>
            <w:tcW w:w="0" w:type="dxa"/>
            <w:vAlign w:val="bottom"/>
          </w:tcPr>
          <w:p>
            <w:pPr>
              <w:spacing w:after="0"/>
              <w:rPr>
                <w:sz w:val="1"/>
                <w:szCs w:val="1"/>
                <w:color w:val="auto"/>
              </w:rPr>
            </w:pPr>
          </w:p>
        </w:tc>
      </w:tr>
      <w:tr>
        <w:trPr>
          <w:trHeight w:val="540"/>
        </w:trPr>
        <w:tc>
          <w:tcPr>
            <w:tcW w:w="1860" w:type="dxa"/>
            <w:vAlign w:val="bottom"/>
            <w:tcBorders>
              <w:bottom w:val="single" w:sz="8" w:color="582C83"/>
            </w:tcBorders>
          </w:tcPr>
          <w:p>
            <w:pPr>
              <w:spacing w:after="0"/>
              <w:rPr>
                <w:sz w:val="24"/>
                <w:szCs w:val="24"/>
                <w:color w:val="auto"/>
              </w:rPr>
            </w:pPr>
          </w:p>
        </w:tc>
        <w:tc>
          <w:tcPr>
            <w:tcW w:w="240" w:type="dxa"/>
            <w:vAlign w:val="bottom"/>
            <w:tcBorders>
              <w:bottom w:val="single" w:sz="8" w:color="582C83"/>
            </w:tcBorders>
          </w:tcPr>
          <w:p>
            <w:pPr>
              <w:spacing w:after="0"/>
              <w:rPr>
                <w:sz w:val="24"/>
                <w:szCs w:val="24"/>
                <w:color w:val="auto"/>
              </w:rPr>
            </w:pPr>
          </w:p>
        </w:tc>
        <w:tc>
          <w:tcPr>
            <w:tcW w:w="6940" w:type="dxa"/>
            <w:vAlign w:val="bottom"/>
            <w:tcBorders>
              <w:bottom w:val="single" w:sz="8" w:color="582C83"/>
            </w:tcBorders>
          </w:tcPr>
          <w:p>
            <w:pPr>
              <w:spacing w:after="0"/>
              <w:rPr>
                <w:sz w:val="24"/>
                <w:szCs w:val="24"/>
                <w:color w:val="auto"/>
              </w:rPr>
            </w:pPr>
          </w:p>
        </w:tc>
        <w:tc>
          <w:tcPr>
            <w:tcW w:w="0" w:type="dxa"/>
            <w:vAlign w:val="bottom"/>
          </w:tcPr>
          <w:p>
            <w:pPr>
              <w:spacing w:after="0"/>
              <w:rPr>
                <w:sz w:val="1"/>
                <w:szCs w:val="1"/>
                <w:color w:val="auto"/>
              </w:rPr>
            </w:pPr>
          </w:p>
        </w:tc>
      </w:tr>
      <w:tr>
        <w:trPr>
          <w:trHeight w:val="993"/>
        </w:trPr>
        <w:tc>
          <w:tcPr>
            <w:tcW w:w="1860" w:type="dxa"/>
            <w:vAlign w:val="bottom"/>
            <w:tcBorders>
              <w:bottom w:val="single" w:sz="8" w:color="582C83"/>
            </w:tcBorders>
          </w:tcPr>
          <w:p>
            <w:pPr>
              <w:spacing w:after="0"/>
              <w:rPr>
                <w:sz w:val="24"/>
                <w:szCs w:val="24"/>
                <w:color w:val="auto"/>
              </w:rPr>
            </w:pPr>
          </w:p>
        </w:tc>
        <w:tc>
          <w:tcPr>
            <w:tcW w:w="240" w:type="dxa"/>
            <w:vAlign w:val="bottom"/>
            <w:tcBorders>
              <w:bottom w:val="single" w:sz="8" w:color="582C83"/>
            </w:tcBorders>
          </w:tcPr>
          <w:p>
            <w:pPr>
              <w:spacing w:after="0"/>
              <w:rPr>
                <w:sz w:val="24"/>
                <w:szCs w:val="24"/>
                <w:color w:val="auto"/>
              </w:rPr>
            </w:pPr>
          </w:p>
        </w:tc>
        <w:tc>
          <w:tcPr>
            <w:tcW w:w="6940" w:type="dxa"/>
            <w:vAlign w:val="bottom"/>
            <w:tcBorders>
              <w:bottom w:val="single" w:sz="8" w:color="582C83"/>
            </w:tcBorders>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1860" w:type="dxa"/>
            <w:vAlign w:val="bottom"/>
            <w:tcBorders>
              <w:bottom w:val="single" w:sz="8" w:color="592B82"/>
            </w:tcBorders>
          </w:tcPr>
          <w:p>
            <w:pPr>
              <w:spacing w:after="0"/>
              <w:rPr>
                <w:sz w:val="24"/>
                <w:szCs w:val="24"/>
                <w:color w:val="auto"/>
              </w:rPr>
            </w:pPr>
          </w:p>
        </w:tc>
        <w:tc>
          <w:tcPr>
            <w:tcW w:w="240" w:type="dxa"/>
            <w:vAlign w:val="bottom"/>
            <w:tcBorders>
              <w:bottom w:val="single" w:sz="8" w:color="592B82"/>
            </w:tcBorders>
          </w:tcPr>
          <w:p>
            <w:pPr>
              <w:spacing w:after="0"/>
              <w:rPr>
                <w:sz w:val="24"/>
                <w:szCs w:val="24"/>
                <w:color w:val="auto"/>
              </w:rPr>
            </w:pPr>
          </w:p>
        </w:tc>
        <w:tc>
          <w:tcPr>
            <w:tcW w:w="6940" w:type="dxa"/>
            <w:vAlign w:val="bottom"/>
            <w:tcBorders>
              <w:bottom w:val="single" w:sz="8" w:color="592B82"/>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94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55283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10375" cy="5528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EXECUTIVE COMPENSATION TABLES</w:t>
      </w:r>
    </w:p>
    <w:p>
      <w:pPr>
        <w:spacing w:after="0" w:line="48"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Potential Payments Upon Termination or Change in Control</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TERMINATION DUE TO DEATH, DISABILITY, AND RETIREMENT</w:t>
      </w:r>
    </w:p>
    <w:p>
      <w:pPr>
        <w:spacing w:after="0" w:line="212"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If an NEO’s employment terminates due to death, all of the NEO’s outstanding stock options and DSUs would vest, and the NEO’s outstanding PSUs would vest based on target performance. If an NEO’s employment terminates due to disability, all of the NEO’s outstanding stock options and DSUs would vest and a prorated portion of the NEO’s outstanding PSUs would vest based on target performance. In addition, upon death or disability, the NEO (or beneficiary) would also be eligible for a prorated target award under the AIP.</w:t>
      </w:r>
    </w:p>
    <w:p>
      <w:pPr>
        <w:spacing w:after="0" w:line="80"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If an NEO’s employment terminates due to retirement, the NEO would be eligible to receive the benefits summarized in the chart below (in addition to the benefits as described above in the Non-Qualified Deferred Compensation Benefits table):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8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Element</w:t>
            </w:r>
          </w:p>
        </w:tc>
        <w:tc>
          <w:tcPr>
            <w:tcW w:w="7460" w:type="dxa"/>
            <w:vAlign w:val="bottom"/>
            <w:tcBorders>
              <w:bottom w:val="single" w:sz="8" w:color="582C83"/>
            </w:tcBorders>
            <w:gridSpan w:val="2"/>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236"/>
        </w:trPr>
        <w:tc>
          <w:tcPr>
            <w:tcW w:w="1580" w:type="dxa"/>
            <w:vAlign w:val="bottom"/>
            <w:tcBorders>
              <w:bottom w:val="single" w:sz="8" w:color="5D2D91"/>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AIP Awards</w:t>
            </w:r>
          </w:p>
        </w:tc>
        <w:tc>
          <w:tcPr>
            <w:tcW w:w="500" w:type="dxa"/>
            <w:vAlign w:val="bottom"/>
            <w:tcBorders>
              <w:bottom w:val="single" w:sz="8" w:color="5D2D91"/>
            </w:tcBorders>
            <w:shd w:val="clear" w:color="auto" w:fill="E0DBEA"/>
          </w:tcPr>
          <w:p>
            <w:pPr>
              <w:ind w:left="400"/>
              <w:spacing w:after="0"/>
              <w:rPr>
                <w:sz w:val="20"/>
                <w:szCs w:val="20"/>
                <w:color w:val="auto"/>
              </w:rPr>
            </w:pPr>
            <w:r>
              <w:rPr>
                <w:rFonts w:ascii="Arial" w:cs="Arial" w:eastAsia="Arial" w:hAnsi="Arial"/>
                <w:sz w:val="17"/>
                <w:szCs w:val="17"/>
                <w:color w:val="582C83"/>
              </w:rPr>
              <w:t>•</w:t>
            </w:r>
          </w:p>
        </w:tc>
        <w:tc>
          <w:tcPr>
            <w:tcW w:w="6960" w:type="dxa"/>
            <w:vAlign w:val="bottom"/>
            <w:tcBorders>
              <w:bottom w:val="single" w:sz="8" w:color="5D2D91"/>
            </w:tcBorders>
            <w:shd w:val="clear" w:color="auto" w:fill="E0DBEA"/>
          </w:tcPr>
          <w:p>
            <w:pPr>
              <w:ind w:left="40"/>
              <w:spacing w:after="0"/>
              <w:rPr>
                <w:sz w:val="20"/>
                <w:szCs w:val="20"/>
                <w:color w:val="auto"/>
              </w:rPr>
            </w:pPr>
            <w:r>
              <w:rPr>
                <w:rFonts w:ascii="Arial" w:cs="Arial" w:eastAsia="Arial" w:hAnsi="Arial"/>
                <w:sz w:val="14"/>
                <w:szCs w:val="14"/>
                <w:color w:val="auto"/>
              </w:rPr>
              <w:t>Eligible for a prorated award under AIP at target.</w:t>
            </w:r>
          </w:p>
        </w:tc>
      </w:tr>
      <w:tr>
        <w:trPr>
          <w:trHeight w:val="234"/>
        </w:trPr>
        <w:tc>
          <w:tcPr>
            <w:tcW w:w="1580" w:type="dxa"/>
            <w:vAlign w:val="bottom"/>
          </w:tcPr>
          <w:p>
            <w:pPr>
              <w:ind w:left="60"/>
              <w:spacing w:after="0"/>
              <w:rPr>
                <w:sz w:val="20"/>
                <w:szCs w:val="20"/>
                <w:color w:val="auto"/>
              </w:rPr>
            </w:pPr>
            <w:r>
              <w:rPr>
                <w:rFonts w:ascii="Arial" w:cs="Arial" w:eastAsia="Arial" w:hAnsi="Arial"/>
                <w:sz w:val="14"/>
                <w:szCs w:val="14"/>
                <w:b w:val="1"/>
                <w:bCs w:val="1"/>
                <w:color w:val="auto"/>
              </w:rPr>
              <w:t>PSU Grants</w:t>
            </w:r>
            <w:r>
              <w:rPr>
                <w:rFonts w:ascii="Arial" w:cs="Arial" w:eastAsia="Arial" w:hAnsi="Arial"/>
                <w:sz w:val="18"/>
                <w:szCs w:val="18"/>
                <w:b w:val="1"/>
                <w:bCs w:val="1"/>
                <w:color w:val="auto"/>
                <w:vertAlign w:val="superscript"/>
              </w:rPr>
              <w:t>(1)(2)</w:t>
            </w:r>
          </w:p>
        </w:tc>
        <w:tc>
          <w:tcPr>
            <w:tcW w:w="500" w:type="dxa"/>
            <w:vAlign w:val="bottom"/>
          </w:tcPr>
          <w:p>
            <w:pPr>
              <w:ind w:left="400"/>
              <w:spacing w:after="0"/>
              <w:rPr>
                <w:sz w:val="20"/>
                <w:szCs w:val="20"/>
                <w:color w:val="auto"/>
              </w:rPr>
            </w:pPr>
            <w:r>
              <w:rPr>
                <w:rFonts w:ascii="Arial" w:cs="Arial" w:eastAsia="Arial" w:hAnsi="Arial"/>
                <w:sz w:val="17"/>
                <w:szCs w:val="17"/>
                <w:color w:val="582C83"/>
              </w:rPr>
              <w:t>•</w:t>
            </w:r>
          </w:p>
        </w:tc>
        <w:tc>
          <w:tcPr>
            <w:tcW w:w="6960" w:type="dxa"/>
            <w:vAlign w:val="bottom"/>
          </w:tcPr>
          <w:p>
            <w:pPr>
              <w:ind w:left="40"/>
              <w:spacing w:after="0"/>
              <w:rPr>
                <w:sz w:val="20"/>
                <w:szCs w:val="20"/>
                <w:color w:val="auto"/>
              </w:rPr>
            </w:pPr>
            <w:r>
              <w:rPr>
                <w:rFonts w:ascii="Arial" w:cs="Arial" w:eastAsia="Arial" w:hAnsi="Arial"/>
                <w:sz w:val="14"/>
                <w:szCs w:val="14"/>
                <w:color w:val="auto"/>
              </w:rPr>
              <w:t>After having reached age 55 and achieved at least 10 years of service, a prorated number of PSUs will</w:t>
            </w:r>
          </w:p>
        </w:tc>
      </w:tr>
      <w:tr>
        <w:trPr>
          <w:trHeight w:val="190"/>
        </w:trPr>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960" w:type="dxa"/>
            <w:vAlign w:val="bottom"/>
          </w:tcPr>
          <w:p>
            <w:pPr>
              <w:ind w:left="40"/>
              <w:spacing w:after="0"/>
              <w:rPr>
                <w:sz w:val="20"/>
                <w:szCs w:val="20"/>
                <w:color w:val="auto"/>
              </w:rPr>
            </w:pPr>
            <w:r>
              <w:rPr>
                <w:rFonts w:ascii="Arial" w:cs="Arial" w:eastAsia="Arial" w:hAnsi="Arial"/>
                <w:sz w:val="14"/>
                <w:szCs w:val="14"/>
                <w:color w:val="auto"/>
              </w:rPr>
              <w:t>remain outstanding and eligible to vest subject to actual company performance. As of December 31, 2025,</w:t>
            </w:r>
          </w:p>
        </w:tc>
      </w:tr>
      <w:tr>
        <w:trPr>
          <w:trHeight w:val="230"/>
        </w:trPr>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60" w:type="dxa"/>
            <w:vAlign w:val="bottom"/>
          </w:tcPr>
          <w:p>
            <w:pPr>
              <w:ind w:left="40"/>
              <w:spacing w:after="0"/>
              <w:rPr>
                <w:sz w:val="20"/>
                <w:szCs w:val="20"/>
                <w:color w:val="auto"/>
              </w:rPr>
            </w:pPr>
            <w:r>
              <w:rPr>
                <w:rFonts w:ascii="Arial" w:cs="Arial" w:eastAsia="Arial" w:hAnsi="Arial"/>
                <w:sz w:val="14"/>
                <w:szCs w:val="14"/>
                <w:color w:val="auto"/>
              </w:rPr>
              <w:t>there is one NEO eligible for this treatment (Mr. Zaramella).</w:t>
            </w:r>
          </w:p>
        </w:tc>
      </w:tr>
      <w:tr>
        <w:trPr>
          <w:trHeight w:val="278"/>
        </w:trPr>
        <w:tc>
          <w:tcPr>
            <w:tcW w:w="1580" w:type="dxa"/>
            <w:vAlign w:val="bottom"/>
          </w:tcPr>
          <w:p>
            <w:pPr>
              <w:spacing w:after="0"/>
              <w:rPr>
                <w:sz w:val="24"/>
                <w:szCs w:val="24"/>
                <w:color w:val="auto"/>
              </w:rPr>
            </w:pPr>
          </w:p>
        </w:tc>
        <w:tc>
          <w:tcPr>
            <w:tcW w:w="500" w:type="dxa"/>
            <w:vAlign w:val="bottom"/>
          </w:tcPr>
          <w:p>
            <w:pPr>
              <w:ind w:left="400"/>
              <w:spacing w:after="0"/>
              <w:rPr>
                <w:sz w:val="20"/>
                <w:szCs w:val="20"/>
                <w:color w:val="auto"/>
              </w:rPr>
            </w:pPr>
            <w:r>
              <w:rPr>
                <w:rFonts w:ascii="Arial" w:cs="Arial" w:eastAsia="Arial" w:hAnsi="Arial"/>
                <w:sz w:val="17"/>
                <w:szCs w:val="17"/>
                <w:color w:val="582C83"/>
              </w:rPr>
              <w:t>•</w:t>
            </w:r>
          </w:p>
        </w:tc>
        <w:tc>
          <w:tcPr>
            <w:tcW w:w="6960" w:type="dxa"/>
            <w:vAlign w:val="bottom"/>
          </w:tcPr>
          <w:p>
            <w:pPr>
              <w:ind w:left="40"/>
              <w:spacing w:after="0"/>
              <w:rPr>
                <w:sz w:val="20"/>
                <w:szCs w:val="20"/>
                <w:color w:val="auto"/>
              </w:rPr>
            </w:pPr>
            <w:r>
              <w:rPr>
                <w:rFonts w:ascii="Arial" w:cs="Arial" w:eastAsia="Arial" w:hAnsi="Arial"/>
                <w:sz w:val="14"/>
                <w:szCs w:val="14"/>
                <w:color w:val="auto"/>
              </w:rPr>
              <w:t>After having reached age 65 and achieved at least 5 years of service, PSUs will remain outstanding and</w:t>
            </w:r>
          </w:p>
        </w:tc>
      </w:tr>
      <w:tr>
        <w:trPr>
          <w:trHeight w:val="195"/>
        </w:trPr>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960" w:type="dxa"/>
            <w:vAlign w:val="bottom"/>
          </w:tcPr>
          <w:p>
            <w:pPr>
              <w:ind w:left="40"/>
              <w:spacing w:after="0"/>
              <w:rPr>
                <w:sz w:val="20"/>
                <w:szCs w:val="20"/>
                <w:color w:val="auto"/>
              </w:rPr>
            </w:pPr>
            <w:r>
              <w:rPr>
                <w:rFonts w:ascii="Arial" w:cs="Arial" w:eastAsia="Arial" w:hAnsi="Arial"/>
                <w:sz w:val="14"/>
                <w:szCs w:val="14"/>
                <w:color w:val="auto"/>
              </w:rPr>
              <w:t>eligible to vest subject to actual company performance. As of December 31, 2025, there is one NEO eligible</w:t>
            </w:r>
          </w:p>
        </w:tc>
      </w:tr>
      <w:tr>
        <w:trPr>
          <w:trHeight w:val="229"/>
        </w:trPr>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60" w:type="dxa"/>
            <w:vAlign w:val="bottom"/>
          </w:tcPr>
          <w:p>
            <w:pPr>
              <w:ind w:left="40"/>
              <w:spacing w:after="0"/>
              <w:rPr>
                <w:sz w:val="20"/>
                <w:szCs w:val="20"/>
                <w:color w:val="auto"/>
              </w:rPr>
            </w:pPr>
            <w:r>
              <w:rPr>
                <w:rFonts w:ascii="Arial" w:cs="Arial" w:eastAsia="Arial" w:hAnsi="Arial"/>
                <w:sz w:val="14"/>
                <w:szCs w:val="14"/>
                <w:color w:val="auto"/>
              </w:rPr>
              <w:t>for this treatment (Mr. Van de Put).</w:t>
            </w:r>
          </w:p>
        </w:tc>
      </w:tr>
      <w:tr>
        <w:trPr>
          <w:trHeight w:val="75"/>
        </w:trPr>
        <w:tc>
          <w:tcPr>
            <w:tcW w:w="1580" w:type="dxa"/>
            <w:vAlign w:val="bottom"/>
            <w:tcBorders>
              <w:bottom w:val="single" w:sz="8" w:color="5D2D91"/>
            </w:tcBorders>
          </w:tcPr>
          <w:p>
            <w:pPr>
              <w:spacing w:after="0"/>
              <w:rPr>
                <w:sz w:val="6"/>
                <w:szCs w:val="6"/>
                <w:color w:val="auto"/>
              </w:rPr>
            </w:pPr>
          </w:p>
        </w:tc>
        <w:tc>
          <w:tcPr>
            <w:tcW w:w="500" w:type="dxa"/>
            <w:vAlign w:val="bottom"/>
            <w:tcBorders>
              <w:bottom w:val="single" w:sz="8" w:color="5D2D91"/>
            </w:tcBorders>
          </w:tcPr>
          <w:p>
            <w:pPr>
              <w:spacing w:after="0"/>
              <w:rPr>
                <w:sz w:val="6"/>
                <w:szCs w:val="6"/>
                <w:color w:val="auto"/>
              </w:rPr>
            </w:pPr>
          </w:p>
        </w:tc>
        <w:tc>
          <w:tcPr>
            <w:tcW w:w="6960" w:type="dxa"/>
            <w:vAlign w:val="bottom"/>
            <w:tcBorders>
              <w:bottom w:val="single" w:sz="8" w:color="5D2D91"/>
            </w:tcBorders>
          </w:tcPr>
          <w:p>
            <w:pPr>
              <w:spacing w:after="0"/>
              <w:rPr>
                <w:sz w:val="6"/>
                <w:szCs w:val="6"/>
                <w:color w:val="auto"/>
              </w:rPr>
            </w:pPr>
          </w:p>
        </w:tc>
      </w:tr>
      <w:tr>
        <w:trPr>
          <w:trHeight w:val="227"/>
        </w:trPr>
        <w:tc>
          <w:tcPr>
            <w:tcW w:w="158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Stock Options</w:t>
            </w:r>
            <w:r>
              <w:rPr>
                <w:rFonts w:ascii="Arial" w:cs="Arial" w:eastAsia="Arial" w:hAnsi="Arial"/>
                <w:sz w:val="18"/>
                <w:szCs w:val="18"/>
                <w:b w:val="1"/>
                <w:bCs w:val="1"/>
                <w:color w:val="auto"/>
                <w:vertAlign w:val="superscript"/>
              </w:rPr>
              <w:t>(1)</w:t>
            </w:r>
          </w:p>
        </w:tc>
        <w:tc>
          <w:tcPr>
            <w:tcW w:w="500" w:type="dxa"/>
            <w:vAlign w:val="bottom"/>
            <w:shd w:val="clear" w:color="auto" w:fill="E0DBEA"/>
          </w:tcPr>
          <w:p>
            <w:pPr>
              <w:ind w:left="400"/>
              <w:spacing w:after="0"/>
              <w:rPr>
                <w:sz w:val="20"/>
                <w:szCs w:val="20"/>
                <w:color w:val="auto"/>
              </w:rPr>
            </w:pPr>
            <w:r>
              <w:rPr>
                <w:rFonts w:ascii="Arial" w:cs="Arial" w:eastAsia="Arial" w:hAnsi="Arial"/>
                <w:sz w:val="17"/>
                <w:szCs w:val="17"/>
                <w:color w:val="582C83"/>
              </w:rPr>
              <w:t>•</w:t>
            </w:r>
          </w:p>
        </w:tc>
        <w:tc>
          <w:tcPr>
            <w:tcW w:w="6960" w:type="dxa"/>
            <w:vAlign w:val="bottom"/>
            <w:shd w:val="clear" w:color="auto" w:fill="E0DBEA"/>
          </w:tcPr>
          <w:p>
            <w:pPr>
              <w:ind w:left="40"/>
              <w:spacing w:after="0"/>
              <w:rPr>
                <w:sz w:val="20"/>
                <w:szCs w:val="20"/>
                <w:color w:val="auto"/>
              </w:rPr>
            </w:pPr>
            <w:r>
              <w:rPr>
                <w:rFonts w:ascii="Arial" w:cs="Arial" w:eastAsia="Arial" w:hAnsi="Arial"/>
                <w:sz w:val="14"/>
                <w:szCs w:val="14"/>
                <w:color w:val="auto"/>
              </w:rPr>
              <w:t>Stock options will continue to vest and become exercisable under the original vesting schedule and such</w:t>
            </w:r>
          </w:p>
        </w:tc>
      </w:tr>
      <w:tr>
        <w:trPr>
          <w:trHeight w:val="230"/>
        </w:trPr>
        <w:tc>
          <w:tcPr>
            <w:tcW w:w="1580" w:type="dxa"/>
            <w:vAlign w:val="bottom"/>
            <w:tcBorders>
              <w:bottom w:val="single" w:sz="8" w:color="E0DBEA"/>
            </w:tcBorders>
            <w:shd w:val="clear" w:color="auto" w:fill="E0DBEA"/>
          </w:tcPr>
          <w:p>
            <w:pPr>
              <w:spacing w:after="0"/>
              <w:rPr>
                <w:sz w:val="19"/>
                <w:szCs w:val="19"/>
                <w:color w:val="auto"/>
              </w:rPr>
            </w:pPr>
          </w:p>
        </w:tc>
        <w:tc>
          <w:tcPr>
            <w:tcW w:w="500" w:type="dxa"/>
            <w:vAlign w:val="bottom"/>
            <w:tcBorders>
              <w:bottom w:val="single" w:sz="8" w:color="E0DBEA"/>
            </w:tcBorders>
            <w:shd w:val="clear" w:color="auto" w:fill="E0DBEA"/>
          </w:tcPr>
          <w:p>
            <w:pPr>
              <w:spacing w:after="0"/>
              <w:rPr>
                <w:sz w:val="19"/>
                <w:szCs w:val="19"/>
                <w:color w:val="auto"/>
              </w:rPr>
            </w:pPr>
          </w:p>
        </w:tc>
        <w:tc>
          <w:tcPr>
            <w:tcW w:w="6960" w:type="dxa"/>
            <w:vAlign w:val="bottom"/>
            <w:tcBorders>
              <w:bottom w:val="single" w:sz="8" w:color="E0DBEA"/>
            </w:tcBorders>
            <w:shd w:val="clear" w:color="auto" w:fill="E0DBEA"/>
          </w:tcPr>
          <w:p>
            <w:pPr>
              <w:ind w:left="40"/>
              <w:spacing w:after="0"/>
              <w:rPr>
                <w:sz w:val="20"/>
                <w:szCs w:val="20"/>
                <w:color w:val="auto"/>
              </w:rPr>
            </w:pPr>
            <w:r>
              <w:rPr>
                <w:rFonts w:ascii="Arial" w:cs="Arial" w:eastAsia="Arial" w:hAnsi="Arial"/>
                <w:sz w:val="14"/>
                <w:szCs w:val="14"/>
                <w:color w:val="auto"/>
              </w:rPr>
              <w:t>stock options may be exercised during their remaining full original term.</w:t>
            </w:r>
          </w:p>
        </w:tc>
      </w:tr>
      <w:tr>
        <w:trPr>
          <w:trHeight w:val="249"/>
        </w:trPr>
        <w:tc>
          <w:tcPr>
            <w:tcW w:w="1580" w:type="dxa"/>
            <w:vAlign w:val="bottom"/>
            <w:tcBorders>
              <w:top w:val="single" w:sz="8" w:color="5D2D91"/>
            </w:tcBorders>
          </w:tcPr>
          <w:p>
            <w:pPr>
              <w:ind w:left="60"/>
              <w:spacing w:after="0"/>
              <w:rPr>
                <w:sz w:val="20"/>
                <w:szCs w:val="20"/>
                <w:color w:val="auto"/>
              </w:rPr>
            </w:pPr>
            <w:r>
              <w:rPr>
                <w:rFonts w:ascii="Arial" w:cs="Arial" w:eastAsia="Arial" w:hAnsi="Arial"/>
                <w:sz w:val="14"/>
                <w:szCs w:val="14"/>
                <w:b w:val="1"/>
                <w:bCs w:val="1"/>
                <w:color w:val="auto"/>
              </w:rPr>
              <w:t>DSU Grants</w:t>
            </w:r>
            <w:r>
              <w:rPr>
                <w:rFonts w:ascii="Arial" w:cs="Arial" w:eastAsia="Arial" w:hAnsi="Arial"/>
                <w:sz w:val="18"/>
                <w:szCs w:val="18"/>
                <w:b w:val="1"/>
                <w:bCs w:val="1"/>
                <w:color w:val="auto"/>
                <w:vertAlign w:val="superscript"/>
              </w:rPr>
              <w:t>(1)(2)</w:t>
            </w:r>
          </w:p>
        </w:tc>
        <w:tc>
          <w:tcPr>
            <w:tcW w:w="500" w:type="dxa"/>
            <w:vAlign w:val="bottom"/>
            <w:tcBorders>
              <w:top w:val="single" w:sz="8" w:color="5D2D91"/>
            </w:tcBorders>
          </w:tcPr>
          <w:p>
            <w:pPr>
              <w:ind w:left="400"/>
              <w:spacing w:after="0"/>
              <w:rPr>
                <w:sz w:val="20"/>
                <w:szCs w:val="20"/>
                <w:color w:val="auto"/>
              </w:rPr>
            </w:pPr>
            <w:r>
              <w:rPr>
                <w:rFonts w:ascii="Arial" w:cs="Arial" w:eastAsia="Arial" w:hAnsi="Arial"/>
                <w:sz w:val="17"/>
                <w:szCs w:val="17"/>
                <w:color w:val="582C83"/>
              </w:rPr>
              <w:t>•</w:t>
            </w:r>
          </w:p>
        </w:tc>
        <w:tc>
          <w:tcPr>
            <w:tcW w:w="6960" w:type="dxa"/>
            <w:vAlign w:val="bottom"/>
            <w:tcBorders>
              <w:top w:val="single" w:sz="8" w:color="5D2D91"/>
            </w:tcBorders>
          </w:tcPr>
          <w:p>
            <w:pPr>
              <w:ind w:left="40"/>
              <w:spacing w:after="0"/>
              <w:rPr>
                <w:sz w:val="20"/>
                <w:szCs w:val="20"/>
                <w:color w:val="auto"/>
              </w:rPr>
            </w:pPr>
            <w:r>
              <w:rPr>
                <w:rFonts w:ascii="Arial" w:cs="Arial" w:eastAsia="Arial" w:hAnsi="Arial"/>
                <w:sz w:val="14"/>
                <w:szCs w:val="14"/>
                <w:color w:val="auto"/>
              </w:rPr>
              <w:t>After having reached age 55 and achieved at least 10 years of service, DSUs will vest on a pro-rata basis.</w:t>
            </w:r>
          </w:p>
        </w:tc>
      </w:tr>
      <w:tr>
        <w:trPr>
          <w:trHeight w:val="230"/>
        </w:trPr>
        <w:tc>
          <w:tcPr>
            <w:tcW w:w="1580" w:type="dxa"/>
            <w:vAlign w:val="bottom"/>
          </w:tcPr>
          <w:p>
            <w:pPr>
              <w:spacing w:after="0"/>
              <w:rPr>
                <w:sz w:val="20"/>
                <w:szCs w:val="20"/>
                <w:color w:val="auto"/>
              </w:rPr>
            </w:pPr>
          </w:p>
        </w:tc>
        <w:tc>
          <w:tcPr>
            <w:tcW w:w="500" w:type="dxa"/>
            <w:vAlign w:val="bottom"/>
          </w:tcPr>
          <w:p>
            <w:pPr>
              <w:ind w:left="400"/>
              <w:spacing w:after="0"/>
              <w:rPr>
                <w:sz w:val="20"/>
                <w:szCs w:val="20"/>
                <w:color w:val="auto"/>
              </w:rPr>
            </w:pPr>
            <w:r>
              <w:rPr>
                <w:rFonts w:ascii="Arial" w:cs="Arial" w:eastAsia="Arial" w:hAnsi="Arial"/>
                <w:sz w:val="17"/>
                <w:szCs w:val="17"/>
                <w:color w:val="582C83"/>
              </w:rPr>
              <w:t>•</w:t>
            </w:r>
          </w:p>
        </w:tc>
        <w:tc>
          <w:tcPr>
            <w:tcW w:w="6960" w:type="dxa"/>
            <w:vAlign w:val="bottom"/>
          </w:tcPr>
          <w:p>
            <w:pPr>
              <w:ind w:left="40"/>
              <w:spacing w:after="0"/>
              <w:rPr>
                <w:sz w:val="20"/>
                <w:szCs w:val="20"/>
                <w:color w:val="auto"/>
              </w:rPr>
            </w:pPr>
            <w:r>
              <w:rPr>
                <w:rFonts w:ascii="Arial" w:cs="Arial" w:eastAsia="Arial" w:hAnsi="Arial"/>
                <w:sz w:val="14"/>
                <w:szCs w:val="14"/>
                <w:color w:val="auto"/>
              </w:rPr>
              <w:t>After having reached age 65 and achieved at least 5 years of service, DSUs will fully vest.</w:t>
            </w:r>
          </w:p>
        </w:tc>
      </w:tr>
      <w:tr>
        <w:trPr>
          <w:trHeight w:val="257"/>
        </w:trPr>
        <w:tc>
          <w:tcPr>
            <w:tcW w:w="1580" w:type="dxa"/>
            <w:vAlign w:val="bottom"/>
            <w:tcBorders>
              <w:bottom w:val="single" w:sz="8" w:color="5D2D91"/>
            </w:tcBorders>
          </w:tcPr>
          <w:p>
            <w:pPr>
              <w:spacing w:after="0"/>
              <w:rPr>
                <w:sz w:val="22"/>
                <w:szCs w:val="22"/>
                <w:color w:val="auto"/>
              </w:rPr>
            </w:pPr>
          </w:p>
        </w:tc>
        <w:tc>
          <w:tcPr>
            <w:tcW w:w="500" w:type="dxa"/>
            <w:vAlign w:val="bottom"/>
            <w:tcBorders>
              <w:bottom w:val="single" w:sz="8" w:color="5D2D91"/>
            </w:tcBorders>
          </w:tcPr>
          <w:p>
            <w:pPr>
              <w:ind w:left="400"/>
              <w:spacing w:after="0"/>
              <w:rPr>
                <w:sz w:val="20"/>
                <w:szCs w:val="20"/>
                <w:color w:val="auto"/>
              </w:rPr>
            </w:pPr>
            <w:r>
              <w:rPr>
                <w:rFonts w:ascii="Arial" w:cs="Arial" w:eastAsia="Arial" w:hAnsi="Arial"/>
                <w:sz w:val="17"/>
                <w:szCs w:val="17"/>
                <w:color w:val="582C83"/>
              </w:rPr>
              <w:t>•</w:t>
            </w:r>
          </w:p>
        </w:tc>
        <w:tc>
          <w:tcPr>
            <w:tcW w:w="6960" w:type="dxa"/>
            <w:vAlign w:val="bottom"/>
            <w:tcBorders>
              <w:bottom w:val="single" w:sz="8" w:color="5D2D91"/>
            </w:tcBorders>
          </w:tcPr>
          <w:p>
            <w:pPr>
              <w:ind w:left="40"/>
              <w:spacing w:after="0"/>
              <w:rPr>
                <w:sz w:val="20"/>
                <w:szCs w:val="20"/>
                <w:color w:val="auto"/>
              </w:rPr>
            </w:pPr>
            <w:r>
              <w:rPr>
                <w:rFonts w:ascii="Arial" w:cs="Arial" w:eastAsia="Arial" w:hAnsi="Arial"/>
                <w:sz w:val="14"/>
                <w:szCs w:val="14"/>
                <w:color w:val="auto"/>
              </w:rPr>
              <w:t>None of our retirement eligible NEOs have outstanding DSU grants.</w:t>
            </w:r>
          </w:p>
        </w:tc>
      </w:tr>
    </w:tbl>
    <w:p>
      <w:pPr>
        <w:spacing w:after="0" w:line="50" w:lineRule="exact"/>
        <w:rPr>
          <w:sz w:val="20"/>
          <w:szCs w:val="20"/>
          <w:color w:val="auto"/>
        </w:rPr>
      </w:pPr>
    </w:p>
    <w:p>
      <w:pPr>
        <w:sectPr>
          <w:pgSz w:w="11900" w:h="16838" w:orient="portrait"/>
          <w:cols w:equalWidth="0" w:num="1">
            <w:col w:w="9040"/>
          </w:cols>
          <w:pgMar w:left="1420" w:top="37" w:right="1439" w:bottom="660" w:gutter="0" w:footer="0" w:header="0"/>
        </w:sectPr>
      </w:pPr>
    </w:p>
    <w:p>
      <w:pPr>
        <w:ind w:left="260" w:hanging="253"/>
        <w:spacing w:after="0"/>
        <w:tabs>
          <w:tab w:leader="none" w:pos="26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Provided the NEO is actively employed for at least 180 days following the grant date.</w:t>
      </w:r>
    </w:p>
    <w:p>
      <w:pPr>
        <w:spacing w:after="0" w:line="16" w:lineRule="exact"/>
        <w:rPr>
          <w:rFonts w:ascii="Arial" w:cs="Arial" w:eastAsia="Arial" w:hAnsi="Arial"/>
          <w:sz w:val="13"/>
          <w:szCs w:val="13"/>
          <w:color w:val="auto"/>
        </w:rPr>
      </w:pPr>
    </w:p>
    <w:p>
      <w:pPr>
        <w:ind w:left="260" w:hanging="253"/>
        <w:spacing w:after="0"/>
        <w:tabs>
          <w:tab w:leader="none" w:pos="26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Prorated based on the number of months of active employment during the performance cycle for PSUs and vesting period for DSUs.</w:t>
      </w:r>
    </w:p>
    <w:p>
      <w:pPr>
        <w:sectPr>
          <w:pgSz w:w="11900" w:h="16838" w:orient="portrait"/>
          <w:cols w:equalWidth="0" w:num="1">
            <w:col w:w="9040"/>
          </w:cols>
          <w:pgMar w:left="1420" w:top="37" w:right="1439" w:bottom="660" w:gutter="0" w:footer="0" w:header="0"/>
          <w:type w:val="continuous"/>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328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10375" cy="332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71056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10375" cy="7105650"/>
                    </a:xfrm>
                    <a:prstGeom prst="rect">
                      <a:avLst/>
                    </a:prstGeom>
                    <a:noFill/>
                  </pic:spPr>
                </pic:pic>
              </a:graphicData>
            </a:graphic>
          </wp:anchor>
        </w:drawing>
      </w:r>
    </w:p>
    <w:p>
      <w:pPr>
        <w:sectPr>
          <w:pgSz w:w="11900" w:h="16866" w:orient="portrait"/>
          <w:cols w:equalWidth="0" w:num="1">
            <w:col w:w="9039"/>
          </w:cols>
          <w:pgMar w:left="142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EXECUTIVE COMPENSATION TABLES</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Potential Payments Upon Termination or Change in Control</w:t>
      </w:r>
    </w:p>
    <w:p>
      <w:pPr>
        <w:spacing w:after="0" w:line="200" w:lineRule="exact"/>
        <w:rPr>
          <w:sz w:val="20"/>
          <w:szCs w:val="20"/>
          <w:color w:val="auto"/>
        </w:rPr>
      </w:pPr>
    </w:p>
    <w:p>
      <w:pPr>
        <w:spacing w:after="0" w:line="267" w:lineRule="exact"/>
        <w:rPr>
          <w:sz w:val="20"/>
          <w:szCs w:val="20"/>
          <w:color w:val="auto"/>
        </w:rPr>
      </w:pPr>
    </w:p>
    <w:p>
      <w:pPr>
        <w:ind w:right="719"/>
        <w:spacing w:after="0" w:line="285" w:lineRule="auto"/>
        <w:rPr>
          <w:sz w:val="20"/>
          <w:szCs w:val="20"/>
          <w:color w:val="auto"/>
        </w:rPr>
      </w:pPr>
      <w:r>
        <w:rPr>
          <w:rFonts w:ascii="Arial" w:cs="Arial" w:eastAsia="Arial" w:hAnsi="Arial"/>
          <w:sz w:val="22"/>
          <w:szCs w:val="22"/>
          <w:b w:val="1"/>
          <w:bCs w:val="1"/>
          <w:color w:val="582C83"/>
        </w:rPr>
        <w:t>QUANTIFICATION OF POTENTIAL PAYMENTS UPON TERMINATION OR CHANGE IN CONTROL</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b w:val="1"/>
                <w:bCs w:val="1"/>
                <w:color w:val="auto"/>
              </w:rPr>
              <w:t>Retirement</w:t>
            </w:r>
          </w:p>
        </w:tc>
        <w:tc>
          <w:tcPr>
            <w:tcW w:w="1640" w:type="dxa"/>
            <w:vAlign w:val="bottom"/>
          </w:tcPr>
          <w:p>
            <w:pPr>
              <w:jc w:val="right"/>
              <w:spacing w:after="0"/>
              <w:rPr>
                <w:sz w:val="20"/>
                <w:szCs w:val="20"/>
                <w:color w:val="auto"/>
              </w:rPr>
            </w:pPr>
            <w:r>
              <w:rPr>
                <w:rFonts w:ascii="Arial" w:cs="Arial" w:eastAsia="Arial" w:hAnsi="Arial"/>
                <w:sz w:val="13"/>
                <w:szCs w:val="13"/>
                <w:b w:val="1"/>
                <w:bCs w:val="1"/>
                <w:color w:val="auto"/>
              </w:rPr>
              <w:t>Death or Disability</w:t>
            </w:r>
          </w:p>
        </w:tc>
        <w:tc>
          <w:tcPr>
            <w:tcW w:w="1640" w:type="dxa"/>
            <w:vAlign w:val="bottom"/>
          </w:tcPr>
          <w:p>
            <w:pPr>
              <w:jc w:val="right"/>
              <w:spacing w:after="0"/>
              <w:rPr>
                <w:sz w:val="20"/>
                <w:szCs w:val="20"/>
                <w:color w:val="auto"/>
              </w:rPr>
            </w:pPr>
            <w:r>
              <w:rPr>
                <w:rFonts w:ascii="Arial" w:cs="Arial" w:eastAsia="Arial" w:hAnsi="Arial"/>
                <w:sz w:val="13"/>
                <w:szCs w:val="13"/>
                <w:b w:val="1"/>
                <w:bCs w:val="1"/>
                <w:color w:val="auto"/>
              </w:rPr>
              <w:t>Non-CIC Qualifying</w:t>
            </w:r>
          </w:p>
        </w:tc>
        <w:tc>
          <w:tcPr>
            <w:tcW w:w="1620" w:type="dxa"/>
            <w:vAlign w:val="bottom"/>
          </w:tcPr>
          <w:p>
            <w:pPr>
              <w:jc w:val="right"/>
              <w:spacing w:after="0"/>
              <w:rPr>
                <w:sz w:val="20"/>
                <w:szCs w:val="20"/>
                <w:color w:val="auto"/>
              </w:rPr>
            </w:pPr>
            <w:r>
              <w:rPr>
                <w:rFonts w:ascii="Arial" w:cs="Arial" w:eastAsia="Arial" w:hAnsi="Arial"/>
                <w:sz w:val="13"/>
                <w:szCs w:val="13"/>
                <w:b w:val="1"/>
                <w:bCs w:val="1"/>
                <w:color w:val="auto"/>
              </w:rPr>
              <w:t>CIC Qualifying</w:t>
            </w:r>
          </w:p>
        </w:tc>
      </w:tr>
      <w:tr>
        <w:trPr>
          <w:trHeight w:val="146"/>
        </w:trPr>
        <w:tc>
          <w:tcPr>
            <w:tcW w:w="2480" w:type="dxa"/>
            <w:vAlign w:val="bottom"/>
            <w:tcBorders>
              <w:bottom w:val="single" w:sz="8" w:color="582C83"/>
            </w:tcBorders>
          </w:tcPr>
          <w:p>
            <w:pPr>
              <w:ind w:left="60"/>
              <w:spacing w:after="0" w:line="139" w:lineRule="exact"/>
              <w:rPr>
                <w:sz w:val="20"/>
                <w:szCs w:val="20"/>
                <w:color w:val="auto"/>
              </w:rPr>
            </w:pPr>
            <w:r>
              <w:rPr>
                <w:rFonts w:ascii="Arial" w:cs="Arial" w:eastAsia="Arial" w:hAnsi="Arial"/>
                <w:sz w:val="13"/>
                <w:szCs w:val="13"/>
                <w:b w:val="1"/>
                <w:bCs w:val="1"/>
                <w:color w:val="auto"/>
              </w:rPr>
              <w:t>Name and Type of Benefit</w:t>
            </w:r>
          </w:p>
        </w:tc>
        <w:tc>
          <w:tcPr>
            <w:tcW w:w="1620" w:type="dxa"/>
            <w:vAlign w:val="bottom"/>
            <w:tcBorders>
              <w:bottom w:val="single" w:sz="8" w:color="582C83"/>
            </w:tcBorders>
          </w:tcPr>
          <w:p>
            <w:pPr>
              <w:jc w:val="center"/>
              <w:ind w:left="1337"/>
              <w:spacing w:after="0" w:line="139" w:lineRule="exact"/>
              <w:rPr>
                <w:sz w:val="20"/>
                <w:szCs w:val="20"/>
                <w:color w:val="auto"/>
              </w:rPr>
            </w:pPr>
            <w:r>
              <w:rPr>
                <w:rFonts w:ascii="Arial" w:cs="Arial" w:eastAsia="Arial" w:hAnsi="Arial"/>
                <w:sz w:val="13"/>
                <w:szCs w:val="13"/>
                <w:b w:val="1"/>
                <w:bCs w:val="1"/>
                <w:color w:val="auto"/>
                <w:w w:val="87"/>
              </w:rPr>
              <w:t>($)</w:t>
            </w:r>
          </w:p>
        </w:tc>
        <w:tc>
          <w:tcPr>
            <w:tcW w:w="1640" w:type="dxa"/>
            <w:vAlign w:val="bottom"/>
            <w:tcBorders>
              <w:bottom w:val="single" w:sz="8" w:color="582C83"/>
            </w:tcBorders>
          </w:tcPr>
          <w:p>
            <w:pPr>
              <w:jc w:val="right"/>
              <w:spacing w:after="0" w:line="139" w:lineRule="exact"/>
              <w:rPr>
                <w:sz w:val="20"/>
                <w:szCs w:val="20"/>
                <w:color w:val="auto"/>
              </w:rPr>
            </w:pPr>
            <w:r>
              <w:rPr>
                <w:rFonts w:ascii="Arial" w:cs="Arial" w:eastAsia="Arial" w:hAnsi="Arial"/>
                <w:sz w:val="13"/>
                <w:szCs w:val="13"/>
                <w:b w:val="1"/>
                <w:bCs w:val="1"/>
                <w:color w:val="auto"/>
              </w:rPr>
              <w:t>($)</w:t>
            </w:r>
          </w:p>
        </w:tc>
        <w:tc>
          <w:tcPr>
            <w:tcW w:w="1640" w:type="dxa"/>
            <w:vAlign w:val="bottom"/>
            <w:tcBorders>
              <w:bottom w:val="single" w:sz="8" w:color="582C83"/>
            </w:tcBorders>
          </w:tcPr>
          <w:p>
            <w:pPr>
              <w:jc w:val="right"/>
              <w:spacing w:after="0" w:line="139" w:lineRule="exact"/>
              <w:rPr>
                <w:sz w:val="20"/>
                <w:szCs w:val="20"/>
                <w:color w:val="auto"/>
              </w:rPr>
            </w:pPr>
            <w:r>
              <w:rPr>
                <w:rFonts w:ascii="Arial" w:cs="Arial" w:eastAsia="Arial" w:hAnsi="Arial"/>
                <w:sz w:val="13"/>
                <w:szCs w:val="13"/>
                <w:b w:val="1"/>
                <w:bCs w:val="1"/>
                <w:color w:val="auto"/>
              </w:rPr>
              <w:t>Termination ($)</w:t>
            </w:r>
          </w:p>
        </w:tc>
        <w:tc>
          <w:tcPr>
            <w:tcW w:w="1620" w:type="dxa"/>
            <w:vAlign w:val="bottom"/>
            <w:tcBorders>
              <w:bottom w:val="single" w:sz="8" w:color="582C83"/>
            </w:tcBorders>
          </w:tcPr>
          <w:p>
            <w:pPr>
              <w:jc w:val="right"/>
              <w:spacing w:after="0" w:line="139" w:lineRule="exact"/>
              <w:rPr>
                <w:sz w:val="20"/>
                <w:szCs w:val="20"/>
                <w:color w:val="auto"/>
              </w:rPr>
            </w:pPr>
            <w:r>
              <w:rPr>
                <w:rFonts w:ascii="Arial" w:cs="Arial" w:eastAsia="Arial" w:hAnsi="Arial"/>
                <w:sz w:val="13"/>
                <w:szCs w:val="13"/>
                <w:b w:val="1"/>
                <w:bCs w:val="1"/>
                <w:color w:val="auto"/>
              </w:rPr>
              <w:t>Termination ($)</w:t>
            </w:r>
          </w:p>
        </w:tc>
      </w:tr>
      <w:tr>
        <w:trPr>
          <w:trHeight w:val="162"/>
        </w:trPr>
        <w:tc>
          <w:tcPr>
            <w:tcW w:w="248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3"/>
                <w:szCs w:val="13"/>
                <w:b w:val="1"/>
                <w:bCs w:val="1"/>
                <w:color w:val="auto"/>
              </w:rPr>
              <w:t>Van de Put, Dirk</w:t>
            </w:r>
          </w:p>
        </w:tc>
        <w:tc>
          <w:tcPr>
            <w:tcW w:w="1620" w:type="dxa"/>
            <w:vAlign w:val="bottom"/>
            <w:tcBorders>
              <w:bottom w:val="single" w:sz="8" w:color="582C83"/>
            </w:tcBorders>
            <w:shd w:val="clear" w:color="auto" w:fill="E0DBEA"/>
          </w:tcPr>
          <w:p>
            <w:pPr>
              <w:spacing w:after="0"/>
              <w:rPr>
                <w:sz w:val="14"/>
                <w:szCs w:val="14"/>
                <w:color w:val="auto"/>
              </w:rPr>
            </w:pPr>
          </w:p>
        </w:tc>
        <w:tc>
          <w:tcPr>
            <w:tcW w:w="1640" w:type="dxa"/>
            <w:vAlign w:val="bottom"/>
            <w:tcBorders>
              <w:bottom w:val="single" w:sz="8" w:color="582C83"/>
            </w:tcBorders>
            <w:shd w:val="clear" w:color="auto" w:fill="E0DBEA"/>
          </w:tcPr>
          <w:p>
            <w:pPr>
              <w:spacing w:after="0"/>
              <w:rPr>
                <w:sz w:val="14"/>
                <w:szCs w:val="14"/>
                <w:color w:val="auto"/>
              </w:rPr>
            </w:pPr>
          </w:p>
        </w:tc>
        <w:tc>
          <w:tcPr>
            <w:tcW w:w="1640" w:type="dxa"/>
            <w:vAlign w:val="bottom"/>
            <w:tcBorders>
              <w:bottom w:val="single" w:sz="8" w:color="582C83"/>
            </w:tcBorders>
            <w:shd w:val="clear" w:color="auto" w:fill="E0DBEA"/>
          </w:tcPr>
          <w:p>
            <w:pPr>
              <w:spacing w:after="0"/>
              <w:rPr>
                <w:sz w:val="14"/>
                <w:szCs w:val="14"/>
                <w:color w:val="auto"/>
              </w:rPr>
            </w:pPr>
          </w:p>
        </w:tc>
        <w:tc>
          <w:tcPr>
            <w:tcW w:w="1620" w:type="dxa"/>
            <w:vAlign w:val="bottom"/>
            <w:tcBorders>
              <w:bottom w:val="single" w:sz="8" w:color="582C83"/>
            </w:tcBorders>
            <w:shd w:val="clear" w:color="auto" w:fill="E0DBEA"/>
          </w:tcPr>
          <w:p>
            <w:pPr>
              <w:spacing w:after="0"/>
              <w:rPr>
                <w:sz w:val="14"/>
                <w:szCs w:val="14"/>
                <w:color w:val="auto"/>
              </w:rPr>
            </w:pPr>
          </w:p>
        </w:tc>
      </w:tr>
      <w:tr>
        <w:trPr>
          <w:trHeight w:val="155"/>
        </w:trPr>
        <w:tc>
          <w:tcPr>
            <w:tcW w:w="2480" w:type="dxa"/>
            <w:vAlign w:val="bottom"/>
            <w:tcBorders>
              <w:bottom w:val="single" w:sz="8" w:color="582C83"/>
            </w:tcBorders>
            <w:shd w:val="clear" w:color="auto" w:fill="E0DBEA"/>
          </w:tcPr>
          <w:p>
            <w:pPr>
              <w:ind w:left="280"/>
              <w:spacing w:after="0" w:line="155" w:lineRule="exact"/>
              <w:rPr>
                <w:sz w:val="20"/>
                <w:szCs w:val="20"/>
                <w:color w:val="auto"/>
              </w:rPr>
            </w:pPr>
            <w:r>
              <w:rPr>
                <w:rFonts w:ascii="Arial" w:cs="Arial" w:eastAsia="Arial" w:hAnsi="Arial"/>
                <w:sz w:val="13"/>
                <w:szCs w:val="13"/>
                <w:color w:val="auto"/>
              </w:rPr>
              <w:t>Cash Severance</w:t>
            </w:r>
            <w:r>
              <w:rPr>
                <w:rFonts w:ascii="Arial" w:cs="Arial" w:eastAsia="Arial" w:hAnsi="Arial"/>
                <w:sz w:val="16"/>
                <w:szCs w:val="16"/>
                <w:color w:val="auto"/>
                <w:vertAlign w:val="superscript"/>
              </w:rPr>
              <w:t>(1)</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3,300,000</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14,800,500</w:t>
            </w:r>
          </w:p>
        </w:tc>
      </w:tr>
      <w:tr>
        <w:trPr>
          <w:trHeight w:val="155"/>
        </w:trPr>
        <w:tc>
          <w:tcPr>
            <w:tcW w:w="2480" w:type="dxa"/>
            <w:vAlign w:val="bottom"/>
            <w:tcBorders>
              <w:bottom w:val="single" w:sz="8" w:color="582C83"/>
            </w:tcBorders>
            <w:shd w:val="clear" w:color="auto" w:fill="E0DBEA"/>
          </w:tcPr>
          <w:p>
            <w:pPr>
              <w:ind w:left="280"/>
              <w:spacing w:after="0" w:line="155" w:lineRule="exact"/>
              <w:rPr>
                <w:sz w:val="20"/>
                <w:szCs w:val="20"/>
                <w:color w:val="auto"/>
              </w:rPr>
            </w:pPr>
            <w:r>
              <w:rPr>
                <w:rFonts w:ascii="Arial" w:cs="Arial" w:eastAsia="Arial" w:hAnsi="Arial"/>
                <w:sz w:val="13"/>
                <w:szCs w:val="13"/>
                <w:color w:val="auto"/>
              </w:rPr>
              <w:t>Annual Incentive Award</w:t>
            </w:r>
            <w:r>
              <w:rPr>
                <w:rFonts w:ascii="Arial" w:cs="Arial" w:eastAsia="Arial" w:hAnsi="Arial"/>
                <w:sz w:val="16"/>
                <w:szCs w:val="16"/>
                <w:color w:val="auto"/>
                <w:vertAlign w:val="superscript"/>
              </w:rPr>
              <w:t>2)</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3,300,000</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3,300,000</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3,234,000</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3,300,000</w:t>
            </w:r>
          </w:p>
        </w:tc>
      </w:tr>
      <w:tr>
        <w:trPr>
          <w:trHeight w:val="156"/>
        </w:trPr>
        <w:tc>
          <w:tcPr>
            <w:tcW w:w="2480" w:type="dxa"/>
            <w:vAlign w:val="bottom"/>
            <w:tcBorders>
              <w:bottom w:val="single" w:sz="8" w:color="582C83"/>
            </w:tcBorders>
            <w:shd w:val="clear" w:color="auto" w:fill="E0DBEA"/>
          </w:tcPr>
          <w:p>
            <w:pPr>
              <w:ind w:left="280"/>
              <w:spacing w:after="0" w:line="155" w:lineRule="exact"/>
              <w:rPr>
                <w:sz w:val="20"/>
                <w:szCs w:val="20"/>
                <w:color w:val="auto"/>
              </w:rPr>
            </w:pPr>
            <w:r>
              <w:rPr>
                <w:rFonts w:ascii="Arial" w:cs="Arial" w:eastAsia="Arial" w:hAnsi="Arial"/>
                <w:sz w:val="13"/>
                <w:szCs w:val="13"/>
                <w:color w:val="auto"/>
              </w:rPr>
              <w:t>Health &amp; Welfare Continuation</w:t>
            </w:r>
            <w:r>
              <w:rPr>
                <w:rFonts w:ascii="Arial" w:cs="Arial" w:eastAsia="Arial" w:hAnsi="Arial"/>
                <w:sz w:val="16"/>
                <w:szCs w:val="16"/>
                <w:color w:val="auto"/>
                <w:vertAlign w:val="superscript"/>
              </w:rPr>
              <w:t>(3)</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10,479</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41,404</w:t>
            </w:r>
          </w:p>
        </w:tc>
      </w:tr>
      <w:tr>
        <w:trPr>
          <w:trHeight w:val="155"/>
        </w:trPr>
        <w:tc>
          <w:tcPr>
            <w:tcW w:w="2480" w:type="dxa"/>
            <w:vAlign w:val="bottom"/>
            <w:tcBorders>
              <w:bottom w:val="single" w:sz="8" w:color="582C83"/>
            </w:tcBorders>
            <w:shd w:val="clear" w:color="auto" w:fill="E0DBEA"/>
          </w:tcPr>
          <w:p>
            <w:pPr>
              <w:ind w:left="280"/>
              <w:spacing w:after="0" w:line="155" w:lineRule="exact"/>
              <w:rPr>
                <w:sz w:val="20"/>
                <w:szCs w:val="20"/>
                <w:color w:val="auto"/>
              </w:rPr>
            </w:pPr>
            <w:r>
              <w:rPr>
                <w:rFonts w:ascii="Arial" w:cs="Arial" w:eastAsia="Arial" w:hAnsi="Arial"/>
                <w:sz w:val="13"/>
                <w:szCs w:val="13"/>
                <w:color w:val="auto"/>
              </w:rPr>
              <w:t>Outplacement &amp; Other Benefits</w:t>
            </w:r>
            <w:r>
              <w:rPr>
                <w:rFonts w:ascii="Arial" w:cs="Arial" w:eastAsia="Arial" w:hAnsi="Arial"/>
                <w:sz w:val="16"/>
                <w:szCs w:val="16"/>
                <w:color w:val="auto"/>
                <w:vertAlign w:val="superscript"/>
              </w:rPr>
              <w:t>(4)</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45,833</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124,999</w:t>
            </w:r>
          </w:p>
        </w:tc>
      </w:tr>
      <w:tr>
        <w:trPr>
          <w:trHeight w:val="155"/>
        </w:trPr>
        <w:tc>
          <w:tcPr>
            <w:tcW w:w="2480" w:type="dxa"/>
            <w:vAlign w:val="bottom"/>
            <w:tcBorders>
              <w:bottom w:val="single" w:sz="8" w:color="582C83"/>
            </w:tcBorders>
            <w:shd w:val="clear" w:color="auto" w:fill="E0DBEA"/>
          </w:tcPr>
          <w:p>
            <w:pPr>
              <w:ind w:left="280"/>
              <w:spacing w:after="0" w:line="155" w:lineRule="exact"/>
              <w:rPr>
                <w:sz w:val="20"/>
                <w:szCs w:val="20"/>
                <w:color w:val="auto"/>
              </w:rPr>
            </w:pPr>
            <w:r>
              <w:rPr>
                <w:rFonts w:ascii="Arial" w:cs="Arial" w:eastAsia="Arial" w:hAnsi="Arial"/>
                <w:sz w:val="13"/>
                <w:szCs w:val="13"/>
                <w:color w:val="auto"/>
              </w:rPr>
              <w:t>Unvested Equity Awards</w:t>
            </w:r>
            <w:r>
              <w:rPr>
                <w:rFonts w:ascii="Arial" w:cs="Arial" w:eastAsia="Arial" w:hAnsi="Arial"/>
                <w:sz w:val="16"/>
                <w:szCs w:val="16"/>
                <w:color w:val="auto"/>
                <w:vertAlign w:val="superscript"/>
              </w:rPr>
              <w:t>(5)</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14,921,999</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28,870,106</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14,921,999</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29,036,925</w:t>
            </w:r>
          </w:p>
        </w:tc>
      </w:tr>
      <w:tr>
        <w:trPr>
          <w:trHeight w:val="155"/>
        </w:trPr>
        <w:tc>
          <w:tcPr>
            <w:tcW w:w="2480" w:type="dxa"/>
            <w:vAlign w:val="bottom"/>
            <w:tcBorders>
              <w:bottom w:val="single" w:sz="8" w:color="582C83"/>
            </w:tcBorders>
            <w:shd w:val="clear" w:color="auto" w:fill="E0DBEA"/>
          </w:tcPr>
          <w:p>
            <w:pPr>
              <w:ind w:left="280"/>
              <w:spacing w:after="0"/>
              <w:rPr>
                <w:sz w:val="20"/>
                <w:szCs w:val="20"/>
                <w:color w:val="auto"/>
              </w:rPr>
            </w:pPr>
            <w:r>
              <w:rPr>
                <w:rFonts w:ascii="Arial" w:cs="Arial" w:eastAsia="Arial" w:hAnsi="Arial"/>
                <w:sz w:val="13"/>
                <w:szCs w:val="13"/>
                <w:b w:val="1"/>
                <w:bCs w:val="1"/>
                <w:color w:val="auto"/>
              </w:rPr>
              <w:t>Total</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18,221,999</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32,170,106</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21,512,311</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47,303,828</w:t>
            </w:r>
          </w:p>
        </w:tc>
      </w:tr>
      <w:tr>
        <w:trPr>
          <w:trHeight w:val="155"/>
        </w:trPr>
        <w:tc>
          <w:tcPr>
            <w:tcW w:w="2480" w:type="dxa"/>
            <w:vAlign w:val="bottom"/>
            <w:tcBorders>
              <w:bottom w:val="single" w:sz="8" w:color="582C83"/>
            </w:tcBorders>
          </w:tcPr>
          <w:p>
            <w:pPr>
              <w:ind w:left="60"/>
              <w:spacing w:after="0"/>
              <w:rPr>
                <w:sz w:val="20"/>
                <w:szCs w:val="20"/>
                <w:color w:val="auto"/>
              </w:rPr>
            </w:pPr>
            <w:r>
              <w:rPr>
                <w:rFonts w:ascii="Arial" w:cs="Arial" w:eastAsia="Arial" w:hAnsi="Arial"/>
                <w:sz w:val="13"/>
                <w:szCs w:val="13"/>
                <w:b w:val="1"/>
                <w:bCs w:val="1"/>
                <w:color w:val="auto"/>
              </w:rPr>
              <w:t>Zaramella, Luca</w:t>
            </w:r>
          </w:p>
        </w:tc>
        <w:tc>
          <w:tcPr>
            <w:tcW w:w="1620" w:type="dxa"/>
            <w:vAlign w:val="bottom"/>
            <w:tcBorders>
              <w:bottom w:val="single" w:sz="8" w:color="582C83"/>
            </w:tcBorders>
          </w:tcPr>
          <w:p>
            <w:pPr>
              <w:spacing w:after="0"/>
              <w:rPr>
                <w:sz w:val="13"/>
                <w:szCs w:val="13"/>
                <w:color w:val="auto"/>
              </w:rPr>
            </w:pPr>
          </w:p>
        </w:tc>
        <w:tc>
          <w:tcPr>
            <w:tcW w:w="1640" w:type="dxa"/>
            <w:vAlign w:val="bottom"/>
            <w:tcBorders>
              <w:bottom w:val="single" w:sz="8" w:color="582C83"/>
            </w:tcBorders>
          </w:tcPr>
          <w:p>
            <w:pPr>
              <w:spacing w:after="0"/>
              <w:rPr>
                <w:sz w:val="13"/>
                <w:szCs w:val="13"/>
                <w:color w:val="auto"/>
              </w:rPr>
            </w:pPr>
          </w:p>
        </w:tc>
        <w:tc>
          <w:tcPr>
            <w:tcW w:w="1640" w:type="dxa"/>
            <w:vAlign w:val="bottom"/>
            <w:tcBorders>
              <w:bottom w:val="single" w:sz="8" w:color="582C83"/>
            </w:tcBorders>
          </w:tcPr>
          <w:p>
            <w:pPr>
              <w:spacing w:after="0"/>
              <w:rPr>
                <w:sz w:val="13"/>
                <w:szCs w:val="13"/>
                <w:color w:val="auto"/>
              </w:rPr>
            </w:pPr>
          </w:p>
        </w:tc>
        <w:tc>
          <w:tcPr>
            <w:tcW w:w="1620" w:type="dxa"/>
            <w:vAlign w:val="bottom"/>
            <w:tcBorders>
              <w:bottom w:val="single" w:sz="8" w:color="582C83"/>
            </w:tcBorders>
          </w:tcPr>
          <w:p>
            <w:pPr>
              <w:spacing w:after="0"/>
              <w:rPr>
                <w:sz w:val="13"/>
                <w:szCs w:val="13"/>
                <w:color w:val="auto"/>
              </w:rPr>
            </w:pPr>
          </w:p>
        </w:tc>
      </w:tr>
      <w:tr>
        <w:trPr>
          <w:trHeight w:val="155"/>
        </w:trPr>
        <w:tc>
          <w:tcPr>
            <w:tcW w:w="2480" w:type="dxa"/>
            <w:vAlign w:val="bottom"/>
            <w:tcBorders>
              <w:bottom w:val="single" w:sz="8" w:color="582C83"/>
            </w:tcBorders>
          </w:tcPr>
          <w:p>
            <w:pPr>
              <w:ind w:left="280"/>
              <w:spacing w:after="0" w:line="155" w:lineRule="exact"/>
              <w:rPr>
                <w:sz w:val="20"/>
                <w:szCs w:val="20"/>
                <w:color w:val="auto"/>
              </w:rPr>
            </w:pPr>
            <w:r>
              <w:rPr>
                <w:rFonts w:ascii="Arial" w:cs="Arial" w:eastAsia="Arial" w:hAnsi="Arial"/>
                <w:sz w:val="13"/>
                <w:szCs w:val="13"/>
                <w:color w:val="auto"/>
              </w:rPr>
              <w:t>Cash Severance</w:t>
            </w:r>
            <w:r>
              <w:rPr>
                <w:rFonts w:ascii="Arial" w:cs="Arial" w:eastAsia="Arial" w:hAnsi="Arial"/>
                <w:sz w:val="16"/>
                <w:szCs w:val="16"/>
                <w:color w:val="auto"/>
                <w:vertAlign w:val="superscript"/>
              </w:rPr>
              <w:t>(1)</w:t>
            </w:r>
          </w:p>
        </w:tc>
        <w:tc>
          <w:tcPr>
            <w:tcW w:w="162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1,200,100</w:t>
            </w:r>
          </w:p>
        </w:tc>
        <w:tc>
          <w:tcPr>
            <w:tcW w:w="162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5,520,460</w:t>
            </w:r>
          </w:p>
        </w:tc>
      </w:tr>
      <w:tr>
        <w:trPr>
          <w:trHeight w:val="156"/>
        </w:trPr>
        <w:tc>
          <w:tcPr>
            <w:tcW w:w="2480" w:type="dxa"/>
            <w:vAlign w:val="bottom"/>
            <w:tcBorders>
              <w:bottom w:val="single" w:sz="8" w:color="582C83"/>
            </w:tcBorders>
          </w:tcPr>
          <w:p>
            <w:pPr>
              <w:ind w:left="280"/>
              <w:spacing w:after="0" w:line="155" w:lineRule="exact"/>
              <w:rPr>
                <w:sz w:val="20"/>
                <w:szCs w:val="20"/>
                <w:color w:val="auto"/>
              </w:rPr>
            </w:pPr>
            <w:r>
              <w:rPr>
                <w:rFonts w:ascii="Arial" w:cs="Arial" w:eastAsia="Arial" w:hAnsi="Arial"/>
                <w:sz w:val="13"/>
                <w:szCs w:val="13"/>
                <w:color w:val="auto"/>
              </w:rPr>
              <w:t>Annual Incentive Award</w:t>
            </w:r>
            <w:r>
              <w:rPr>
                <w:rFonts w:ascii="Arial" w:cs="Arial" w:eastAsia="Arial" w:hAnsi="Arial"/>
                <w:sz w:val="16"/>
                <w:szCs w:val="16"/>
                <w:color w:val="auto"/>
                <w:vertAlign w:val="superscript"/>
              </w:rPr>
              <w:t>(2)</w:t>
            </w:r>
          </w:p>
        </w:tc>
        <w:tc>
          <w:tcPr>
            <w:tcW w:w="162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1,560,130</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1,560,130</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1,528,927</w:t>
            </w:r>
          </w:p>
        </w:tc>
        <w:tc>
          <w:tcPr>
            <w:tcW w:w="162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1,560,130</w:t>
            </w:r>
          </w:p>
        </w:tc>
      </w:tr>
      <w:tr>
        <w:trPr>
          <w:trHeight w:val="155"/>
        </w:trPr>
        <w:tc>
          <w:tcPr>
            <w:tcW w:w="2480" w:type="dxa"/>
            <w:vAlign w:val="bottom"/>
            <w:tcBorders>
              <w:bottom w:val="single" w:sz="8" w:color="582C83"/>
            </w:tcBorders>
          </w:tcPr>
          <w:p>
            <w:pPr>
              <w:ind w:left="280"/>
              <w:spacing w:after="0" w:line="155" w:lineRule="exact"/>
              <w:rPr>
                <w:sz w:val="20"/>
                <w:szCs w:val="20"/>
                <w:color w:val="auto"/>
              </w:rPr>
            </w:pPr>
            <w:r>
              <w:rPr>
                <w:rFonts w:ascii="Arial" w:cs="Arial" w:eastAsia="Arial" w:hAnsi="Arial"/>
                <w:sz w:val="13"/>
                <w:szCs w:val="13"/>
                <w:color w:val="auto"/>
              </w:rPr>
              <w:t>Health &amp; Welfare Continuation</w:t>
            </w:r>
            <w:r>
              <w:rPr>
                <w:rFonts w:ascii="Arial" w:cs="Arial" w:eastAsia="Arial" w:hAnsi="Arial"/>
                <w:sz w:val="16"/>
                <w:szCs w:val="16"/>
                <w:color w:val="auto"/>
                <w:vertAlign w:val="superscript"/>
              </w:rPr>
              <w:t>(3)</w:t>
            </w:r>
          </w:p>
        </w:tc>
        <w:tc>
          <w:tcPr>
            <w:tcW w:w="162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16,946</w:t>
            </w:r>
          </w:p>
        </w:tc>
        <w:tc>
          <w:tcPr>
            <w:tcW w:w="162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41,011</w:t>
            </w:r>
          </w:p>
        </w:tc>
      </w:tr>
      <w:tr>
        <w:trPr>
          <w:trHeight w:val="155"/>
        </w:trPr>
        <w:tc>
          <w:tcPr>
            <w:tcW w:w="2480" w:type="dxa"/>
            <w:vAlign w:val="bottom"/>
            <w:tcBorders>
              <w:bottom w:val="single" w:sz="8" w:color="582C83"/>
            </w:tcBorders>
          </w:tcPr>
          <w:p>
            <w:pPr>
              <w:ind w:left="280"/>
              <w:spacing w:after="0" w:line="155" w:lineRule="exact"/>
              <w:rPr>
                <w:sz w:val="20"/>
                <w:szCs w:val="20"/>
                <w:color w:val="auto"/>
              </w:rPr>
            </w:pPr>
            <w:r>
              <w:rPr>
                <w:rFonts w:ascii="Arial" w:cs="Arial" w:eastAsia="Arial" w:hAnsi="Arial"/>
                <w:sz w:val="13"/>
                <w:szCs w:val="13"/>
                <w:color w:val="auto"/>
              </w:rPr>
              <w:t>Outplacement &amp; Other Benefits</w:t>
            </w:r>
            <w:r>
              <w:rPr>
                <w:rFonts w:ascii="Arial" w:cs="Arial" w:eastAsia="Arial" w:hAnsi="Arial"/>
                <w:sz w:val="16"/>
                <w:szCs w:val="16"/>
                <w:color w:val="auto"/>
                <w:vertAlign w:val="superscript"/>
              </w:rPr>
              <w:t>(4)</w:t>
            </w:r>
          </w:p>
        </w:tc>
        <w:tc>
          <w:tcPr>
            <w:tcW w:w="162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35,000</w:t>
            </w:r>
          </w:p>
        </w:tc>
        <w:tc>
          <w:tcPr>
            <w:tcW w:w="162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70,000</w:t>
            </w:r>
          </w:p>
        </w:tc>
      </w:tr>
      <w:tr>
        <w:trPr>
          <w:trHeight w:val="155"/>
        </w:trPr>
        <w:tc>
          <w:tcPr>
            <w:tcW w:w="2480" w:type="dxa"/>
            <w:vAlign w:val="bottom"/>
            <w:tcBorders>
              <w:bottom w:val="single" w:sz="8" w:color="582C83"/>
            </w:tcBorders>
          </w:tcPr>
          <w:p>
            <w:pPr>
              <w:ind w:left="280"/>
              <w:spacing w:after="0" w:line="155" w:lineRule="exact"/>
              <w:rPr>
                <w:sz w:val="20"/>
                <w:szCs w:val="20"/>
                <w:color w:val="auto"/>
              </w:rPr>
            </w:pPr>
            <w:r>
              <w:rPr>
                <w:rFonts w:ascii="Arial" w:cs="Arial" w:eastAsia="Arial" w:hAnsi="Arial"/>
                <w:sz w:val="13"/>
                <w:szCs w:val="13"/>
                <w:color w:val="auto"/>
              </w:rPr>
              <w:t>Unvested Equity Awards</w:t>
            </w:r>
            <w:r>
              <w:rPr>
                <w:rFonts w:ascii="Arial" w:cs="Arial" w:eastAsia="Arial" w:hAnsi="Arial"/>
                <w:sz w:val="16"/>
                <w:szCs w:val="16"/>
                <w:color w:val="auto"/>
                <w:vertAlign w:val="superscript"/>
              </w:rPr>
              <w:t>(5)</w:t>
            </w:r>
          </w:p>
        </w:tc>
        <w:tc>
          <w:tcPr>
            <w:tcW w:w="162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3,911,019</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10,210,474</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3,911,019</w:t>
            </w:r>
          </w:p>
        </w:tc>
        <w:tc>
          <w:tcPr>
            <w:tcW w:w="162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10,272,271</w:t>
            </w:r>
          </w:p>
        </w:tc>
      </w:tr>
      <w:tr>
        <w:trPr>
          <w:trHeight w:val="155"/>
        </w:trPr>
        <w:tc>
          <w:tcPr>
            <w:tcW w:w="2480" w:type="dxa"/>
            <w:vAlign w:val="bottom"/>
            <w:tcBorders>
              <w:bottom w:val="single" w:sz="8" w:color="582C83"/>
            </w:tcBorders>
          </w:tcPr>
          <w:p>
            <w:pPr>
              <w:ind w:left="280"/>
              <w:spacing w:after="0"/>
              <w:rPr>
                <w:sz w:val="20"/>
                <w:szCs w:val="20"/>
                <w:color w:val="auto"/>
              </w:rPr>
            </w:pPr>
            <w:r>
              <w:rPr>
                <w:rFonts w:ascii="Arial" w:cs="Arial" w:eastAsia="Arial" w:hAnsi="Arial"/>
                <w:sz w:val="13"/>
                <w:szCs w:val="13"/>
                <w:b w:val="1"/>
                <w:bCs w:val="1"/>
                <w:color w:val="auto"/>
              </w:rPr>
              <w:t>Total</w:t>
            </w:r>
          </w:p>
        </w:tc>
        <w:tc>
          <w:tcPr>
            <w:tcW w:w="162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5,471,149</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11,770,604</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6,691,992</w:t>
            </w:r>
          </w:p>
        </w:tc>
        <w:tc>
          <w:tcPr>
            <w:tcW w:w="162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17,463,872</w:t>
            </w:r>
          </w:p>
        </w:tc>
      </w:tr>
      <w:tr>
        <w:trPr>
          <w:trHeight w:val="155"/>
        </w:trPr>
        <w:tc>
          <w:tcPr>
            <w:tcW w:w="2480" w:type="dxa"/>
            <w:vAlign w:val="bottom"/>
            <w:tcBorders>
              <w:bottom w:val="single" w:sz="8" w:color="582C83"/>
            </w:tcBorders>
            <w:shd w:val="clear" w:color="auto" w:fill="E0DBEA"/>
          </w:tcPr>
          <w:p>
            <w:pPr>
              <w:ind w:left="60"/>
              <w:spacing w:after="0" w:line="155" w:lineRule="exact"/>
              <w:rPr>
                <w:sz w:val="20"/>
                <w:szCs w:val="20"/>
                <w:color w:val="auto"/>
              </w:rPr>
            </w:pPr>
            <w:r>
              <w:rPr>
                <w:rFonts w:ascii="Arial" w:cs="Arial" w:eastAsia="Arial" w:hAnsi="Arial"/>
                <w:sz w:val="13"/>
                <w:szCs w:val="13"/>
                <w:b w:val="1"/>
                <w:bCs w:val="1"/>
                <w:color w:val="auto"/>
              </w:rPr>
              <w:t>Kuhn, Volker</w:t>
            </w:r>
            <w:r>
              <w:rPr>
                <w:rFonts w:ascii="Arial" w:cs="Arial" w:eastAsia="Arial" w:hAnsi="Arial"/>
                <w:sz w:val="16"/>
                <w:szCs w:val="16"/>
                <w:b w:val="1"/>
                <w:bCs w:val="1"/>
                <w:color w:val="auto"/>
                <w:vertAlign w:val="superscript"/>
              </w:rPr>
              <w:t>(6)</w:t>
            </w:r>
          </w:p>
        </w:tc>
        <w:tc>
          <w:tcPr>
            <w:tcW w:w="1620" w:type="dxa"/>
            <w:vAlign w:val="bottom"/>
            <w:tcBorders>
              <w:bottom w:val="single" w:sz="8" w:color="582C83"/>
            </w:tcBorders>
            <w:shd w:val="clear" w:color="auto" w:fill="E0DBEA"/>
          </w:tcPr>
          <w:p>
            <w:pPr>
              <w:spacing w:after="0"/>
              <w:rPr>
                <w:sz w:val="13"/>
                <w:szCs w:val="13"/>
                <w:color w:val="auto"/>
              </w:rPr>
            </w:pPr>
          </w:p>
        </w:tc>
        <w:tc>
          <w:tcPr>
            <w:tcW w:w="1640" w:type="dxa"/>
            <w:vAlign w:val="bottom"/>
            <w:tcBorders>
              <w:bottom w:val="single" w:sz="8" w:color="582C83"/>
            </w:tcBorders>
            <w:shd w:val="clear" w:color="auto" w:fill="E0DBEA"/>
          </w:tcPr>
          <w:p>
            <w:pPr>
              <w:spacing w:after="0"/>
              <w:rPr>
                <w:sz w:val="13"/>
                <w:szCs w:val="13"/>
                <w:color w:val="auto"/>
              </w:rPr>
            </w:pPr>
          </w:p>
        </w:tc>
        <w:tc>
          <w:tcPr>
            <w:tcW w:w="1640" w:type="dxa"/>
            <w:vAlign w:val="bottom"/>
            <w:tcBorders>
              <w:bottom w:val="single" w:sz="8" w:color="582C83"/>
            </w:tcBorders>
            <w:shd w:val="clear" w:color="auto" w:fill="E0DBEA"/>
          </w:tcPr>
          <w:p>
            <w:pPr>
              <w:spacing w:after="0"/>
              <w:rPr>
                <w:sz w:val="13"/>
                <w:szCs w:val="13"/>
                <w:color w:val="auto"/>
              </w:rPr>
            </w:pPr>
          </w:p>
        </w:tc>
        <w:tc>
          <w:tcPr>
            <w:tcW w:w="1620" w:type="dxa"/>
            <w:vAlign w:val="bottom"/>
            <w:tcBorders>
              <w:bottom w:val="single" w:sz="8" w:color="582C83"/>
            </w:tcBorders>
            <w:shd w:val="clear" w:color="auto" w:fill="E0DBEA"/>
          </w:tcPr>
          <w:p>
            <w:pPr>
              <w:spacing w:after="0"/>
              <w:rPr>
                <w:sz w:val="13"/>
                <w:szCs w:val="13"/>
                <w:color w:val="auto"/>
              </w:rPr>
            </w:pPr>
          </w:p>
        </w:tc>
      </w:tr>
      <w:tr>
        <w:trPr>
          <w:trHeight w:val="156"/>
        </w:trPr>
        <w:tc>
          <w:tcPr>
            <w:tcW w:w="2480" w:type="dxa"/>
            <w:vAlign w:val="bottom"/>
            <w:tcBorders>
              <w:bottom w:val="single" w:sz="8" w:color="582C83"/>
            </w:tcBorders>
            <w:shd w:val="clear" w:color="auto" w:fill="E0DBEA"/>
          </w:tcPr>
          <w:p>
            <w:pPr>
              <w:ind w:left="280"/>
              <w:spacing w:after="0" w:line="155" w:lineRule="exact"/>
              <w:rPr>
                <w:sz w:val="20"/>
                <w:szCs w:val="20"/>
                <w:color w:val="auto"/>
              </w:rPr>
            </w:pPr>
            <w:r>
              <w:rPr>
                <w:rFonts w:ascii="Arial" w:cs="Arial" w:eastAsia="Arial" w:hAnsi="Arial"/>
                <w:sz w:val="13"/>
                <w:szCs w:val="13"/>
                <w:color w:val="auto"/>
              </w:rPr>
              <w:t>Cash Severance</w:t>
            </w:r>
            <w:r>
              <w:rPr>
                <w:rFonts w:ascii="Arial" w:cs="Arial" w:eastAsia="Arial" w:hAnsi="Arial"/>
                <w:sz w:val="16"/>
                <w:szCs w:val="16"/>
                <w:color w:val="auto"/>
                <w:vertAlign w:val="superscript"/>
              </w:rPr>
              <w:t>(1)</w:t>
            </w:r>
          </w:p>
        </w:tc>
        <w:tc>
          <w:tcPr>
            <w:tcW w:w="1620" w:type="dxa"/>
            <w:vAlign w:val="bottom"/>
            <w:tcBorders>
              <w:bottom w:val="single" w:sz="8" w:color="582C83"/>
            </w:tcBorders>
            <w:shd w:val="clear" w:color="auto" w:fill="E0DBEA"/>
          </w:tcPr>
          <w:p>
            <w:pPr>
              <w:jc w:val="center"/>
              <w:ind w:left="1337"/>
              <w:spacing w:after="0"/>
              <w:rPr>
                <w:sz w:val="20"/>
                <w:szCs w:val="20"/>
                <w:color w:val="auto"/>
              </w:rPr>
            </w:pPr>
            <w:r>
              <w:rPr>
                <w:rFonts w:ascii="Arial" w:cs="Arial" w:eastAsia="Arial" w:hAnsi="Arial"/>
                <w:sz w:val="13"/>
                <w:szCs w:val="13"/>
                <w:color w:val="auto"/>
              </w:rPr>
              <w:t>N/A</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1,060,162</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4,629,858</w:t>
            </w:r>
          </w:p>
        </w:tc>
      </w:tr>
      <w:tr>
        <w:trPr>
          <w:trHeight w:val="155"/>
        </w:trPr>
        <w:tc>
          <w:tcPr>
            <w:tcW w:w="2480" w:type="dxa"/>
            <w:vAlign w:val="bottom"/>
            <w:tcBorders>
              <w:bottom w:val="single" w:sz="8" w:color="582C83"/>
            </w:tcBorders>
            <w:shd w:val="clear" w:color="auto" w:fill="E0DBEA"/>
          </w:tcPr>
          <w:p>
            <w:pPr>
              <w:ind w:left="280"/>
              <w:spacing w:after="0" w:line="155" w:lineRule="exact"/>
              <w:rPr>
                <w:sz w:val="20"/>
                <w:szCs w:val="20"/>
                <w:color w:val="auto"/>
              </w:rPr>
            </w:pPr>
            <w:r>
              <w:rPr>
                <w:rFonts w:ascii="Arial" w:cs="Arial" w:eastAsia="Arial" w:hAnsi="Arial"/>
                <w:sz w:val="13"/>
                <w:szCs w:val="13"/>
                <w:color w:val="auto"/>
              </w:rPr>
              <w:t>Annual Incentive Award</w:t>
            </w:r>
            <w:r>
              <w:rPr>
                <w:rFonts w:ascii="Arial" w:cs="Arial" w:eastAsia="Arial" w:hAnsi="Arial"/>
                <w:sz w:val="16"/>
                <w:szCs w:val="16"/>
                <w:color w:val="auto"/>
                <w:vertAlign w:val="superscript"/>
              </w:rPr>
              <w:t>(2)</w:t>
            </w:r>
          </w:p>
        </w:tc>
        <w:tc>
          <w:tcPr>
            <w:tcW w:w="1620" w:type="dxa"/>
            <w:vAlign w:val="bottom"/>
            <w:tcBorders>
              <w:bottom w:val="single" w:sz="8" w:color="582C83"/>
            </w:tcBorders>
            <w:shd w:val="clear" w:color="auto" w:fill="E0DBEA"/>
          </w:tcPr>
          <w:p>
            <w:pPr>
              <w:jc w:val="center"/>
              <w:ind w:left="1337"/>
              <w:spacing w:after="0"/>
              <w:rPr>
                <w:sz w:val="20"/>
                <w:szCs w:val="20"/>
                <w:color w:val="auto"/>
              </w:rPr>
            </w:pPr>
            <w:r>
              <w:rPr>
                <w:rFonts w:ascii="Arial" w:cs="Arial" w:eastAsia="Arial" w:hAnsi="Arial"/>
                <w:sz w:val="13"/>
                <w:szCs w:val="13"/>
                <w:color w:val="auto"/>
              </w:rPr>
              <w:t>N/A</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1,254,767</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1,091,648</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1,254,767</w:t>
            </w:r>
          </w:p>
        </w:tc>
      </w:tr>
      <w:tr>
        <w:trPr>
          <w:trHeight w:val="155"/>
        </w:trPr>
        <w:tc>
          <w:tcPr>
            <w:tcW w:w="2480" w:type="dxa"/>
            <w:vAlign w:val="bottom"/>
            <w:tcBorders>
              <w:bottom w:val="single" w:sz="8" w:color="582C83"/>
            </w:tcBorders>
            <w:shd w:val="clear" w:color="auto" w:fill="E0DBEA"/>
          </w:tcPr>
          <w:p>
            <w:pPr>
              <w:ind w:left="280"/>
              <w:spacing w:after="0" w:line="155" w:lineRule="exact"/>
              <w:rPr>
                <w:sz w:val="20"/>
                <w:szCs w:val="20"/>
                <w:color w:val="auto"/>
              </w:rPr>
            </w:pPr>
            <w:r>
              <w:rPr>
                <w:rFonts w:ascii="Arial" w:cs="Arial" w:eastAsia="Arial" w:hAnsi="Arial"/>
                <w:sz w:val="13"/>
                <w:szCs w:val="13"/>
                <w:color w:val="auto"/>
              </w:rPr>
              <w:t>Health &amp; Welfare Continuation</w:t>
            </w:r>
            <w:r>
              <w:rPr>
                <w:rFonts w:ascii="Arial" w:cs="Arial" w:eastAsia="Arial" w:hAnsi="Arial"/>
                <w:sz w:val="16"/>
                <w:szCs w:val="16"/>
                <w:color w:val="auto"/>
                <w:vertAlign w:val="superscript"/>
              </w:rPr>
              <w:t>(3)</w:t>
            </w:r>
          </w:p>
        </w:tc>
        <w:tc>
          <w:tcPr>
            <w:tcW w:w="1620" w:type="dxa"/>
            <w:vAlign w:val="bottom"/>
            <w:tcBorders>
              <w:bottom w:val="single" w:sz="8" w:color="582C83"/>
            </w:tcBorders>
            <w:shd w:val="clear" w:color="auto" w:fill="E0DBEA"/>
          </w:tcPr>
          <w:p>
            <w:pPr>
              <w:jc w:val="center"/>
              <w:ind w:left="1337"/>
              <w:spacing w:after="0"/>
              <w:rPr>
                <w:sz w:val="20"/>
                <w:szCs w:val="20"/>
                <w:color w:val="auto"/>
              </w:rPr>
            </w:pPr>
            <w:r>
              <w:rPr>
                <w:rFonts w:ascii="Arial" w:cs="Arial" w:eastAsia="Arial" w:hAnsi="Arial"/>
                <w:sz w:val="13"/>
                <w:szCs w:val="13"/>
                <w:color w:val="auto"/>
              </w:rPr>
              <w:t>N/A</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w:t>
            </w:r>
          </w:p>
        </w:tc>
      </w:tr>
      <w:tr>
        <w:trPr>
          <w:trHeight w:val="155"/>
        </w:trPr>
        <w:tc>
          <w:tcPr>
            <w:tcW w:w="2480" w:type="dxa"/>
            <w:vAlign w:val="bottom"/>
            <w:tcBorders>
              <w:bottom w:val="single" w:sz="8" w:color="582C83"/>
            </w:tcBorders>
            <w:shd w:val="clear" w:color="auto" w:fill="E0DBEA"/>
          </w:tcPr>
          <w:p>
            <w:pPr>
              <w:ind w:left="280"/>
              <w:spacing w:after="0" w:line="155" w:lineRule="exact"/>
              <w:rPr>
                <w:sz w:val="20"/>
                <w:szCs w:val="20"/>
                <w:color w:val="auto"/>
              </w:rPr>
            </w:pPr>
            <w:r>
              <w:rPr>
                <w:rFonts w:ascii="Arial" w:cs="Arial" w:eastAsia="Arial" w:hAnsi="Arial"/>
                <w:sz w:val="13"/>
                <w:szCs w:val="13"/>
                <w:color w:val="auto"/>
              </w:rPr>
              <w:t>Outplacement &amp; Other Benefits</w:t>
            </w:r>
            <w:r>
              <w:rPr>
                <w:rFonts w:ascii="Arial" w:cs="Arial" w:eastAsia="Arial" w:hAnsi="Arial"/>
                <w:sz w:val="16"/>
                <w:szCs w:val="16"/>
                <w:color w:val="auto"/>
                <w:vertAlign w:val="superscript"/>
              </w:rPr>
              <w:t>(4)</w:t>
            </w:r>
          </w:p>
        </w:tc>
        <w:tc>
          <w:tcPr>
            <w:tcW w:w="1620" w:type="dxa"/>
            <w:vAlign w:val="bottom"/>
            <w:tcBorders>
              <w:bottom w:val="single" w:sz="8" w:color="582C83"/>
            </w:tcBorders>
            <w:shd w:val="clear" w:color="auto" w:fill="E0DBEA"/>
          </w:tcPr>
          <w:p>
            <w:pPr>
              <w:jc w:val="center"/>
              <w:ind w:left="1337"/>
              <w:spacing w:after="0"/>
              <w:rPr>
                <w:sz w:val="20"/>
                <w:szCs w:val="20"/>
                <w:color w:val="auto"/>
              </w:rPr>
            </w:pPr>
            <w:r>
              <w:rPr>
                <w:rFonts w:ascii="Arial" w:cs="Arial" w:eastAsia="Arial" w:hAnsi="Arial"/>
                <w:sz w:val="13"/>
                <w:szCs w:val="13"/>
                <w:color w:val="auto"/>
              </w:rPr>
              <w:t>N/A</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5,681</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46,098</w:t>
            </w:r>
          </w:p>
        </w:tc>
      </w:tr>
      <w:tr>
        <w:trPr>
          <w:trHeight w:val="155"/>
        </w:trPr>
        <w:tc>
          <w:tcPr>
            <w:tcW w:w="2480" w:type="dxa"/>
            <w:vAlign w:val="bottom"/>
            <w:tcBorders>
              <w:bottom w:val="single" w:sz="8" w:color="582C83"/>
            </w:tcBorders>
            <w:shd w:val="clear" w:color="auto" w:fill="E0DBEA"/>
          </w:tcPr>
          <w:p>
            <w:pPr>
              <w:ind w:left="280"/>
              <w:spacing w:after="0" w:line="155" w:lineRule="exact"/>
              <w:rPr>
                <w:sz w:val="20"/>
                <w:szCs w:val="20"/>
                <w:color w:val="auto"/>
              </w:rPr>
            </w:pPr>
            <w:r>
              <w:rPr>
                <w:rFonts w:ascii="Arial" w:cs="Arial" w:eastAsia="Arial" w:hAnsi="Arial"/>
                <w:sz w:val="13"/>
                <w:szCs w:val="13"/>
                <w:color w:val="auto"/>
              </w:rPr>
              <w:t>Unvested Equity Awards</w:t>
            </w:r>
            <w:r>
              <w:rPr>
                <w:rFonts w:ascii="Arial" w:cs="Arial" w:eastAsia="Arial" w:hAnsi="Arial"/>
                <w:sz w:val="16"/>
                <w:szCs w:val="16"/>
                <w:color w:val="auto"/>
                <w:vertAlign w:val="superscript"/>
              </w:rPr>
              <w:t>(5)</w:t>
            </w:r>
          </w:p>
        </w:tc>
        <w:tc>
          <w:tcPr>
            <w:tcW w:w="1620" w:type="dxa"/>
            <w:vAlign w:val="bottom"/>
            <w:tcBorders>
              <w:bottom w:val="single" w:sz="8" w:color="582C83"/>
            </w:tcBorders>
            <w:shd w:val="clear" w:color="auto" w:fill="E0DBEA"/>
          </w:tcPr>
          <w:p>
            <w:pPr>
              <w:jc w:val="center"/>
              <w:ind w:left="1337"/>
              <w:spacing w:after="0"/>
              <w:rPr>
                <w:sz w:val="20"/>
                <w:szCs w:val="20"/>
                <w:color w:val="auto"/>
              </w:rPr>
            </w:pPr>
            <w:r>
              <w:rPr>
                <w:rFonts w:ascii="Arial" w:cs="Arial" w:eastAsia="Arial" w:hAnsi="Arial"/>
                <w:sz w:val="13"/>
                <w:szCs w:val="13"/>
                <w:color w:val="auto"/>
              </w:rPr>
              <w:t>N/A</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3,194,272</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615,815</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3,194,272</w:t>
            </w:r>
          </w:p>
        </w:tc>
      </w:tr>
      <w:tr>
        <w:trPr>
          <w:trHeight w:val="155"/>
        </w:trPr>
        <w:tc>
          <w:tcPr>
            <w:tcW w:w="2480" w:type="dxa"/>
            <w:vAlign w:val="bottom"/>
            <w:tcBorders>
              <w:bottom w:val="single" w:sz="8" w:color="582C83"/>
            </w:tcBorders>
            <w:shd w:val="clear" w:color="auto" w:fill="E0DBEA"/>
          </w:tcPr>
          <w:p>
            <w:pPr>
              <w:ind w:left="280"/>
              <w:spacing w:after="0"/>
              <w:rPr>
                <w:sz w:val="20"/>
                <w:szCs w:val="20"/>
                <w:color w:val="auto"/>
              </w:rPr>
            </w:pPr>
            <w:r>
              <w:rPr>
                <w:rFonts w:ascii="Arial" w:cs="Arial" w:eastAsia="Arial" w:hAnsi="Arial"/>
                <w:sz w:val="13"/>
                <w:szCs w:val="13"/>
                <w:b w:val="1"/>
                <w:bCs w:val="1"/>
                <w:color w:val="auto"/>
              </w:rPr>
              <w:t>Total</w:t>
            </w:r>
          </w:p>
        </w:tc>
        <w:tc>
          <w:tcPr>
            <w:tcW w:w="1620" w:type="dxa"/>
            <w:vAlign w:val="bottom"/>
            <w:tcBorders>
              <w:bottom w:val="single" w:sz="8" w:color="582C83"/>
            </w:tcBorders>
            <w:shd w:val="clear" w:color="auto" w:fill="E0DBEA"/>
          </w:tcPr>
          <w:p>
            <w:pPr>
              <w:jc w:val="center"/>
              <w:ind w:left="1337"/>
              <w:spacing w:after="0"/>
              <w:rPr>
                <w:sz w:val="20"/>
                <w:szCs w:val="20"/>
                <w:color w:val="auto"/>
              </w:rPr>
            </w:pPr>
            <w:r>
              <w:rPr>
                <w:rFonts w:ascii="Arial" w:cs="Arial" w:eastAsia="Arial" w:hAnsi="Arial"/>
                <w:sz w:val="13"/>
                <w:szCs w:val="13"/>
                <w:color w:val="auto"/>
              </w:rPr>
              <w:t>N/A</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4,449,039</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2,773,306</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9,124,995</w:t>
            </w:r>
          </w:p>
        </w:tc>
      </w:tr>
      <w:tr>
        <w:trPr>
          <w:trHeight w:val="156"/>
        </w:trPr>
        <w:tc>
          <w:tcPr>
            <w:tcW w:w="2480" w:type="dxa"/>
            <w:vAlign w:val="bottom"/>
            <w:tcBorders>
              <w:bottom w:val="single" w:sz="8" w:color="582C83"/>
            </w:tcBorders>
          </w:tcPr>
          <w:p>
            <w:pPr>
              <w:ind w:left="60"/>
              <w:spacing w:after="0"/>
              <w:rPr>
                <w:sz w:val="20"/>
                <w:szCs w:val="20"/>
                <w:color w:val="auto"/>
              </w:rPr>
            </w:pPr>
            <w:r>
              <w:rPr>
                <w:rFonts w:ascii="Arial" w:cs="Arial" w:eastAsia="Arial" w:hAnsi="Arial"/>
                <w:sz w:val="13"/>
                <w:szCs w:val="13"/>
                <w:b w:val="1"/>
                <w:bCs w:val="1"/>
                <w:color w:val="auto"/>
              </w:rPr>
              <w:t>Valle, Gustavo</w:t>
            </w:r>
          </w:p>
        </w:tc>
        <w:tc>
          <w:tcPr>
            <w:tcW w:w="1620" w:type="dxa"/>
            <w:vAlign w:val="bottom"/>
            <w:tcBorders>
              <w:bottom w:val="single" w:sz="8" w:color="582C83"/>
            </w:tcBorders>
          </w:tcPr>
          <w:p>
            <w:pPr>
              <w:spacing w:after="0"/>
              <w:rPr>
                <w:sz w:val="13"/>
                <w:szCs w:val="13"/>
                <w:color w:val="auto"/>
              </w:rPr>
            </w:pPr>
          </w:p>
        </w:tc>
        <w:tc>
          <w:tcPr>
            <w:tcW w:w="1640" w:type="dxa"/>
            <w:vAlign w:val="bottom"/>
            <w:tcBorders>
              <w:bottom w:val="single" w:sz="8" w:color="582C83"/>
            </w:tcBorders>
          </w:tcPr>
          <w:p>
            <w:pPr>
              <w:spacing w:after="0"/>
              <w:rPr>
                <w:sz w:val="13"/>
                <w:szCs w:val="13"/>
                <w:color w:val="auto"/>
              </w:rPr>
            </w:pPr>
          </w:p>
        </w:tc>
        <w:tc>
          <w:tcPr>
            <w:tcW w:w="1640" w:type="dxa"/>
            <w:vAlign w:val="bottom"/>
            <w:tcBorders>
              <w:bottom w:val="single" w:sz="8" w:color="582C83"/>
            </w:tcBorders>
          </w:tcPr>
          <w:p>
            <w:pPr>
              <w:spacing w:after="0"/>
              <w:rPr>
                <w:sz w:val="13"/>
                <w:szCs w:val="13"/>
                <w:color w:val="auto"/>
              </w:rPr>
            </w:pPr>
          </w:p>
        </w:tc>
        <w:tc>
          <w:tcPr>
            <w:tcW w:w="1620" w:type="dxa"/>
            <w:vAlign w:val="bottom"/>
            <w:tcBorders>
              <w:bottom w:val="single" w:sz="8" w:color="582C83"/>
            </w:tcBorders>
          </w:tcPr>
          <w:p>
            <w:pPr>
              <w:spacing w:after="0"/>
              <w:rPr>
                <w:sz w:val="13"/>
                <w:szCs w:val="13"/>
                <w:color w:val="auto"/>
              </w:rPr>
            </w:pPr>
          </w:p>
        </w:tc>
      </w:tr>
      <w:tr>
        <w:trPr>
          <w:trHeight w:val="156"/>
        </w:trPr>
        <w:tc>
          <w:tcPr>
            <w:tcW w:w="2480" w:type="dxa"/>
            <w:vAlign w:val="bottom"/>
            <w:tcBorders>
              <w:bottom w:val="single" w:sz="8" w:color="582C83"/>
            </w:tcBorders>
          </w:tcPr>
          <w:p>
            <w:pPr>
              <w:ind w:left="280"/>
              <w:spacing w:after="0" w:line="155" w:lineRule="exact"/>
              <w:rPr>
                <w:sz w:val="20"/>
                <w:szCs w:val="20"/>
                <w:color w:val="auto"/>
              </w:rPr>
            </w:pPr>
            <w:r>
              <w:rPr>
                <w:rFonts w:ascii="Arial" w:cs="Arial" w:eastAsia="Arial" w:hAnsi="Arial"/>
                <w:sz w:val="13"/>
                <w:szCs w:val="13"/>
                <w:color w:val="auto"/>
              </w:rPr>
              <w:t>Cash Severance</w:t>
            </w:r>
            <w:r>
              <w:rPr>
                <w:rFonts w:ascii="Arial" w:cs="Arial" w:eastAsia="Arial" w:hAnsi="Arial"/>
                <w:sz w:val="16"/>
                <w:szCs w:val="16"/>
                <w:color w:val="auto"/>
                <w:vertAlign w:val="superscript"/>
              </w:rPr>
              <w:t>(1)</w:t>
            </w:r>
          </w:p>
        </w:tc>
        <w:tc>
          <w:tcPr>
            <w:tcW w:w="1620" w:type="dxa"/>
            <w:vAlign w:val="bottom"/>
            <w:tcBorders>
              <w:bottom w:val="single" w:sz="8" w:color="582C83"/>
            </w:tcBorders>
          </w:tcPr>
          <w:p>
            <w:pPr>
              <w:jc w:val="center"/>
              <w:ind w:left="1337"/>
              <w:spacing w:after="0"/>
              <w:rPr>
                <w:sz w:val="20"/>
                <w:szCs w:val="20"/>
                <w:color w:val="auto"/>
              </w:rPr>
            </w:pPr>
            <w:r>
              <w:rPr>
                <w:rFonts w:ascii="Arial" w:cs="Arial" w:eastAsia="Arial" w:hAnsi="Arial"/>
                <w:sz w:val="13"/>
                <w:szCs w:val="13"/>
                <w:color w:val="auto"/>
              </w:rPr>
              <w:t>N/A</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850,000</w:t>
            </w:r>
          </w:p>
        </w:tc>
        <w:tc>
          <w:tcPr>
            <w:tcW w:w="162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3,740,000</w:t>
            </w:r>
          </w:p>
        </w:tc>
      </w:tr>
      <w:tr>
        <w:trPr>
          <w:trHeight w:val="155"/>
        </w:trPr>
        <w:tc>
          <w:tcPr>
            <w:tcW w:w="2480" w:type="dxa"/>
            <w:vAlign w:val="bottom"/>
            <w:tcBorders>
              <w:bottom w:val="single" w:sz="8" w:color="582C83"/>
            </w:tcBorders>
          </w:tcPr>
          <w:p>
            <w:pPr>
              <w:ind w:left="280"/>
              <w:spacing w:after="0" w:line="155" w:lineRule="exact"/>
              <w:rPr>
                <w:sz w:val="20"/>
                <w:szCs w:val="20"/>
                <w:color w:val="auto"/>
              </w:rPr>
            </w:pPr>
            <w:r>
              <w:rPr>
                <w:rFonts w:ascii="Arial" w:cs="Arial" w:eastAsia="Arial" w:hAnsi="Arial"/>
                <w:sz w:val="13"/>
                <w:szCs w:val="13"/>
                <w:color w:val="auto"/>
              </w:rPr>
              <w:t>Annual Incentive Award</w:t>
            </w:r>
            <w:r>
              <w:rPr>
                <w:rFonts w:ascii="Arial" w:cs="Arial" w:eastAsia="Arial" w:hAnsi="Arial"/>
                <w:sz w:val="16"/>
                <w:szCs w:val="16"/>
                <w:color w:val="auto"/>
                <w:vertAlign w:val="superscript"/>
              </w:rPr>
              <w:t>(2)</w:t>
            </w:r>
          </w:p>
        </w:tc>
        <w:tc>
          <w:tcPr>
            <w:tcW w:w="1620" w:type="dxa"/>
            <w:vAlign w:val="bottom"/>
            <w:tcBorders>
              <w:bottom w:val="single" w:sz="8" w:color="582C83"/>
            </w:tcBorders>
          </w:tcPr>
          <w:p>
            <w:pPr>
              <w:jc w:val="center"/>
              <w:ind w:left="1337"/>
              <w:spacing w:after="0"/>
              <w:rPr>
                <w:sz w:val="20"/>
                <w:szCs w:val="20"/>
                <w:color w:val="auto"/>
              </w:rPr>
            </w:pPr>
            <w:r>
              <w:rPr>
                <w:rFonts w:ascii="Arial" w:cs="Arial" w:eastAsia="Arial" w:hAnsi="Arial"/>
                <w:sz w:val="13"/>
                <w:szCs w:val="13"/>
                <w:color w:val="auto"/>
              </w:rPr>
              <w:t>N/A</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1,020,000</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357,000</w:t>
            </w:r>
          </w:p>
        </w:tc>
        <w:tc>
          <w:tcPr>
            <w:tcW w:w="162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1,020,000</w:t>
            </w:r>
          </w:p>
        </w:tc>
      </w:tr>
      <w:tr>
        <w:trPr>
          <w:trHeight w:val="155"/>
        </w:trPr>
        <w:tc>
          <w:tcPr>
            <w:tcW w:w="2480" w:type="dxa"/>
            <w:vAlign w:val="bottom"/>
            <w:tcBorders>
              <w:bottom w:val="single" w:sz="8" w:color="582C83"/>
            </w:tcBorders>
          </w:tcPr>
          <w:p>
            <w:pPr>
              <w:ind w:left="280"/>
              <w:spacing w:after="0" w:line="155" w:lineRule="exact"/>
              <w:rPr>
                <w:sz w:val="20"/>
                <w:szCs w:val="20"/>
                <w:color w:val="auto"/>
              </w:rPr>
            </w:pPr>
            <w:r>
              <w:rPr>
                <w:rFonts w:ascii="Arial" w:cs="Arial" w:eastAsia="Arial" w:hAnsi="Arial"/>
                <w:sz w:val="13"/>
                <w:szCs w:val="13"/>
                <w:color w:val="auto"/>
              </w:rPr>
              <w:t>Health &amp; Welfare Continuation</w:t>
            </w:r>
            <w:r>
              <w:rPr>
                <w:rFonts w:ascii="Arial" w:cs="Arial" w:eastAsia="Arial" w:hAnsi="Arial"/>
                <w:sz w:val="16"/>
                <w:szCs w:val="16"/>
                <w:color w:val="auto"/>
                <w:vertAlign w:val="superscript"/>
              </w:rPr>
              <w:t>(3)</w:t>
            </w:r>
          </w:p>
        </w:tc>
        <w:tc>
          <w:tcPr>
            <w:tcW w:w="1620" w:type="dxa"/>
            <w:vAlign w:val="bottom"/>
            <w:tcBorders>
              <w:bottom w:val="single" w:sz="8" w:color="582C83"/>
            </w:tcBorders>
          </w:tcPr>
          <w:p>
            <w:pPr>
              <w:jc w:val="center"/>
              <w:ind w:left="1337"/>
              <w:spacing w:after="0"/>
              <w:rPr>
                <w:sz w:val="20"/>
                <w:szCs w:val="20"/>
                <w:color w:val="auto"/>
              </w:rPr>
            </w:pPr>
            <w:r>
              <w:rPr>
                <w:rFonts w:ascii="Arial" w:cs="Arial" w:eastAsia="Arial" w:hAnsi="Arial"/>
                <w:sz w:val="13"/>
                <w:szCs w:val="13"/>
                <w:color w:val="auto"/>
              </w:rPr>
              <w:t>N/A</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12,255</w:t>
            </w:r>
          </w:p>
        </w:tc>
        <w:tc>
          <w:tcPr>
            <w:tcW w:w="162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27,650</w:t>
            </w:r>
          </w:p>
        </w:tc>
      </w:tr>
      <w:tr>
        <w:trPr>
          <w:trHeight w:val="156"/>
        </w:trPr>
        <w:tc>
          <w:tcPr>
            <w:tcW w:w="2480" w:type="dxa"/>
            <w:vAlign w:val="bottom"/>
            <w:tcBorders>
              <w:bottom w:val="single" w:sz="8" w:color="582C83"/>
            </w:tcBorders>
          </w:tcPr>
          <w:p>
            <w:pPr>
              <w:ind w:left="280"/>
              <w:spacing w:after="0" w:line="155" w:lineRule="exact"/>
              <w:rPr>
                <w:sz w:val="20"/>
                <w:szCs w:val="20"/>
                <w:color w:val="auto"/>
              </w:rPr>
            </w:pPr>
            <w:r>
              <w:rPr>
                <w:rFonts w:ascii="Arial" w:cs="Arial" w:eastAsia="Arial" w:hAnsi="Arial"/>
                <w:sz w:val="13"/>
                <w:szCs w:val="13"/>
                <w:color w:val="auto"/>
              </w:rPr>
              <w:t>Outplacement &amp; Other Benefits</w:t>
            </w:r>
            <w:r>
              <w:rPr>
                <w:rFonts w:ascii="Arial" w:cs="Arial" w:eastAsia="Arial" w:hAnsi="Arial"/>
                <w:sz w:val="16"/>
                <w:szCs w:val="16"/>
                <w:color w:val="auto"/>
                <w:vertAlign w:val="superscript"/>
              </w:rPr>
              <w:t>(4)</w:t>
            </w:r>
          </w:p>
        </w:tc>
        <w:tc>
          <w:tcPr>
            <w:tcW w:w="1620" w:type="dxa"/>
            <w:vAlign w:val="bottom"/>
            <w:tcBorders>
              <w:bottom w:val="single" w:sz="8" w:color="582C83"/>
            </w:tcBorders>
          </w:tcPr>
          <w:p>
            <w:pPr>
              <w:jc w:val="center"/>
              <w:ind w:left="1337"/>
              <w:spacing w:after="0"/>
              <w:rPr>
                <w:sz w:val="20"/>
                <w:szCs w:val="20"/>
                <w:color w:val="auto"/>
              </w:rPr>
            </w:pPr>
            <w:r>
              <w:rPr>
                <w:rFonts w:ascii="Arial" w:cs="Arial" w:eastAsia="Arial" w:hAnsi="Arial"/>
                <w:sz w:val="13"/>
                <w:szCs w:val="13"/>
                <w:color w:val="auto"/>
              </w:rPr>
              <w:t>N/A</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35,000</w:t>
            </w:r>
          </w:p>
        </w:tc>
        <w:tc>
          <w:tcPr>
            <w:tcW w:w="162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70,000</w:t>
            </w:r>
          </w:p>
        </w:tc>
      </w:tr>
      <w:tr>
        <w:trPr>
          <w:trHeight w:val="155"/>
        </w:trPr>
        <w:tc>
          <w:tcPr>
            <w:tcW w:w="2480" w:type="dxa"/>
            <w:vAlign w:val="bottom"/>
            <w:tcBorders>
              <w:bottom w:val="single" w:sz="8" w:color="582C83"/>
            </w:tcBorders>
          </w:tcPr>
          <w:p>
            <w:pPr>
              <w:ind w:left="280"/>
              <w:spacing w:after="0" w:line="155" w:lineRule="exact"/>
              <w:rPr>
                <w:sz w:val="20"/>
                <w:szCs w:val="20"/>
                <w:color w:val="auto"/>
              </w:rPr>
            </w:pPr>
            <w:r>
              <w:rPr>
                <w:rFonts w:ascii="Arial" w:cs="Arial" w:eastAsia="Arial" w:hAnsi="Arial"/>
                <w:sz w:val="13"/>
                <w:szCs w:val="13"/>
                <w:color w:val="auto"/>
              </w:rPr>
              <w:t>Unvested Equity Awards</w:t>
            </w:r>
            <w:r>
              <w:rPr>
                <w:rFonts w:ascii="Arial" w:cs="Arial" w:eastAsia="Arial" w:hAnsi="Arial"/>
                <w:sz w:val="16"/>
                <w:szCs w:val="16"/>
                <w:color w:val="auto"/>
                <w:vertAlign w:val="superscript"/>
              </w:rPr>
              <w:t>(5)</w:t>
            </w:r>
          </w:p>
        </w:tc>
        <w:tc>
          <w:tcPr>
            <w:tcW w:w="1620" w:type="dxa"/>
            <w:vAlign w:val="bottom"/>
            <w:tcBorders>
              <w:bottom w:val="single" w:sz="8" w:color="582C83"/>
            </w:tcBorders>
          </w:tcPr>
          <w:p>
            <w:pPr>
              <w:jc w:val="center"/>
              <w:ind w:left="1337"/>
              <w:spacing w:after="0"/>
              <w:rPr>
                <w:sz w:val="20"/>
                <w:szCs w:val="20"/>
                <w:color w:val="auto"/>
              </w:rPr>
            </w:pPr>
            <w:r>
              <w:rPr>
                <w:rFonts w:ascii="Arial" w:cs="Arial" w:eastAsia="Arial" w:hAnsi="Arial"/>
                <w:sz w:val="13"/>
                <w:szCs w:val="13"/>
                <w:color w:val="auto"/>
              </w:rPr>
              <w:t>N/A</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5,726,435</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1,952,899</w:t>
            </w:r>
          </w:p>
        </w:tc>
        <w:tc>
          <w:tcPr>
            <w:tcW w:w="162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5,754,858</w:t>
            </w:r>
          </w:p>
        </w:tc>
      </w:tr>
      <w:tr>
        <w:trPr>
          <w:trHeight w:val="155"/>
        </w:trPr>
        <w:tc>
          <w:tcPr>
            <w:tcW w:w="2480" w:type="dxa"/>
            <w:vAlign w:val="bottom"/>
            <w:tcBorders>
              <w:bottom w:val="single" w:sz="8" w:color="582C83"/>
            </w:tcBorders>
          </w:tcPr>
          <w:p>
            <w:pPr>
              <w:ind w:left="280"/>
              <w:spacing w:after="0"/>
              <w:rPr>
                <w:sz w:val="20"/>
                <w:szCs w:val="20"/>
                <w:color w:val="auto"/>
              </w:rPr>
            </w:pPr>
            <w:r>
              <w:rPr>
                <w:rFonts w:ascii="Arial" w:cs="Arial" w:eastAsia="Arial" w:hAnsi="Arial"/>
                <w:sz w:val="13"/>
                <w:szCs w:val="13"/>
                <w:b w:val="1"/>
                <w:bCs w:val="1"/>
                <w:color w:val="auto"/>
              </w:rPr>
              <w:t>Total</w:t>
            </w:r>
          </w:p>
        </w:tc>
        <w:tc>
          <w:tcPr>
            <w:tcW w:w="1620" w:type="dxa"/>
            <w:vAlign w:val="bottom"/>
            <w:tcBorders>
              <w:bottom w:val="single" w:sz="8" w:color="582C83"/>
            </w:tcBorders>
          </w:tcPr>
          <w:p>
            <w:pPr>
              <w:jc w:val="center"/>
              <w:ind w:left="1337"/>
              <w:spacing w:after="0"/>
              <w:rPr>
                <w:sz w:val="20"/>
                <w:szCs w:val="20"/>
                <w:color w:val="auto"/>
              </w:rPr>
            </w:pPr>
            <w:r>
              <w:rPr>
                <w:rFonts w:ascii="Arial" w:cs="Arial" w:eastAsia="Arial" w:hAnsi="Arial"/>
                <w:sz w:val="13"/>
                <w:szCs w:val="13"/>
                <w:color w:val="auto"/>
              </w:rPr>
              <w:t>N/A</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6,746,435</w:t>
            </w:r>
          </w:p>
        </w:tc>
        <w:tc>
          <w:tcPr>
            <w:tcW w:w="164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3,207,154</w:t>
            </w:r>
          </w:p>
        </w:tc>
        <w:tc>
          <w:tcPr>
            <w:tcW w:w="1620" w:type="dxa"/>
            <w:vAlign w:val="bottom"/>
            <w:tcBorders>
              <w:bottom w:val="single" w:sz="8" w:color="582C83"/>
            </w:tcBorders>
          </w:tcPr>
          <w:p>
            <w:pPr>
              <w:jc w:val="right"/>
              <w:spacing w:after="0"/>
              <w:rPr>
                <w:sz w:val="20"/>
                <w:szCs w:val="20"/>
                <w:color w:val="auto"/>
              </w:rPr>
            </w:pPr>
            <w:r>
              <w:rPr>
                <w:rFonts w:ascii="Arial" w:cs="Arial" w:eastAsia="Arial" w:hAnsi="Arial"/>
                <w:sz w:val="13"/>
                <w:szCs w:val="13"/>
                <w:color w:val="auto"/>
              </w:rPr>
              <w:t>10,612,508</w:t>
            </w:r>
          </w:p>
        </w:tc>
      </w:tr>
      <w:tr>
        <w:trPr>
          <w:trHeight w:val="156"/>
        </w:trPr>
        <w:tc>
          <w:tcPr>
            <w:tcW w:w="248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3"/>
                <w:szCs w:val="13"/>
                <w:b w:val="1"/>
                <w:bCs w:val="1"/>
                <w:color w:val="auto"/>
              </w:rPr>
              <w:t>Renaud, Martin</w:t>
            </w:r>
          </w:p>
        </w:tc>
        <w:tc>
          <w:tcPr>
            <w:tcW w:w="1620" w:type="dxa"/>
            <w:vAlign w:val="bottom"/>
            <w:tcBorders>
              <w:bottom w:val="single" w:sz="8" w:color="582C83"/>
            </w:tcBorders>
            <w:shd w:val="clear" w:color="auto" w:fill="E0DBEA"/>
          </w:tcPr>
          <w:p>
            <w:pPr>
              <w:spacing w:after="0"/>
              <w:rPr>
                <w:sz w:val="13"/>
                <w:szCs w:val="13"/>
                <w:color w:val="auto"/>
              </w:rPr>
            </w:pPr>
          </w:p>
        </w:tc>
        <w:tc>
          <w:tcPr>
            <w:tcW w:w="1640" w:type="dxa"/>
            <w:vAlign w:val="bottom"/>
            <w:tcBorders>
              <w:bottom w:val="single" w:sz="8" w:color="582C83"/>
            </w:tcBorders>
            <w:shd w:val="clear" w:color="auto" w:fill="E0DBEA"/>
          </w:tcPr>
          <w:p>
            <w:pPr>
              <w:spacing w:after="0"/>
              <w:rPr>
                <w:sz w:val="13"/>
                <w:szCs w:val="13"/>
                <w:color w:val="auto"/>
              </w:rPr>
            </w:pPr>
          </w:p>
        </w:tc>
        <w:tc>
          <w:tcPr>
            <w:tcW w:w="1640" w:type="dxa"/>
            <w:vAlign w:val="bottom"/>
            <w:tcBorders>
              <w:bottom w:val="single" w:sz="8" w:color="582C83"/>
            </w:tcBorders>
            <w:shd w:val="clear" w:color="auto" w:fill="E0DBEA"/>
          </w:tcPr>
          <w:p>
            <w:pPr>
              <w:spacing w:after="0"/>
              <w:rPr>
                <w:sz w:val="13"/>
                <w:szCs w:val="13"/>
                <w:color w:val="auto"/>
              </w:rPr>
            </w:pPr>
          </w:p>
        </w:tc>
        <w:tc>
          <w:tcPr>
            <w:tcW w:w="1620" w:type="dxa"/>
            <w:vAlign w:val="bottom"/>
            <w:tcBorders>
              <w:bottom w:val="single" w:sz="8" w:color="582C83"/>
            </w:tcBorders>
            <w:shd w:val="clear" w:color="auto" w:fill="E0DBEA"/>
          </w:tcPr>
          <w:p>
            <w:pPr>
              <w:spacing w:after="0"/>
              <w:rPr>
                <w:sz w:val="13"/>
                <w:szCs w:val="13"/>
                <w:color w:val="auto"/>
              </w:rPr>
            </w:pPr>
          </w:p>
        </w:tc>
      </w:tr>
      <w:tr>
        <w:trPr>
          <w:trHeight w:val="155"/>
        </w:trPr>
        <w:tc>
          <w:tcPr>
            <w:tcW w:w="2480" w:type="dxa"/>
            <w:vAlign w:val="bottom"/>
            <w:tcBorders>
              <w:bottom w:val="single" w:sz="8" w:color="582C83"/>
            </w:tcBorders>
            <w:shd w:val="clear" w:color="auto" w:fill="E0DBEA"/>
          </w:tcPr>
          <w:p>
            <w:pPr>
              <w:ind w:left="280"/>
              <w:spacing w:after="0" w:line="155" w:lineRule="exact"/>
              <w:rPr>
                <w:sz w:val="20"/>
                <w:szCs w:val="20"/>
                <w:color w:val="auto"/>
              </w:rPr>
            </w:pPr>
            <w:r>
              <w:rPr>
                <w:rFonts w:ascii="Arial" w:cs="Arial" w:eastAsia="Arial" w:hAnsi="Arial"/>
                <w:sz w:val="13"/>
                <w:szCs w:val="13"/>
                <w:color w:val="auto"/>
              </w:rPr>
              <w:t>Cash Severance</w:t>
            </w:r>
            <w:r>
              <w:rPr>
                <w:rFonts w:ascii="Arial" w:cs="Arial" w:eastAsia="Arial" w:hAnsi="Arial"/>
                <w:sz w:val="16"/>
                <w:szCs w:val="16"/>
                <w:color w:val="auto"/>
                <w:vertAlign w:val="superscript"/>
              </w:rPr>
              <w:t>(1)</w:t>
            </w:r>
          </w:p>
        </w:tc>
        <w:tc>
          <w:tcPr>
            <w:tcW w:w="1620" w:type="dxa"/>
            <w:vAlign w:val="bottom"/>
            <w:tcBorders>
              <w:bottom w:val="single" w:sz="8" w:color="582C83"/>
            </w:tcBorders>
            <w:shd w:val="clear" w:color="auto" w:fill="E0DBEA"/>
          </w:tcPr>
          <w:p>
            <w:pPr>
              <w:jc w:val="center"/>
              <w:ind w:left="1337"/>
              <w:spacing w:after="0"/>
              <w:rPr>
                <w:sz w:val="20"/>
                <w:szCs w:val="20"/>
                <w:color w:val="auto"/>
              </w:rPr>
            </w:pPr>
            <w:r>
              <w:rPr>
                <w:rFonts w:ascii="Arial" w:cs="Arial" w:eastAsia="Arial" w:hAnsi="Arial"/>
                <w:sz w:val="13"/>
                <w:szCs w:val="13"/>
                <w:color w:val="auto"/>
              </w:rPr>
              <w:t>N/A</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785,000</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3,140,000</w:t>
            </w:r>
          </w:p>
        </w:tc>
      </w:tr>
      <w:tr>
        <w:trPr>
          <w:trHeight w:val="155"/>
        </w:trPr>
        <w:tc>
          <w:tcPr>
            <w:tcW w:w="2480" w:type="dxa"/>
            <w:vAlign w:val="bottom"/>
            <w:tcBorders>
              <w:bottom w:val="single" w:sz="8" w:color="582C83"/>
            </w:tcBorders>
            <w:shd w:val="clear" w:color="auto" w:fill="E0DBEA"/>
          </w:tcPr>
          <w:p>
            <w:pPr>
              <w:ind w:left="280"/>
              <w:spacing w:after="0" w:line="155" w:lineRule="exact"/>
              <w:rPr>
                <w:sz w:val="20"/>
                <w:szCs w:val="20"/>
                <w:color w:val="auto"/>
              </w:rPr>
            </w:pPr>
            <w:r>
              <w:rPr>
                <w:rFonts w:ascii="Arial" w:cs="Arial" w:eastAsia="Arial" w:hAnsi="Arial"/>
                <w:sz w:val="13"/>
                <w:szCs w:val="13"/>
                <w:color w:val="auto"/>
              </w:rPr>
              <w:t>Annual Incentive Award</w:t>
            </w:r>
            <w:r>
              <w:rPr>
                <w:rFonts w:ascii="Arial" w:cs="Arial" w:eastAsia="Arial" w:hAnsi="Arial"/>
                <w:sz w:val="16"/>
                <w:szCs w:val="16"/>
                <w:color w:val="auto"/>
                <w:vertAlign w:val="superscript"/>
              </w:rPr>
              <w:t>(2)</w:t>
            </w:r>
          </w:p>
        </w:tc>
        <w:tc>
          <w:tcPr>
            <w:tcW w:w="1620" w:type="dxa"/>
            <w:vAlign w:val="bottom"/>
            <w:tcBorders>
              <w:bottom w:val="single" w:sz="8" w:color="582C83"/>
            </w:tcBorders>
            <w:shd w:val="clear" w:color="auto" w:fill="E0DBEA"/>
          </w:tcPr>
          <w:p>
            <w:pPr>
              <w:jc w:val="center"/>
              <w:ind w:left="1337"/>
              <w:spacing w:after="0"/>
              <w:rPr>
                <w:sz w:val="20"/>
                <w:szCs w:val="20"/>
                <w:color w:val="auto"/>
              </w:rPr>
            </w:pPr>
            <w:r>
              <w:rPr>
                <w:rFonts w:ascii="Arial" w:cs="Arial" w:eastAsia="Arial" w:hAnsi="Arial"/>
                <w:sz w:val="13"/>
                <w:szCs w:val="13"/>
                <w:color w:val="auto"/>
              </w:rPr>
              <w:t>N/A</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785,000</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769,300</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785,000</w:t>
            </w:r>
          </w:p>
        </w:tc>
      </w:tr>
      <w:tr>
        <w:trPr>
          <w:trHeight w:val="156"/>
        </w:trPr>
        <w:tc>
          <w:tcPr>
            <w:tcW w:w="2480" w:type="dxa"/>
            <w:vAlign w:val="bottom"/>
            <w:tcBorders>
              <w:bottom w:val="single" w:sz="8" w:color="582C83"/>
            </w:tcBorders>
            <w:shd w:val="clear" w:color="auto" w:fill="E0DBEA"/>
          </w:tcPr>
          <w:p>
            <w:pPr>
              <w:ind w:left="280"/>
              <w:spacing w:after="0" w:line="155" w:lineRule="exact"/>
              <w:rPr>
                <w:sz w:val="20"/>
                <w:szCs w:val="20"/>
                <w:color w:val="auto"/>
              </w:rPr>
            </w:pPr>
            <w:r>
              <w:rPr>
                <w:rFonts w:ascii="Arial" w:cs="Arial" w:eastAsia="Arial" w:hAnsi="Arial"/>
                <w:sz w:val="13"/>
                <w:szCs w:val="13"/>
                <w:color w:val="auto"/>
              </w:rPr>
              <w:t>Health &amp; Welfare Continuation</w:t>
            </w:r>
            <w:r>
              <w:rPr>
                <w:rFonts w:ascii="Arial" w:cs="Arial" w:eastAsia="Arial" w:hAnsi="Arial"/>
                <w:sz w:val="16"/>
                <w:szCs w:val="16"/>
                <w:color w:val="auto"/>
                <w:vertAlign w:val="superscript"/>
              </w:rPr>
              <w:t>(3)</w:t>
            </w:r>
          </w:p>
        </w:tc>
        <w:tc>
          <w:tcPr>
            <w:tcW w:w="1620" w:type="dxa"/>
            <w:vAlign w:val="bottom"/>
            <w:tcBorders>
              <w:bottom w:val="single" w:sz="8" w:color="582C83"/>
            </w:tcBorders>
            <w:shd w:val="clear" w:color="auto" w:fill="E0DBEA"/>
          </w:tcPr>
          <w:p>
            <w:pPr>
              <w:jc w:val="center"/>
              <w:ind w:left="1337"/>
              <w:spacing w:after="0"/>
              <w:rPr>
                <w:sz w:val="20"/>
                <w:szCs w:val="20"/>
                <w:color w:val="auto"/>
              </w:rPr>
            </w:pPr>
            <w:r>
              <w:rPr>
                <w:rFonts w:ascii="Arial" w:cs="Arial" w:eastAsia="Arial" w:hAnsi="Arial"/>
                <w:sz w:val="13"/>
                <w:szCs w:val="13"/>
                <w:color w:val="auto"/>
              </w:rPr>
              <w:t>N/A</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5,544</w:t>
            </w:r>
          </w:p>
        </w:tc>
      </w:tr>
      <w:tr>
        <w:trPr>
          <w:trHeight w:val="155"/>
        </w:trPr>
        <w:tc>
          <w:tcPr>
            <w:tcW w:w="2480" w:type="dxa"/>
            <w:vAlign w:val="bottom"/>
            <w:tcBorders>
              <w:bottom w:val="single" w:sz="8" w:color="582C83"/>
            </w:tcBorders>
            <w:shd w:val="clear" w:color="auto" w:fill="E0DBEA"/>
          </w:tcPr>
          <w:p>
            <w:pPr>
              <w:ind w:left="280"/>
              <w:spacing w:after="0" w:line="155" w:lineRule="exact"/>
              <w:rPr>
                <w:sz w:val="20"/>
                <w:szCs w:val="20"/>
                <w:color w:val="auto"/>
              </w:rPr>
            </w:pPr>
            <w:r>
              <w:rPr>
                <w:rFonts w:ascii="Arial" w:cs="Arial" w:eastAsia="Arial" w:hAnsi="Arial"/>
                <w:sz w:val="13"/>
                <w:szCs w:val="13"/>
                <w:color w:val="auto"/>
              </w:rPr>
              <w:t>Outplacement &amp; Other Benefits</w:t>
            </w:r>
            <w:r>
              <w:rPr>
                <w:rFonts w:ascii="Arial" w:cs="Arial" w:eastAsia="Arial" w:hAnsi="Arial"/>
                <w:sz w:val="16"/>
                <w:szCs w:val="16"/>
                <w:color w:val="auto"/>
                <w:vertAlign w:val="superscript"/>
              </w:rPr>
              <w:t>(4)</w:t>
            </w:r>
          </w:p>
        </w:tc>
        <w:tc>
          <w:tcPr>
            <w:tcW w:w="1620" w:type="dxa"/>
            <w:vAlign w:val="bottom"/>
            <w:tcBorders>
              <w:bottom w:val="single" w:sz="8" w:color="582C83"/>
            </w:tcBorders>
            <w:shd w:val="clear" w:color="auto" w:fill="E0DBEA"/>
          </w:tcPr>
          <w:p>
            <w:pPr>
              <w:jc w:val="center"/>
              <w:ind w:left="1337"/>
              <w:spacing w:after="0"/>
              <w:rPr>
                <w:sz w:val="20"/>
                <w:szCs w:val="20"/>
                <w:color w:val="auto"/>
              </w:rPr>
            </w:pPr>
            <w:r>
              <w:rPr>
                <w:rFonts w:ascii="Arial" w:cs="Arial" w:eastAsia="Arial" w:hAnsi="Arial"/>
                <w:sz w:val="13"/>
                <w:szCs w:val="13"/>
                <w:color w:val="auto"/>
              </w:rPr>
              <w:t>N/A</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35,000</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70,000</w:t>
            </w:r>
          </w:p>
        </w:tc>
      </w:tr>
      <w:tr>
        <w:trPr>
          <w:trHeight w:val="155"/>
        </w:trPr>
        <w:tc>
          <w:tcPr>
            <w:tcW w:w="2480" w:type="dxa"/>
            <w:vAlign w:val="bottom"/>
            <w:tcBorders>
              <w:bottom w:val="single" w:sz="8" w:color="582C83"/>
            </w:tcBorders>
            <w:shd w:val="clear" w:color="auto" w:fill="E0DBEA"/>
          </w:tcPr>
          <w:p>
            <w:pPr>
              <w:ind w:left="280"/>
              <w:spacing w:after="0" w:line="155" w:lineRule="exact"/>
              <w:rPr>
                <w:sz w:val="20"/>
                <w:szCs w:val="20"/>
                <w:color w:val="auto"/>
              </w:rPr>
            </w:pPr>
            <w:r>
              <w:rPr>
                <w:rFonts w:ascii="Arial" w:cs="Arial" w:eastAsia="Arial" w:hAnsi="Arial"/>
                <w:sz w:val="13"/>
                <w:szCs w:val="13"/>
                <w:color w:val="auto"/>
              </w:rPr>
              <w:t>Unvested Equity Awards</w:t>
            </w:r>
            <w:r>
              <w:rPr>
                <w:rFonts w:ascii="Arial" w:cs="Arial" w:eastAsia="Arial" w:hAnsi="Arial"/>
                <w:sz w:val="16"/>
                <w:szCs w:val="16"/>
                <w:color w:val="auto"/>
                <w:vertAlign w:val="superscript"/>
              </w:rPr>
              <w:t>(5)</w:t>
            </w:r>
          </w:p>
        </w:tc>
        <w:tc>
          <w:tcPr>
            <w:tcW w:w="1620" w:type="dxa"/>
            <w:vAlign w:val="bottom"/>
            <w:tcBorders>
              <w:bottom w:val="single" w:sz="8" w:color="582C83"/>
            </w:tcBorders>
            <w:shd w:val="clear" w:color="auto" w:fill="E0DBEA"/>
          </w:tcPr>
          <w:p>
            <w:pPr>
              <w:jc w:val="center"/>
              <w:ind w:left="1337"/>
              <w:spacing w:after="0"/>
              <w:rPr>
                <w:sz w:val="20"/>
                <w:szCs w:val="20"/>
                <w:color w:val="auto"/>
              </w:rPr>
            </w:pPr>
            <w:r>
              <w:rPr>
                <w:rFonts w:ascii="Arial" w:cs="Arial" w:eastAsia="Arial" w:hAnsi="Arial"/>
                <w:sz w:val="13"/>
                <w:szCs w:val="13"/>
                <w:color w:val="auto"/>
              </w:rPr>
              <w:t>N/A</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4,324,702</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1,595,306</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4,349,410</w:t>
            </w:r>
          </w:p>
        </w:tc>
      </w:tr>
      <w:tr>
        <w:trPr>
          <w:trHeight w:val="156"/>
        </w:trPr>
        <w:tc>
          <w:tcPr>
            <w:tcW w:w="2480" w:type="dxa"/>
            <w:vAlign w:val="bottom"/>
            <w:tcBorders>
              <w:bottom w:val="single" w:sz="8" w:color="582C83"/>
            </w:tcBorders>
            <w:shd w:val="clear" w:color="auto" w:fill="E0DBEA"/>
          </w:tcPr>
          <w:p>
            <w:pPr>
              <w:ind w:left="280"/>
              <w:spacing w:after="0"/>
              <w:rPr>
                <w:sz w:val="20"/>
                <w:szCs w:val="20"/>
                <w:color w:val="auto"/>
              </w:rPr>
            </w:pPr>
            <w:r>
              <w:rPr>
                <w:rFonts w:ascii="Arial" w:cs="Arial" w:eastAsia="Arial" w:hAnsi="Arial"/>
                <w:sz w:val="13"/>
                <w:szCs w:val="13"/>
                <w:b w:val="1"/>
                <w:bCs w:val="1"/>
                <w:color w:val="auto"/>
              </w:rPr>
              <w:t>Total</w:t>
            </w:r>
          </w:p>
        </w:tc>
        <w:tc>
          <w:tcPr>
            <w:tcW w:w="1620" w:type="dxa"/>
            <w:vAlign w:val="bottom"/>
            <w:tcBorders>
              <w:bottom w:val="single" w:sz="8" w:color="582C83"/>
            </w:tcBorders>
            <w:shd w:val="clear" w:color="auto" w:fill="E0DBEA"/>
          </w:tcPr>
          <w:p>
            <w:pPr>
              <w:jc w:val="center"/>
              <w:ind w:left="1337"/>
              <w:spacing w:after="0"/>
              <w:rPr>
                <w:sz w:val="20"/>
                <w:szCs w:val="20"/>
                <w:color w:val="auto"/>
              </w:rPr>
            </w:pPr>
            <w:r>
              <w:rPr>
                <w:rFonts w:ascii="Arial" w:cs="Arial" w:eastAsia="Arial" w:hAnsi="Arial"/>
                <w:sz w:val="13"/>
                <w:szCs w:val="13"/>
                <w:color w:val="auto"/>
              </w:rPr>
              <w:t>N/A</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5,109,702</w:t>
            </w:r>
          </w:p>
        </w:tc>
        <w:tc>
          <w:tcPr>
            <w:tcW w:w="16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3,184,606</w:t>
            </w:r>
          </w:p>
        </w:tc>
        <w:tc>
          <w:tcPr>
            <w:tcW w:w="162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3"/>
                <w:szCs w:val="13"/>
                <w:color w:val="auto"/>
              </w:rPr>
              <w:t>8,349,954</w:t>
            </w:r>
          </w:p>
        </w:tc>
      </w:tr>
    </w:tbl>
    <w:p>
      <w:pPr>
        <w:spacing w:after="0" w:line="50" w:lineRule="exact"/>
        <w:rPr>
          <w:sz w:val="20"/>
          <w:szCs w:val="20"/>
          <w:color w:val="auto"/>
        </w:rPr>
      </w:pPr>
    </w:p>
    <w:p>
      <w:pPr>
        <w:ind w:left="260" w:right="59" w:hanging="253"/>
        <w:spacing w:after="0" w:line="263" w:lineRule="auto"/>
        <w:tabs>
          <w:tab w:leader="none" w:pos="26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For a Non-CIC Qualifying Termination, amounts reflect (i) two years of base salary for Mr. Van de Put and (ii) one year of base salary for the other NEOs. For a CIC Qualifying Termination, amounts reflect two (or 2.99 for Mr. Van de Put) times the NEO’s base salary plus target AIP award.</w:t>
      </w:r>
    </w:p>
    <w:p>
      <w:pPr>
        <w:ind w:left="260" w:right="539" w:hanging="253"/>
        <w:spacing w:after="0" w:line="290" w:lineRule="auto"/>
        <w:tabs>
          <w:tab w:leader="none" w:pos="26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For a Non-CIC Qualifying Termination, amounts reflect actual 2025 AIP awards; otherwise, amounts reflect target 2025 AIP awards (upon a CIC, our employees are eligible to receive the In-Flight Bonus, which will not be duplicative with any severance benefits they may be entitled to).</w:t>
      </w:r>
    </w:p>
    <w:p>
      <w:pPr>
        <w:ind w:left="260" w:right="259" w:hanging="253"/>
        <w:spacing w:after="0" w:line="164" w:lineRule="exact"/>
        <w:tabs>
          <w:tab w:leader="none" w:pos="26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For a Non-CIC Qualifying Termination, amounts reflect our estimated cost for providing medical premiums for one year. For a CIC Qualifying Termination, amounts reflect our cost for providing medical, dental, vision, long</w:t>
      </w:r>
      <w:r>
        <w:rPr>
          <w:rFonts w:ascii="MS PGothic" w:cs="MS PGothic" w:eastAsia="MS PGothic" w:hAnsi="MS PGothic"/>
          <w:sz w:val="13"/>
          <w:szCs w:val="13"/>
          <w:color w:val="auto"/>
        </w:rPr>
        <w:t>‑</w:t>
      </w:r>
      <w:r>
        <w:rPr>
          <w:rFonts w:ascii="Arial" w:cs="Arial" w:eastAsia="Arial" w:hAnsi="Arial"/>
          <w:sz w:val="13"/>
          <w:szCs w:val="13"/>
          <w:color w:val="auto"/>
        </w:rPr>
        <w:t>term disability, and life insurance premiums to NEOs for two years (or three years for Mr. Van de Put). The Company does not pay any premiums for Swiss employees and thus no amounts are included for Mr. Kuhn.</w:t>
      </w:r>
    </w:p>
    <w:p>
      <w:pPr>
        <w:ind w:left="260" w:right="159" w:hanging="253"/>
        <w:spacing w:after="0" w:line="263" w:lineRule="auto"/>
        <w:tabs>
          <w:tab w:leader="none" w:pos="26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For a Non-CIC Qualifying Termination, amounts reflect the value for continuation for one year of the financial counseling allowance, car allowance, outplacement services, and any payments for matching contributions forfeited under the Company’s 401(k) plan; Mr. Kuhn is only eligible to receive the comparable benefits under his local programs and thus the amount for him reflects the value of outplacement services only (six months of career transition program). For a CIC Qualifying Termination, amounts reflect the value for continuation of the financial counseling allowance (three years for Mr. Van de Put and two years for all other NEOs, except for Mr. Kuhn who does not receive financial counseling allowance), car allowance (three years for Mr. Van de Put and two years for all other NEOs), outplacement services (one year for Mr. Kuhn and two years for all other NEOs), and any payments for matching contributions forfeited under the Company’s 401(k) plan.</w:t>
      </w:r>
    </w:p>
    <w:p>
      <w:pPr>
        <w:ind w:left="260" w:hanging="253"/>
        <w:spacing w:after="0"/>
        <w:tabs>
          <w:tab w:leader="none" w:pos="26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Reflects the treatment of unvested equity awards as described above. Amounts included in the “Death or Disability” column reflect the treatment of (i) stock</w:t>
      </w:r>
    </w:p>
    <w:p>
      <w:pPr>
        <w:sectPr>
          <w:pgSz w:w="11900" w:h="16866" w:orient="portrait"/>
          <w:cols w:equalWidth="0" w:num="1">
            <w:col w:w="9039"/>
          </w:cols>
          <w:pgMar w:left="1420" w:top="1440" w:right="1440" w:bottom="0" w:gutter="0" w:footer="0" w:header="0"/>
          <w:type w:val="continuous"/>
        </w:sectPr>
      </w:pPr>
    </w:p>
    <w:bookmarkStart w:id="84" w:name="page85"/>
    <w:bookmarkEnd w:id="84"/>
    <w:p>
      <w:pPr>
        <w:ind w:left="260" w:right="39"/>
        <w:spacing w:after="0" w:line="265" w:lineRule="auto"/>
        <w:rPr>
          <w:sz w:val="20"/>
          <w:szCs w:val="20"/>
          <w:color w:val="auto"/>
        </w:rPr>
      </w:pPr>
      <w:r>
        <w:rPr>
          <w:rFonts w:ascii="Arial" w:cs="Arial" w:eastAsia="Arial" w:hAnsi="Arial"/>
          <w:sz w:val="13"/>
          <w:szCs w:val="13"/>
          <w:color w:val="auto"/>
        </w:rPr>
        <w:t>options and DSUs upon the NEO’s death or disability and (ii) PSUs upon the NEO’s death; upon an NEO’s disability, outstanding PSUs would only vest on a prorated basis at target performance (instead of in full at target performance as included in the amounts shown), and the estimated amount for such prorated PSU vesting is as follows: $18,274,585 for Mr. Van de Put, $6,502,556 for Mr. Zaramella, $972,708 for Mr. Kuhn, $3,408,408 for Mr. Valle, and $2,707,003 for Mr. Renaud. For a Non-CIC Qualifying Termination of retirement-eligible NEOs (Mr. Van de Put and Mr. Zaramella), such NEOs would receive retirement treatment for their unvested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-502920</wp:posOffset>
            </wp:positionV>
            <wp:extent cx="6810375" cy="17506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10375" cy="1750695"/>
                    </a:xfrm>
                    <a:prstGeom prst="rect">
                      <a:avLst/>
                    </a:prstGeom>
                    <a:noFill/>
                  </pic:spPr>
                </pic:pic>
              </a:graphicData>
            </a:graphic>
          </wp:anchor>
        </w:drawing>
      </w:r>
    </w:p>
    <w:p>
      <w:pPr>
        <w:ind w:left="260" w:right="199" w:hanging="253"/>
        <w:spacing w:after="0" w:line="280" w:lineRule="auto"/>
        <w:tabs>
          <w:tab w:leader="none" w:pos="2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Amounts for Mr. Kuhn were converted to USD using the Applicable Exchange Rate, except for the unvested equity values, which are already denominated in USD.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96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6829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10375" cy="868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859"/>
        <w:spacing w:after="0" w:line="274" w:lineRule="auto"/>
        <w:rPr>
          <w:sz w:val="20"/>
          <w:szCs w:val="20"/>
          <w:color w:val="auto"/>
        </w:rPr>
      </w:pPr>
      <w:r>
        <w:rPr>
          <w:rFonts w:ascii="Arial" w:cs="Arial" w:eastAsia="Arial" w:hAnsi="Arial"/>
          <w:sz w:val="45"/>
          <w:szCs w:val="45"/>
          <w:b w:val="1"/>
          <w:bCs w:val="1"/>
          <w:color w:val="582C83"/>
        </w:rPr>
        <w:t>PEOPLE AND COMPENSATION COMMITTEE REPORT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right="659"/>
        <w:spacing w:after="0" w:line="279" w:lineRule="auto"/>
        <w:rPr>
          <w:sz w:val="20"/>
          <w:szCs w:val="20"/>
          <w:color w:val="auto"/>
        </w:rPr>
      </w:pPr>
      <w:r>
        <w:rPr>
          <w:rFonts w:ascii="Arial" w:cs="Arial" w:eastAsia="Arial" w:hAnsi="Arial"/>
          <w:sz w:val="17"/>
          <w:szCs w:val="17"/>
          <w:color w:val="auto"/>
        </w:rPr>
        <w:t>The People and Compensation Committee oversees the compensation programs on behalf of the Board. In fulfilling its oversight responsibilities, the People and Compensation Committee reviewed and discussed with management the Compensation Discussion and Analysis included in this Proxy Statement. Based on that review and discussion, the People and Compensation Committee recommended that the Board include the Compensation Discussion and Analysis in the Proxy Statement to be filed with the SEC in connection with the Annual Meeting and incorporate it by reference in the Annual Report on Form 10-K for the year ended December 31, 2025, filed with the SEC on February 4, 2026.</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People and Compensation Committee:</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Michael A. Todman, Chair</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Ertharin Cousin</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Nancy McKinstry</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Brian J. McNamara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97</w:t>
      </w:r>
    </w:p>
    <w:p>
      <w:pPr>
        <w:sectPr>
          <w:pgSz w:w="11900" w:h="16838" w:orient="portrait"/>
          <w:cols w:equalWidth="0" w:num="1">
            <w:col w:w="9039"/>
          </w:cols>
          <w:pgMar w:left="1420" w:top="108" w:right="1440" w:bottom="0" w:gutter="0" w:footer="0" w:header="0"/>
        </w:sectPr>
      </w:pPr>
    </w:p>
    <w:bookmarkStart w:id="85" w:name="page86"/>
    <w:bookmarkEnd w:id="85"/>
    <w:p>
      <w:pPr>
        <w:spacing w:after="0"/>
        <w:rPr>
          <w:sz w:val="20"/>
          <w:szCs w:val="20"/>
          <w:color w:val="auto"/>
        </w:rPr>
      </w:pPr>
      <w:r>
        <w:rPr>
          <w:rFonts w:ascii="Arial" w:cs="Arial" w:eastAsia="Arial" w:hAnsi="Arial"/>
          <w:sz w:val="45"/>
          <w:szCs w:val="45"/>
          <w:b w:val="1"/>
          <w:bCs w:val="1"/>
          <w:color w:val="582C83"/>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1230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10375" cy="9123045"/>
                    </a:xfrm>
                    <a:prstGeom prst="rect">
                      <a:avLst/>
                    </a:prstGeom>
                    <a:noFill/>
                  </pic:spPr>
                </pic:pic>
              </a:graphicData>
            </a:graphic>
          </wp:anchor>
        </w:drawing>
        <w:t>CEO PAY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Our CEO pay ratio was calculated in accordance with Item 402(u) of Regulation S-K and represents a reasonable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estimate. For 2025, the annual total compensation for Dirk Van de Put, our CEO, as reported in the SCT was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$24,516,114. The annual total compensation for our median employee (“Median Employee”) was $38,024. Therefore,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the ratio of our CEO’s annual total compensation to the Median Employee’s annual total compensation was 645 to 1.</w:t>
      </w:r>
    </w:p>
    <w:p>
      <w:pPr>
        <w:spacing w:after="0" w:line="10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When comparing our CEO pay ratio to the ratio at other companies, there are certain unique factors about our large work force to consider. As a global company that generates 75.8% of our sales internationally, our employees are located in approximately 80 countries, with over eight in 10 employees located outside the U.S. Moreover, we have a heavy presence in emerging markets; six of our top nine largest employee populations are in emerging market countries. In addition, a significant portion of our work force consists of part-time and seasonal employees. Further,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8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permitted under the SEC rules, we are using the same Median Employee identified for purposes of the CEO pay ratio disclosure included in our 2024 proxy statement, as we believe the changes to our employee population and compensation have not significantly impacted our pay ratio disclosure. In order to identify our Median Employee, we used 2023 base salaries, our consistently applied compensation measure, for all individuals who were employed by us on October 2, 2023, excluding our CEO, annualized for any employees who joined the Company during 2023. We determined the annual base salary for each of our full-time, part-time, temporary, and seasonal employees without applying any cost-of-living adjustments. For an employee paid in a currency other than USD, we converted annual base salaries into USD. We excluded 1,220 employees in Venezuela from our calculation as we do not report Venezuela in our consolidated financials. We also applied the de minimis exemption and excluded approximately 4,786</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non-U.S. employees who represented less than 5% of our employee population. After applying this exemption, we used 2023 base salary information for approximately 92,000 of our employees to identify our Median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24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We excluded employees from the following countries: Morocco (518), Indonesia (1,421), Ukraine (969), Egypt (1,131), Pakistan (464), and Eswatini (283).</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98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131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10375" cy="1310640"/>
                    </a:xfrm>
                    <a:prstGeom prst="rect">
                      <a:avLst/>
                    </a:prstGeom>
                    <a:noFill/>
                  </pic:spPr>
                </pic:pic>
              </a:graphicData>
            </a:graphic>
          </wp:anchor>
        </w:drawing>
      </w:r>
    </w:p>
    <w:p>
      <w:pPr>
        <w:sectPr>
          <w:pgSz w:w="11900" w:h="16838" w:orient="portrait"/>
          <w:cols w:equalWidth="0" w:num="1">
            <w:col w:w="9040"/>
          </w:cols>
          <w:pgMar w:left="1420" w:top="1293" w:right="1439" w:bottom="3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44"/>
          <w:szCs w:val="44"/>
          <w:b w:val="1"/>
          <w:bCs w:val="1"/>
          <w:color w:val="582C83"/>
        </w:rPr>
        <w:t>PAY VERSUS PERFORMANCE</w:t>
      </w:r>
    </w:p>
    <w:p>
      <w:pPr>
        <w:sectPr>
          <w:pgSz w:w="11900" w:h="16838" w:orient="portrait"/>
          <w:cols w:equalWidth="0" w:num="1">
            <w:col w:w="9040"/>
          </w:cols>
          <w:pgMar w:left="1420" w:top="1293" w:right="1439" w:bottom="367" w:gutter="0" w:footer="0" w:header="0"/>
          <w:type w:val="continuous"/>
        </w:sectPr>
      </w:pPr>
    </w:p>
    <w:bookmarkStart w:id="86" w:name="page87"/>
    <w:bookmarkEnd w:id="8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5457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10375" cy="7545705"/>
                    </a:xfrm>
                    <a:prstGeom prst="rect">
                      <a:avLst/>
                    </a:prstGeom>
                    <a:noFill/>
                  </pic:spPr>
                </pic:pic>
              </a:graphicData>
            </a:graphic>
          </wp:anchor>
        </w:drawing>
      </w:r>
    </w:p>
    <w:p>
      <w:pPr>
        <w:ind w:right="120"/>
        <w:spacing w:after="0" w:line="276" w:lineRule="auto"/>
        <w:rPr>
          <w:sz w:val="20"/>
          <w:szCs w:val="20"/>
          <w:color w:val="auto"/>
        </w:rPr>
      </w:pPr>
      <w:r>
        <w:rPr>
          <w:rFonts w:ascii="Arial" w:cs="Arial" w:eastAsia="Arial" w:hAnsi="Arial"/>
          <w:sz w:val="17"/>
          <w:szCs w:val="17"/>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measures of the Company. For further information concerning our pay for performance philosophy and how we align executive compensation with the Company’s performance, refer to</w:t>
      </w:r>
    </w:p>
    <w:p>
      <w:pPr>
        <w:spacing w:after="0"/>
        <w:rPr>
          <w:sz w:val="20"/>
          <w:szCs w:val="20"/>
          <w:color w:val="auto"/>
        </w:rPr>
      </w:pPr>
      <w:r>
        <w:rPr>
          <w:rFonts w:ascii="Arial" w:cs="Arial" w:eastAsia="Arial" w:hAnsi="Arial"/>
          <w:sz w:val="17"/>
          <w:szCs w:val="17"/>
          <w:color w:val="auto"/>
        </w:rPr>
        <w:t>the CD&amp;A.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Average</w:t>
            </w:r>
          </w:p>
        </w:tc>
        <w:tc>
          <w:tcPr>
            <w:tcW w:w="1200" w:type="dxa"/>
            <w:vAlign w:val="bottom"/>
          </w:tcPr>
          <w:p>
            <w:pPr>
              <w:spacing w:after="0"/>
              <w:rPr>
                <w:sz w:val="16"/>
                <w:szCs w:val="16"/>
                <w:color w:val="auto"/>
              </w:rPr>
            </w:pPr>
          </w:p>
        </w:tc>
        <w:tc>
          <w:tcPr>
            <w:tcW w:w="1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Value of Initial Fixed $100</w:t>
            </w: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56"/>
        </w:trPr>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40" w:type="dxa"/>
            <w:vAlign w:val="bottom"/>
          </w:tcPr>
          <w:p>
            <w:pPr>
              <w:jc w:val="center"/>
              <w:ind w:left="288"/>
              <w:spacing w:after="0" w:line="155" w:lineRule="exact"/>
              <w:rPr>
                <w:sz w:val="20"/>
                <w:szCs w:val="20"/>
                <w:color w:val="auto"/>
              </w:rPr>
            </w:pPr>
            <w:r>
              <w:rPr>
                <w:rFonts w:ascii="Arial" w:cs="Arial" w:eastAsia="Arial" w:hAnsi="Arial"/>
                <w:sz w:val="14"/>
                <w:szCs w:val="14"/>
                <w:b w:val="1"/>
                <w:bCs w:val="1"/>
                <w:color w:val="auto"/>
              </w:rPr>
              <w:t>Summary</w:t>
            </w:r>
          </w:p>
        </w:tc>
        <w:tc>
          <w:tcPr>
            <w:tcW w:w="1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Average</w:t>
            </w:r>
          </w:p>
        </w:tc>
        <w:tc>
          <w:tcPr>
            <w:tcW w:w="1980" w:type="dxa"/>
            <w:vAlign w:val="bottom"/>
            <w:tcBorders>
              <w:bottom w:val="single" w:sz="8" w:color="582C83"/>
            </w:tcBorders>
            <w:gridSpan w:val="2"/>
          </w:tcPr>
          <w:p>
            <w:pPr>
              <w:jc w:val="center"/>
              <w:spacing w:after="0" w:line="129" w:lineRule="exact"/>
              <w:rPr>
                <w:sz w:val="20"/>
                <w:szCs w:val="20"/>
                <w:color w:val="auto"/>
              </w:rPr>
            </w:pPr>
            <w:r>
              <w:rPr>
                <w:rFonts w:ascii="Arial" w:cs="Arial" w:eastAsia="Arial" w:hAnsi="Arial"/>
                <w:sz w:val="14"/>
                <w:szCs w:val="14"/>
                <w:b w:val="1"/>
                <w:bCs w:val="1"/>
                <w:color w:val="auto"/>
              </w:rPr>
              <w:t>Investment Based On:</w:t>
            </w: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3"/>
        </w:trPr>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Summary</w:t>
            </w:r>
          </w:p>
        </w:tc>
        <w:tc>
          <w:tcPr>
            <w:tcW w:w="1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Compensation</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Compensation</w:t>
            </w:r>
          </w:p>
        </w:tc>
        <w:tc>
          <w:tcPr>
            <w:tcW w:w="1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Peer Group</w:t>
            </w: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2"/>
        </w:trPr>
        <w:tc>
          <w:tcPr>
            <w:tcW w:w="5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Compensation</w:t>
            </w: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Compensation</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Table Total for</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Actually Paid to</w:t>
            </w:r>
          </w:p>
        </w:tc>
        <w:tc>
          <w:tcPr>
            <w:tcW w:w="1020" w:type="dxa"/>
            <w:vAlign w:val="bottom"/>
          </w:tcPr>
          <w:p>
            <w:pPr>
              <w:ind w:left="600"/>
              <w:spacing w:after="0"/>
              <w:rPr>
                <w:sz w:val="20"/>
                <w:szCs w:val="20"/>
                <w:color w:val="auto"/>
              </w:rPr>
            </w:pPr>
            <w:r>
              <w:rPr>
                <w:rFonts w:ascii="Arial" w:cs="Arial" w:eastAsia="Arial" w:hAnsi="Arial"/>
                <w:sz w:val="14"/>
                <w:szCs w:val="14"/>
                <w:b w:val="1"/>
                <w:bCs w:val="1"/>
                <w:color w:val="auto"/>
              </w:rPr>
              <w:t>Total</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0"/>
        </w:trPr>
        <w:tc>
          <w:tcPr>
            <w:tcW w:w="540" w:type="dxa"/>
            <w:vAlign w:val="bottom"/>
          </w:tcPr>
          <w:p>
            <w:pPr>
              <w:spacing w:after="0"/>
              <w:rPr>
                <w:sz w:val="13"/>
                <w:szCs w:val="13"/>
                <w:color w:val="auto"/>
              </w:rPr>
            </w:pPr>
          </w:p>
        </w:tc>
        <w:tc>
          <w:tcPr>
            <w:tcW w:w="1200" w:type="dxa"/>
            <w:vAlign w:val="bottom"/>
          </w:tcPr>
          <w:p>
            <w:pPr>
              <w:ind w:left="180"/>
              <w:spacing w:after="0" w:line="159" w:lineRule="exact"/>
              <w:rPr>
                <w:sz w:val="20"/>
                <w:szCs w:val="20"/>
                <w:color w:val="auto"/>
              </w:rPr>
            </w:pPr>
            <w:r>
              <w:rPr>
                <w:rFonts w:ascii="Arial" w:cs="Arial" w:eastAsia="Arial" w:hAnsi="Arial"/>
                <w:sz w:val="14"/>
                <w:szCs w:val="14"/>
                <w:b w:val="1"/>
                <w:bCs w:val="1"/>
                <w:color w:val="auto"/>
              </w:rPr>
              <w:t>Table Total for</w:t>
            </w:r>
          </w:p>
        </w:tc>
        <w:tc>
          <w:tcPr>
            <w:tcW w:w="1240" w:type="dxa"/>
            <w:vAlign w:val="bottom"/>
          </w:tcPr>
          <w:p>
            <w:pPr>
              <w:jc w:val="right"/>
              <w:ind w:right="28"/>
              <w:spacing w:after="0" w:line="159" w:lineRule="exact"/>
              <w:rPr>
                <w:sz w:val="20"/>
                <w:szCs w:val="20"/>
                <w:color w:val="auto"/>
              </w:rPr>
            </w:pPr>
            <w:r>
              <w:rPr>
                <w:rFonts w:ascii="Arial" w:cs="Arial" w:eastAsia="Arial" w:hAnsi="Arial"/>
                <w:sz w:val="14"/>
                <w:szCs w:val="14"/>
                <w:b w:val="1"/>
                <w:bCs w:val="1"/>
                <w:color w:val="auto"/>
              </w:rPr>
              <w:t>Actually Paid to</w:t>
            </w:r>
          </w:p>
        </w:tc>
        <w:tc>
          <w:tcPr>
            <w:tcW w:w="1140" w:type="dxa"/>
            <w:vAlign w:val="bottom"/>
          </w:tcPr>
          <w:p>
            <w:pPr>
              <w:jc w:val="center"/>
              <w:ind w:left="308"/>
              <w:spacing w:after="0" w:line="159" w:lineRule="exact"/>
              <w:rPr>
                <w:sz w:val="20"/>
                <w:szCs w:val="20"/>
                <w:color w:val="auto"/>
              </w:rPr>
            </w:pPr>
            <w:r>
              <w:rPr>
                <w:rFonts w:ascii="Arial" w:cs="Arial" w:eastAsia="Arial" w:hAnsi="Arial"/>
                <w:sz w:val="14"/>
                <w:szCs w:val="14"/>
                <w:b w:val="1"/>
                <w:bCs w:val="1"/>
                <w:color w:val="auto"/>
              </w:rPr>
              <w:t>Non-PEO</w:t>
            </w:r>
          </w:p>
        </w:tc>
        <w:tc>
          <w:tcPr>
            <w:tcW w:w="120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Non-PEO</w:t>
            </w:r>
          </w:p>
        </w:tc>
        <w:tc>
          <w:tcPr>
            <w:tcW w:w="1020" w:type="dxa"/>
            <w:vAlign w:val="bottom"/>
          </w:tcPr>
          <w:p>
            <w:pPr>
              <w:jc w:val="right"/>
              <w:ind w:right="8"/>
              <w:spacing w:after="0" w:line="159" w:lineRule="exact"/>
              <w:rPr>
                <w:sz w:val="20"/>
                <w:szCs w:val="20"/>
                <w:color w:val="auto"/>
              </w:rPr>
            </w:pPr>
            <w:r>
              <w:rPr>
                <w:rFonts w:ascii="Arial" w:cs="Arial" w:eastAsia="Arial" w:hAnsi="Arial"/>
                <w:sz w:val="14"/>
                <w:szCs w:val="14"/>
                <w:b w:val="1"/>
                <w:bCs w:val="1"/>
                <w:color w:val="auto"/>
              </w:rPr>
              <w:t>Shareholder</w:t>
            </w:r>
          </w:p>
        </w:tc>
        <w:tc>
          <w:tcPr>
            <w:tcW w:w="9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Shareholder</w:t>
            </w:r>
          </w:p>
        </w:tc>
        <w:tc>
          <w:tcPr>
            <w:tcW w:w="760" w:type="dxa"/>
            <w:vAlign w:val="bottom"/>
          </w:tcPr>
          <w:p>
            <w:pPr>
              <w:jc w:val="right"/>
              <w:ind w:right="28"/>
              <w:spacing w:after="0" w:line="159" w:lineRule="exact"/>
              <w:rPr>
                <w:sz w:val="20"/>
                <w:szCs w:val="20"/>
                <w:color w:val="auto"/>
              </w:rPr>
            </w:pPr>
            <w:r>
              <w:rPr>
                <w:rFonts w:ascii="Arial" w:cs="Arial" w:eastAsia="Arial" w:hAnsi="Arial"/>
                <w:sz w:val="14"/>
                <w:szCs w:val="14"/>
                <w:b w:val="1"/>
                <w:bCs w:val="1"/>
                <w:color w:val="auto"/>
              </w:rPr>
              <w:t>Net</w:t>
            </w:r>
          </w:p>
        </w:tc>
        <w:tc>
          <w:tcPr>
            <w:tcW w:w="98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Adjusted</w:t>
            </w:r>
          </w:p>
        </w:tc>
      </w:tr>
      <w:tr>
        <w:trPr>
          <w:trHeight w:val="176"/>
        </w:trPr>
        <w:tc>
          <w:tcPr>
            <w:tcW w:w="54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4"/>
                <w:szCs w:val="14"/>
                <w:b w:val="1"/>
                <w:bCs w:val="1"/>
                <w:color w:val="auto"/>
              </w:rPr>
              <w:t>PEO</w:t>
            </w:r>
            <w:r>
              <w:rPr>
                <w:rFonts w:ascii="Arial" w:cs="Arial" w:eastAsia="Arial" w:hAnsi="Arial"/>
                <w:sz w:val="18"/>
                <w:szCs w:val="18"/>
                <w:b w:val="1"/>
                <w:bCs w:val="1"/>
                <w:color w:val="auto"/>
                <w:vertAlign w:val="superscript"/>
              </w:rPr>
              <w:t>(1)</w:t>
            </w:r>
          </w:p>
        </w:tc>
        <w:tc>
          <w:tcPr>
            <w:tcW w:w="1240" w:type="dxa"/>
            <w:vAlign w:val="bottom"/>
          </w:tcPr>
          <w:p>
            <w:pPr>
              <w:jc w:val="right"/>
              <w:ind w:right="28"/>
              <w:spacing w:after="0" w:line="176" w:lineRule="exact"/>
              <w:rPr>
                <w:sz w:val="20"/>
                <w:szCs w:val="20"/>
                <w:color w:val="auto"/>
              </w:rPr>
            </w:pPr>
            <w:r>
              <w:rPr>
                <w:rFonts w:ascii="Arial" w:cs="Arial" w:eastAsia="Arial" w:hAnsi="Arial"/>
                <w:sz w:val="14"/>
                <w:szCs w:val="14"/>
                <w:b w:val="1"/>
                <w:bCs w:val="1"/>
                <w:color w:val="auto"/>
              </w:rPr>
              <w:t>PEO</w:t>
            </w:r>
            <w:r>
              <w:rPr>
                <w:rFonts w:ascii="Arial" w:cs="Arial" w:eastAsia="Arial" w:hAnsi="Arial"/>
                <w:sz w:val="18"/>
                <w:szCs w:val="18"/>
                <w:b w:val="1"/>
                <w:bCs w:val="1"/>
                <w:color w:val="auto"/>
                <w:vertAlign w:val="superscript"/>
              </w:rPr>
              <w:t>(2)</w:t>
            </w:r>
          </w:p>
        </w:tc>
        <w:tc>
          <w:tcPr>
            <w:tcW w:w="1140" w:type="dxa"/>
            <w:vAlign w:val="bottom"/>
          </w:tcPr>
          <w:p>
            <w:pPr>
              <w:jc w:val="right"/>
              <w:spacing w:after="0" w:line="176" w:lineRule="exact"/>
              <w:rPr>
                <w:sz w:val="20"/>
                <w:szCs w:val="20"/>
                <w:color w:val="auto"/>
              </w:rPr>
            </w:pPr>
            <w:r>
              <w:rPr>
                <w:rFonts w:ascii="Arial" w:cs="Arial" w:eastAsia="Arial" w:hAnsi="Arial"/>
                <w:sz w:val="14"/>
                <w:szCs w:val="14"/>
                <w:b w:val="1"/>
                <w:bCs w:val="1"/>
                <w:color w:val="auto"/>
              </w:rPr>
              <w:t>NEOs</w:t>
            </w:r>
            <w:r>
              <w:rPr>
                <w:rFonts w:ascii="Arial" w:cs="Arial" w:eastAsia="Arial" w:hAnsi="Arial"/>
                <w:sz w:val="18"/>
                <w:szCs w:val="18"/>
                <w:b w:val="1"/>
                <w:bCs w:val="1"/>
                <w:color w:val="auto"/>
                <w:vertAlign w:val="superscript"/>
              </w:rPr>
              <w:t>(3)</w:t>
            </w:r>
          </w:p>
        </w:tc>
        <w:tc>
          <w:tcPr>
            <w:tcW w:w="1200" w:type="dxa"/>
            <w:vAlign w:val="bottom"/>
          </w:tcPr>
          <w:p>
            <w:pPr>
              <w:jc w:val="right"/>
              <w:spacing w:after="0" w:line="176" w:lineRule="exact"/>
              <w:rPr>
                <w:sz w:val="20"/>
                <w:szCs w:val="20"/>
                <w:color w:val="auto"/>
              </w:rPr>
            </w:pPr>
            <w:r>
              <w:rPr>
                <w:rFonts w:ascii="Arial" w:cs="Arial" w:eastAsia="Arial" w:hAnsi="Arial"/>
                <w:sz w:val="14"/>
                <w:szCs w:val="14"/>
                <w:b w:val="1"/>
                <w:bCs w:val="1"/>
                <w:color w:val="auto"/>
              </w:rPr>
              <w:t>NEOs</w:t>
            </w:r>
            <w:r>
              <w:rPr>
                <w:rFonts w:ascii="Arial" w:cs="Arial" w:eastAsia="Arial" w:hAnsi="Arial"/>
                <w:sz w:val="18"/>
                <w:szCs w:val="18"/>
                <w:b w:val="1"/>
                <w:bCs w:val="1"/>
                <w:color w:val="auto"/>
                <w:vertAlign w:val="superscript"/>
              </w:rPr>
              <w:t>(4)</w:t>
            </w:r>
          </w:p>
        </w:tc>
        <w:tc>
          <w:tcPr>
            <w:tcW w:w="1020" w:type="dxa"/>
            <w:vAlign w:val="bottom"/>
          </w:tcPr>
          <w:p>
            <w:pPr>
              <w:jc w:val="right"/>
              <w:ind w:right="8"/>
              <w:spacing w:after="0" w:line="176" w:lineRule="exact"/>
              <w:rPr>
                <w:sz w:val="20"/>
                <w:szCs w:val="20"/>
                <w:color w:val="auto"/>
              </w:rPr>
            </w:pPr>
            <w:r>
              <w:rPr>
                <w:rFonts w:ascii="Arial" w:cs="Arial" w:eastAsia="Arial" w:hAnsi="Arial"/>
                <w:sz w:val="14"/>
                <w:szCs w:val="14"/>
                <w:b w:val="1"/>
                <w:bCs w:val="1"/>
                <w:color w:val="auto"/>
              </w:rPr>
              <w:t>Return</w:t>
            </w:r>
            <w:r>
              <w:rPr>
                <w:rFonts w:ascii="Arial" w:cs="Arial" w:eastAsia="Arial" w:hAnsi="Arial"/>
                <w:sz w:val="18"/>
                <w:szCs w:val="18"/>
                <w:b w:val="1"/>
                <w:bCs w:val="1"/>
                <w:color w:val="auto"/>
                <w:vertAlign w:val="superscript"/>
              </w:rPr>
              <w:t>(5)</w:t>
            </w:r>
          </w:p>
        </w:tc>
        <w:tc>
          <w:tcPr>
            <w:tcW w:w="960" w:type="dxa"/>
            <w:vAlign w:val="bottom"/>
          </w:tcPr>
          <w:p>
            <w:pPr>
              <w:jc w:val="right"/>
              <w:spacing w:after="0" w:line="176" w:lineRule="exact"/>
              <w:rPr>
                <w:sz w:val="20"/>
                <w:szCs w:val="20"/>
                <w:color w:val="auto"/>
              </w:rPr>
            </w:pPr>
            <w:r>
              <w:rPr>
                <w:rFonts w:ascii="Arial" w:cs="Arial" w:eastAsia="Arial" w:hAnsi="Arial"/>
                <w:sz w:val="14"/>
                <w:szCs w:val="14"/>
                <w:b w:val="1"/>
                <w:bCs w:val="1"/>
                <w:color w:val="auto"/>
              </w:rPr>
              <w:t>Return</w:t>
            </w:r>
            <w:r>
              <w:rPr>
                <w:rFonts w:ascii="Arial" w:cs="Arial" w:eastAsia="Arial" w:hAnsi="Arial"/>
                <w:sz w:val="18"/>
                <w:szCs w:val="18"/>
                <w:b w:val="1"/>
                <w:bCs w:val="1"/>
                <w:color w:val="auto"/>
                <w:vertAlign w:val="superscript"/>
              </w:rPr>
              <w:t>(6)</w:t>
            </w:r>
          </w:p>
        </w:tc>
        <w:tc>
          <w:tcPr>
            <w:tcW w:w="760" w:type="dxa"/>
            <w:vAlign w:val="bottom"/>
          </w:tcPr>
          <w:p>
            <w:pPr>
              <w:jc w:val="right"/>
              <w:ind w:right="28"/>
              <w:spacing w:after="0" w:line="176" w:lineRule="exact"/>
              <w:rPr>
                <w:sz w:val="20"/>
                <w:szCs w:val="20"/>
                <w:color w:val="auto"/>
              </w:rPr>
            </w:pPr>
            <w:r>
              <w:rPr>
                <w:rFonts w:ascii="Arial" w:cs="Arial" w:eastAsia="Arial" w:hAnsi="Arial"/>
                <w:sz w:val="14"/>
                <w:szCs w:val="14"/>
                <w:b w:val="1"/>
                <w:bCs w:val="1"/>
                <w:color w:val="auto"/>
              </w:rPr>
              <w:t>Income</w:t>
            </w:r>
            <w:r>
              <w:rPr>
                <w:rFonts w:ascii="Arial" w:cs="Arial" w:eastAsia="Arial" w:hAnsi="Arial"/>
                <w:sz w:val="18"/>
                <w:szCs w:val="18"/>
                <w:b w:val="1"/>
                <w:bCs w:val="1"/>
                <w:color w:val="auto"/>
                <w:vertAlign w:val="superscript"/>
              </w:rPr>
              <w:t>(7)</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Gross Profit</w:t>
            </w:r>
          </w:p>
        </w:tc>
      </w:tr>
      <w:tr>
        <w:trPr>
          <w:trHeight w:val="194"/>
        </w:trPr>
        <w:tc>
          <w:tcPr>
            <w:tcW w:w="540" w:type="dxa"/>
            <w:vAlign w:val="bottom"/>
            <w:tcBorders>
              <w:bottom w:val="single" w:sz="8" w:color="5A095E"/>
            </w:tcBorders>
          </w:tcPr>
          <w:p>
            <w:pPr>
              <w:ind w:left="60"/>
              <w:spacing w:after="0"/>
              <w:rPr>
                <w:sz w:val="20"/>
                <w:szCs w:val="20"/>
                <w:color w:val="auto"/>
              </w:rPr>
            </w:pPr>
            <w:r>
              <w:rPr>
                <w:rFonts w:ascii="Arial" w:cs="Arial" w:eastAsia="Arial" w:hAnsi="Arial"/>
                <w:sz w:val="14"/>
                <w:szCs w:val="14"/>
                <w:b w:val="1"/>
                <w:bCs w:val="1"/>
                <w:color w:val="auto"/>
              </w:rPr>
              <w:t>Year</w:t>
            </w:r>
          </w:p>
        </w:tc>
        <w:tc>
          <w:tcPr>
            <w:tcW w:w="1200" w:type="dxa"/>
            <w:vAlign w:val="bottom"/>
            <w:tcBorders>
              <w:bottom w:val="single" w:sz="8" w:color="5A095E"/>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5A095E"/>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5A095E"/>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5A095E"/>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5A095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5A095E"/>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5A095E"/>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5A095E"/>
            </w:tcBorders>
          </w:tcPr>
          <w:p>
            <w:pPr>
              <w:jc w:val="right"/>
              <w:spacing w:after="0" w:line="188" w:lineRule="exact"/>
              <w:rPr>
                <w:sz w:val="20"/>
                <w:szCs w:val="20"/>
                <w:color w:val="auto"/>
              </w:rPr>
            </w:pPr>
            <w:r>
              <w:rPr>
                <w:rFonts w:ascii="Arial" w:cs="Arial" w:eastAsia="Arial" w:hAnsi="Arial"/>
                <w:sz w:val="14"/>
                <w:szCs w:val="14"/>
                <w:b w:val="1"/>
                <w:bCs w:val="1"/>
                <w:color w:val="auto"/>
              </w:rPr>
              <w:t>Growth</w:t>
            </w:r>
            <w:r>
              <w:rPr>
                <w:rFonts w:ascii="Arial" w:cs="Arial" w:eastAsia="Arial" w:hAnsi="Arial"/>
                <w:sz w:val="18"/>
                <w:szCs w:val="18"/>
                <w:b w:val="1"/>
                <w:bCs w:val="1"/>
                <w:color w:val="auto"/>
                <w:vertAlign w:val="superscript"/>
              </w:rPr>
              <w:t>(8)</w:t>
            </w:r>
          </w:p>
        </w:tc>
      </w:tr>
      <w:tr>
        <w:trPr>
          <w:trHeight w:val="215"/>
        </w:trPr>
        <w:tc>
          <w:tcPr>
            <w:tcW w:w="54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2025</w:t>
            </w:r>
          </w:p>
        </w:tc>
        <w:tc>
          <w:tcPr>
            <w:tcW w:w="1200" w:type="dxa"/>
            <w:vAlign w:val="bottom"/>
            <w:tcBorders>
              <w:bottom w:val="single" w:sz="8" w:color="582C83"/>
            </w:tcBorders>
            <w:shd w:val="clear" w:color="auto" w:fill="E0DBEA"/>
          </w:tcPr>
          <w:p>
            <w:pPr>
              <w:ind w:left="420"/>
              <w:spacing w:after="0"/>
              <w:rPr>
                <w:sz w:val="20"/>
                <w:szCs w:val="20"/>
                <w:color w:val="auto"/>
              </w:rPr>
            </w:pPr>
            <w:r>
              <w:rPr>
                <w:rFonts w:ascii="Arial" w:cs="Arial" w:eastAsia="Arial" w:hAnsi="Arial"/>
                <w:sz w:val="14"/>
                <w:szCs w:val="14"/>
                <w:color w:val="auto"/>
              </w:rPr>
              <w:t>24,516,114</w:t>
            </w:r>
          </w:p>
        </w:tc>
        <w:tc>
          <w:tcPr>
            <w:tcW w:w="1240" w:type="dxa"/>
            <w:vAlign w:val="bottom"/>
            <w:tcBorders>
              <w:bottom w:val="single" w:sz="8" w:color="582C83"/>
            </w:tcBorders>
            <w:shd w:val="clear" w:color="auto" w:fill="E0DBEA"/>
          </w:tcPr>
          <w:p>
            <w:pPr>
              <w:jc w:val="right"/>
              <w:ind w:right="48"/>
              <w:spacing w:after="0"/>
              <w:rPr>
                <w:sz w:val="20"/>
                <w:szCs w:val="20"/>
                <w:color w:val="auto"/>
              </w:rPr>
            </w:pPr>
            <w:r>
              <w:rPr>
                <w:rFonts w:ascii="Arial" w:cs="Arial" w:eastAsia="Arial" w:hAnsi="Arial"/>
                <w:sz w:val="14"/>
                <w:szCs w:val="14"/>
                <w:color w:val="auto"/>
              </w:rPr>
              <w:t>8,052,850</w:t>
            </w:r>
          </w:p>
        </w:tc>
        <w:tc>
          <w:tcPr>
            <w:tcW w:w="1140" w:type="dxa"/>
            <w:vAlign w:val="bottom"/>
            <w:tcBorders>
              <w:bottom w:val="single" w:sz="8" w:color="582C83"/>
            </w:tcBorders>
            <w:shd w:val="clear" w:color="auto" w:fill="E0DBEA"/>
          </w:tcPr>
          <w:p>
            <w:pPr>
              <w:jc w:val="center"/>
              <w:ind w:left="268"/>
              <w:spacing w:after="0"/>
              <w:rPr>
                <w:sz w:val="20"/>
                <w:szCs w:val="20"/>
                <w:color w:val="auto"/>
              </w:rPr>
            </w:pPr>
            <w:r>
              <w:rPr>
                <w:rFonts w:ascii="Arial" w:cs="Arial" w:eastAsia="Arial" w:hAnsi="Arial"/>
                <w:sz w:val="14"/>
                <w:szCs w:val="14"/>
                <w:color w:val="auto"/>
              </w:rPr>
              <w:t>7,220,779</w:t>
            </w:r>
          </w:p>
        </w:tc>
        <w:tc>
          <w:tcPr>
            <w:tcW w:w="120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3,305,719</w:t>
            </w:r>
          </w:p>
        </w:tc>
        <w:tc>
          <w:tcPr>
            <w:tcW w:w="1020" w:type="dxa"/>
            <w:vAlign w:val="bottom"/>
            <w:tcBorders>
              <w:bottom w:val="single" w:sz="8" w:color="582C83"/>
            </w:tcBorders>
            <w:shd w:val="clear" w:color="auto" w:fill="E0DBEA"/>
          </w:tcPr>
          <w:p>
            <w:pPr>
              <w:ind w:left="500"/>
              <w:spacing w:after="0"/>
              <w:rPr>
                <w:sz w:val="20"/>
                <w:szCs w:val="20"/>
                <w:color w:val="auto"/>
              </w:rPr>
            </w:pPr>
            <w:r>
              <w:rPr>
                <w:rFonts w:ascii="Arial" w:cs="Arial" w:eastAsia="Arial" w:hAnsi="Arial"/>
                <w:sz w:val="14"/>
                <w:szCs w:val="14"/>
                <w:color w:val="auto"/>
              </w:rPr>
              <w:t>104.41</w:t>
            </w:r>
          </w:p>
        </w:tc>
        <w:tc>
          <w:tcPr>
            <w:tcW w:w="960" w:type="dxa"/>
            <w:vAlign w:val="bottom"/>
            <w:tcBorders>
              <w:bottom w:val="single" w:sz="8" w:color="582C83"/>
            </w:tcBorders>
            <w:shd w:val="clear" w:color="auto" w:fill="E0DBEA"/>
          </w:tcPr>
          <w:p>
            <w:pPr>
              <w:ind w:left="460"/>
              <w:spacing w:after="0"/>
              <w:rPr>
                <w:sz w:val="20"/>
                <w:szCs w:val="20"/>
                <w:color w:val="auto"/>
              </w:rPr>
            </w:pPr>
            <w:r>
              <w:rPr>
                <w:rFonts w:ascii="Arial" w:cs="Arial" w:eastAsia="Arial" w:hAnsi="Arial"/>
                <w:sz w:val="14"/>
                <w:szCs w:val="14"/>
                <w:color w:val="auto"/>
              </w:rPr>
              <w:t>115.32</w:t>
            </w:r>
          </w:p>
        </w:tc>
        <w:tc>
          <w:tcPr>
            <w:tcW w:w="760" w:type="dxa"/>
            <w:vAlign w:val="bottom"/>
            <w:tcBorders>
              <w:bottom w:val="single" w:sz="8" w:color="582C83"/>
            </w:tcBorders>
            <w:shd w:val="clear" w:color="auto" w:fill="E0DBEA"/>
          </w:tcPr>
          <w:p>
            <w:pPr>
              <w:jc w:val="right"/>
              <w:ind w:right="28"/>
              <w:spacing w:after="0"/>
              <w:rPr>
                <w:sz w:val="20"/>
                <w:szCs w:val="20"/>
                <w:color w:val="auto"/>
              </w:rPr>
            </w:pPr>
            <w:r>
              <w:rPr>
                <w:rFonts w:ascii="Arial" w:cs="Arial" w:eastAsia="Arial" w:hAnsi="Arial"/>
                <w:sz w:val="14"/>
                <w:szCs w:val="14"/>
                <w:color w:val="auto"/>
              </w:rPr>
              <w:t>2,466</w:t>
            </w:r>
          </w:p>
        </w:tc>
        <w:tc>
          <w:tcPr>
            <w:tcW w:w="98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(11.4)%</w:t>
            </w:r>
          </w:p>
        </w:tc>
      </w:tr>
      <w:tr>
        <w:trPr>
          <w:trHeight w:val="210"/>
        </w:trPr>
        <w:tc>
          <w:tcPr>
            <w:tcW w:w="54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2024</w:t>
            </w:r>
          </w:p>
        </w:tc>
        <w:tc>
          <w:tcPr>
            <w:tcW w:w="1200" w:type="dxa"/>
            <w:vAlign w:val="bottom"/>
            <w:tcBorders>
              <w:bottom w:val="single" w:sz="8" w:color="582C83"/>
            </w:tcBorders>
          </w:tcPr>
          <w:p>
            <w:pPr>
              <w:ind w:left="420"/>
              <w:spacing w:after="0"/>
              <w:rPr>
                <w:sz w:val="20"/>
                <w:szCs w:val="20"/>
                <w:color w:val="auto"/>
              </w:rPr>
            </w:pPr>
            <w:r>
              <w:rPr>
                <w:rFonts w:ascii="Arial" w:cs="Arial" w:eastAsia="Arial" w:hAnsi="Arial"/>
                <w:sz w:val="14"/>
                <w:szCs w:val="14"/>
                <w:color w:val="auto"/>
              </w:rPr>
              <w:t>22,304,723</w:t>
            </w:r>
          </w:p>
        </w:tc>
        <w:tc>
          <w:tcPr>
            <w:tcW w:w="124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(4,104,612)</w:t>
            </w:r>
          </w:p>
        </w:tc>
        <w:tc>
          <w:tcPr>
            <w:tcW w:w="1140" w:type="dxa"/>
            <w:vAlign w:val="bottom"/>
            <w:tcBorders>
              <w:bottom w:val="single" w:sz="8" w:color="582C83"/>
            </w:tcBorders>
          </w:tcPr>
          <w:p>
            <w:pPr>
              <w:jc w:val="center"/>
              <w:ind w:left="268"/>
              <w:spacing w:after="0"/>
              <w:rPr>
                <w:sz w:val="20"/>
                <w:szCs w:val="20"/>
                <w:color w:val="auto"/>
              </w:rPr>
            </w:pPr>
            <w:r>
              <w:rPr>
                <w:rFonts w:ascii="Arial" w:cs="Arial" w:eastAsia="Arial" w:hAnsi="Arial"/>
                <w:sz w:val="14"/>
                <w:szCs w:val="14"/>
                <w:color w:val="auto"/>
              </w:rPr>
              <w:t>6,137,745</w:t>
            </w:r>
          </w:p>
        </w:tc>
        <w:tc>
          <w:tcPr>
            <w:tcW w:w="120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629,530</w:t>
            </w:r>
          </w:p>
        </w:tc>
        <w:tc>
          <w:tcPr>
            <w:tcW w:w="1020" w:type="dxa"/>
            <w:vAlign w:val="bottom"/>
            <w:tcBorders>
              <w:bottom w:val="single" w:sz="8" w:color="582C83"/>
            </w:tcBorders>
          </w:tcPr>
          <w:p>
            <w:pPr>
              <w:ind w:left="500"/>
              <w:spacing w:after="0"/>
              <w:rPr>
                <w:sz w:val="20"/>
                <w:szCs w:val="20"/>
                <w:color w:val="auto"/>
              </w:rPr>
            </w:pPr>
            <w:r>
              <w:rPr>
                <w:rFonts w:ascii="Arial" w:cs="Arial" w:eastAsia="Arial" w:hAnsi="Arial"/>
                <w:sz w:val="14"/>
                <w:szCs w:val="14"/>
                <w:color w:val="auto"/>
              </w:rPr>
              <w:t>112.30</w:t>
            </w:r>
          </w:p>
        </w:tc>
        <w:tc>
          <w:tcPr>
            <w:tcW w:w="960" w:type="dxa"/>
            <w:vAlign w:val="bottom"/>
            <w:tcBorders>
              <w:bottom w:val="single" w:sz="8" w:color="582C83"/>
            </w:tcBorders>
          </w:tcPr>
          <w:p>
            <w:pPr>
              <w:ind w:left="460"/>
              <w:spacing w:after="0"/>
              <w:rPr>
                <w:sz w:val="20"/>
                <w:szCs w:val="20"/>
                <w:color w:val="auto"/>
              </w:rPr>
            </w:pPr>
            <w:r>
              <w:rPr>
                <w:rFonts w:ascii="Arial" w:cs="Arial" w:eastAsia="Arial" w:hAnsi="Arial"/>
                <w:sz w:val="14"/>
                <w:szCs w:val="14"/>
                <w:color w:val="auto"/>
              </w:rPr>
              <w:t>111.97</w:t>
            </w:r>
          </w:p>
        </w:tc>
        <w:tc>
          <w:tcPr>
            <w:tcW w:w="760" w:type="dxa"/>
            <w:vAlign w:val="bottom"/>
            <w:tcBorders>
              <w:bottom w:val="single" w:sz="8" w:color="582C83"/>
            </w:tcBorders>
          </w:tcPr>
          <w:p>
            <w:pPr>
              <w:jc w:val="right"/>
              <w:ind w:right="28"/>
              <w:spacing w:after="0"/>
              <w:rPr>
                <w:sz w:val="20"/>
                <w:szCs w:val="20"/>
                <w:color w:val="auto"/>
              </w:rPr>
            </w:pPr>
            <w:r>
              <w:rPr>
                <w:rFonts w:ascii="Arial" w:cs="Arial" w:eastAsia="Arial" w:hAnsi="Arial"/>
                <w:sz w:val="14"/>
                <w:szCs w:val="14"/>
                <w:color w:val="auto"/>
              </w:rPr>
              <w:t>4,623</w:t>
            </w:r>
          </w:p>
        </w:tc>
        <w:tc>
          <w:tcPr>
            <w:tcW w:w="98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5.1%</w:t>
            </w:r>
          </w:p>
        </w:tc>
      </w:tr>
      <w:tr>
        <w:trPr>
          <w:trHeight w:val="209"/>
        </w:trPr>
        <w:tc>
          <w:tcPr>
            <w:tcW w:w="54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2023</w:t>
            </w:r>
          </w:p>
        </w:tc>
        <w:tc>
          <w:tcPr>
            <w:tcW w:w="1200" w:type="dxa"/>
            <w:vAlign w:val="bottom"/>
            <w:tcBorders>
              <w:bottom w:val="single" w:sz="8" w:color="582C83"/>
            </w:tcBorders>
            <w:shd w:val="clear" w:color="auto" w:fill="E0DBEA"/>
          </w:tcPr>
          <w:p>
            <w:pPr>
              <w:ind w:left="420"/>
              <w:spacing w:after="0"/>
              <w:rPr>
                <w:sz w:val="20"/>
                <w:szCs w:val="20"/>
                <w:color w:val="auto"/>
              </w:rPr>
            </w:pPr>
            <w:r>
              <w:rPr>
                <w:rFonts w:ascii="Arial" w:cs="Arial" w:eastAsia="Arial" w:hAnsi="Arial"/>
                <w:sz w:val="14"/>
                <w:szCs w:val="14"/>
                <w:color w:val="auto"/>
              </w:rPr>
              <w:t>21,018,175</w:t>
            </w:r>
          </w:p>
        </w:tc>
        <w:tc>
          <w:tcPr>
            <w:tcW w:w="1240" w:type="dxa"/>
            <w:vAlign w:val="bottom"/>
            <w:tcBorders>
              <w:bottom w:val="single" w:sz="8" w:color="582C83"/>
            </w:tcBorders>
            <w:shd w:val="clear" w:color="auto" w:fill="E0DBEA"/>
          </w:tcPr>
          <w:p>
            <w:pPr>
              <w:jc w:val="right"/>
              <w:ind w:right="48"/>
              <w:spacing w:after="0"/>
              <w:rPr>
                <w:sz w:val="20"/>
                <w:szCs w:val="20"/>
                <w:color w:val="auto"/>
              </w:rPr>
            </w:pPr>
            <w:r>
              <w:rPr>
                <w:rFonts w:ascii="Arial" w:cs="Arial" w:eastAsia="Arial" w:hAnsi="Arial"/>
                <w:sz w:val="14"/>
                <w:szCs w:val="14"/>
                <w:color w:val="auto"/>
              </w:rPr>
              <w:t>49,732,942</w:t>
            </w:r>
          </w:p>
        </w:tc>
        <w:tc>
          <w:tcPr>
            <w:tcW w:w="1140" w:type="dxa"/>
            <w:vAlign w:val="bottom"/>
            <w:tcBorders>
              <w:bottom w:val="single" w:sz="8" w:color="582C83"/>
            </w:tcBorders>
            <w:shd w:val="clear" w:color="auto" w:fill="E0DBEA"/>
          </w:tcPr>
          <w:p>
            <w:pPr>
              <w:jc w:val="center"/>
              <w:ind w:left="268"/>
              <w:spacing w:after="0"/>
              <w:rPr>
                <w:sz w:val="20"/>
                <w:szCs w:val="20"/>
                <w:color w:val="auto"/>
              </w:rPr>
            </w:pPr>
            <w:r>
              <w:rPr>
                <w:rFonts w:ascii="Arial" w:cs="Arial" w:eastAsia="Arial" w:hAnsi="Arial"/>
                <w:sz w:val="14"/>
                <w:szCs w:val="14"/>
                <w:color w:val="auto"/>
              </w:rPr>
              <w:t>7,057,749</w:t>
            </w:r>
          </w:p>
        </w:tc>
        <w:tc>
          <w:tcPr>
            <w:tcW w:w="120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11,428,845</w:t>
            </w:r>
          </w:p>
        </w:tc>
        <w:tc>
          <w:tcPr>
            <w:tcW w:w="1020" w:type="dxa"/>
            <w:vAlign w:val="bottom"/>
            <w:tcBorders>
              <w:bottom w:val="single" w:sz="8" w:color="582C83"/>
            </w:tcBorders>
            <w:shd w:val="clear" w:color="auto" w:fill="E0DBEA"/>
          </w:tcPr>
          <w:p>
            <w:pPr>
              <w:ind w:left="500"/>
              <w:spacing w:after="0"/>
              <w:rPr>
                <w:sz w:val="20"/>
                <w:szCs w:val="20"/>
                <w:color w:val="auto"/>
              </w:rPr>
            </w:pPr>
            <w:r>
              <w:rPr>
                <w:rFonts w:ascii="Arial" w:cs="Arial" w:eastAsia="Arial" w:hAnsi="Arial"/>
                <w:sz w:val="14"/>
                <w:szCs w:val="14"/>
                <w:color w:val="auto"/>
              </w:rPr>
              <w:t>132.58</w:t>
            </w:r>
          </w:p>
        </w:tc>
        <w:tc>
          <w:tcPr>
            <w:tcW w:w="960" w:type="dxa"/>
            <w:vAlign w:val="bottom"/>
            <w:tcBorders>
              <w:bottom w:val="single" w:sz="8" w:color="582C83"/>
            </w:tcBorders>
            <w:shd w:val="clear" w:color="auto" w:fill="E0DBEA"/>
          </w:tcPr>
          <w:p>
            <w:pPr>
              <w:ind w:left="460"/>
              <w:spacing w:after="0"/>
              <w:rPr>
                <w:sz w:val="20"/>
                <w:szCs w:val="20"/>
                <w:color w:val="auto"/>
              </w:rPr>
            </w:pPr>
            <w:r>
              <w:rPr>
                <w:rFonts w:ascii="Arial" w:cs="Arial" w:eastAsia="Arial" w:hAnsi="Arial"/>
                <w:sz w:val="14"/>
                <w:szCs w:val="14"/>
                <w:color w:val="auto"/>
              </w:rPr>
              <w:t>111.01</w:t>
            </w:r>
          </w:p>
        </w:tc>
        <w:tc>
          <w:tcPr>
            <w:tcW w:w="760" w:type="dxa"/>
            <w:vAlign w:val="bottom"/>
            <w:tcBorders>
              <w:bottom w:val="single" w:sz="8" w:color="582C83"/>
            </w:tcBorders>
            <w:shd w:val="clear" w:color="auto" w:fill="E0DBEA"/>
          </w:tcPr>
          <w:p>
            <w:pPr>
              <w:jc w:val="right"/>
              <w:ind w:right="28"/>
              <w:spacing w:after="0"/>
              <w:rPr>
                <w:sz w:val="20"/>
                <w:szCs w:val="20"/>
                <w:color w:val="auto"/>
              </w:rPr>
            </w:pPr>
            <w:r>
              <w:rPr>
                <w:rFonts w:ascii="Arial" w:cs="Arial" w:eastAsia="Arial" w:hAnsi="Arial"/>
                <w:sz w:val="14"/>
                <w:szCs w:val="14"/>
                <w:color w:val="auto"/>
              </w:rPr>
              <w:t>4,968</w:t>
            </w:r>
          </w:p>
        </w:tc>
        <w:tc>
          <w:tcPr>
            <w:tcW w:w="98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18.8%</w:t>
            </w:r>
          </w:p>
        </w:tc>
      </w:tr>
      <w:tr>
        <w:trPr>
          <w:trHeight w:val="209"/>
        </w:trPr>
        <w:tc>
          <w:tcPr>
            <w:tcW w:w="54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2022</w:t>
            </w:r>
          </w:p>
        </w:tc>
        <w:tc>
          <w:tcPr>
            <w:tcW w:w="1200" w:type="dxa"/>
            <w:vAlign w:val="bottom"/>
            <w:tcBorders>
              <w:bottom w:val="single" w:sz="8" w:color="582C83"/>
            </w:tcBorders>
          </w:tcPr>
          <w:p>
            <w:pPr>
              <w:ind w:left="420"/>
              <w:spacing w:after="0"/>
              <w:rPr>
                <w:sz w:val="20"/>
                <w:szCs w:val="20"/>
                <w:color w:val="auto"/>
              </w:rPr>
            </w:pPr>
            <w:r>
              <w:rPr>
                <w:rFonts w:ascii="Arial" w:cs="Arial" w:eastAsia="Arial" w:hAnsi="Arial"/>
                <w:sz w:val="14"/>
                <w:szCs w:val="14"/>
                <w:color w:val="auto"/>
              </w:rPr>
              <w:t>17,925,677</w:t>
            </w:r>
          </w:p>
        </w:tc>
        <w:tc>
          <w:tcPr>
            <w:tcW w:w="1240" w:type="dxa"/>
            <w:vAlign w:val="bottom"/>
            <w:tcBorders>
              <w:bottom w:val="single" w:sz="8" w:color="582C83"/>
            </w:tcBorders>
          </w:tcPr>
          <w:p>
            <w:pPr>
              <w:jc w:val="right"/>
              <w:ind w:right="48"/>
              <w:spacing w:after="0"/>
              <w:rPr>
                <w:sz w:val="20"/>
                <w:szCs w:val="20"/>
                <w:color w:val="auto"/>
              </w:rPr>
            </w:pPr>
            <w:r>
              <w:rPr>
                <w:rFonts w:ascii="Arial" w:cs="Arial" w:eastAsia="Arial" w:hAnsi="Arial"/>
                <w:sz w:val="14"/>
                <w:szCs w:val="14"/>
                <w:color w:val="auto"/>
              </w:rPr>
              <w:t>27,017,315</w:t>
            </w:r>
          </w:p>
        </w:tc>
        <w:tc>
          <w:tcPr>
            <w:tcW w:w="1140" w:type="dxa"/>
            <w:vAlign w:val="bottom"/>
            <w:tcBorders>
              <w:bottom w:val="single" w:sz="8" w:color="582C83"/>
            </w:tcBorders>
          </w:tcPr>
          <w:p>
            <w:pPr>
              <w:jc w:val="center"/>
              <w:ind w:left="268"/>
              <w:spacing w:after="0"/>
              <w:rPr>
                <w:sz w:val="20"/>
                <w:szCs w:val="20"/>
                <w:color w:val="auto"/>
              </w:rPr>
            </w:pPr>
            <w:r>
              <w:rPr>
                <w:rFonts w:ascii="Arial" w:cs="Arial" w:eastAsia="Arial" w:hAnsi="Arial"/>
                <w:sz w:val="14"/>
                <w:szCs w:val="14"/>
                <w:color w:val="auto"/>
              </w:rPr>
              <w:t>4,833,472</w:t>
            </w:r>
          </w:p>
        </w:tc>
        <w:tc>
          <w:tcPr>
            <w:tcW w:w="120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6,838,394</w:t>
            </w:r>
          </w:p>
        </w:tc>
        <w:tc>
          <w:tcPr>
            <w:tcW w:w="1020" w:type="dxa"/>
            <w:vAlign w:val="bottom"/>
            <w:tcBorders>
              <w:bottom w:val="single" w:sz="8" w:color="582C83"/>
            </w:tcBorders>
          </w:tcPr>
          <w:p>
            <w:pPr>
              <w:ind w:left="500"/>
              <w:spacing w:after="0"/>
              <w:rPr>
                <w:sz w:val="20"/>
                <w:szCs w:val="20"/>
                <w:color w:val="auto"/>
              </w:rPr>
            </w:pPr>
            <w:r>
              <w:rPr>
                <w:rFonts w:ascii="Arial" w:cs="Arial" w:eastAsia="Arial" w:hAnsi="Arial"/>
                <w:sz w:val="14"/>
                <w:szCs w:val="14"/>
                <w:color w:val="auto"/>
              </w:rPr>
              <w:t>119.26</w:t>
            </w:r>
          </w:p>
        </w:tc>
        <w:tc>
          <w:tcPr>
            <w:tcW w:w="960" w:type="dxa"/>
            <w:vAlign w:val="bottom"/>
            <w:tcBorders>
              <w:bottom w:val="single" w:sz="8" w:color="582C83"/>
            </w:tcBorders>
          </w:tcPr>
          <w:p>
            <w:pPr>
              <w:ind w:left="460"/>
              <w:spacing w:after="0"/>
              <w:rPr>
                <w:sz w:val="20"/>
                <w:szCs w:val="20"/>
                <w:color w:val="auto"/>
              </w:rPr>
            </w:pPr>
            <w:r>
              <w:rPr>
                <w:rFonts w:ascii="Arial" w:cs="Arial" w:eastAsia="Arial" w:hAnsi="Arial"/>
                <w:sz w:val="14"/>
                <w:szCs w:val="14"/>
                <w:color w:val="auto"/>
              </w:rPr>
              <w:t>113.09</w:t>
            </w:r>
          </w:p>
        </w:tc>
        <w:tc>
          <w:tcPr>
            <w:tcW w:w="760" w:type="dxa"/>
            <w:vAlign w:val="bottom"/>
            <w:tcBorders>
              <w:bottom w:val="single" w:sz="8" w:color="582C83"/>
            </w:tcBorders>
          </w:tcPr>
          <w:p>
            <w:pPr>
              <w:jc w:val="right"/>
              <w:ind w:right="28"/>
              <w:spacing w:after="0"/>
              <w:rPr>
                <w:sz w:val="20"/>
                <w:szCs w:val="20"/>
                <w:color w:val="auto"/>
              </w:rPr>
            </w:pPr>
            <w:r>
              <w:rPr>
                <w:rFonts w:ascii="Arial" w:cs="Arial" w:eastAsia="Arial" w:hAnsi="Arial"/>
                <w:sz w:val="14"/>
                <w:szCs w:val="14"/>
                <w:color w:val="auto"/>
              </w:rPr>
              <w:t>2,726</w:t>
            </w:r>
          </w:p>
        </w:tc>
        <w:tc>
          <w:tcPr>
            <w:tcW w:w="98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12.3%</w:t>
            </w:r>
          </w:p>
        </w:tc>
      </w:tr>
      <w:tr>
        <w:trPr>
          <w:trHeight w:val="209"/>
        </w:trPr>
        <w:tc>
          <w:tcPr>
            <w:tcW w:w="54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2021</w:t>
            </w:r>
          </w:p>
        </w:tc>
        <w:tc>
          <w:tcPr>
            <w:tcW w:w="1200" w:type="dxa"/>
            <w:vAlign w:val="bottom"/>
            <w:tcBorders>
              <w:bottom w:val="single" w:sz="8" w:color="582C83"/>
            </w:tcBorders>
            <w:shd w:val="clear" w:color="auto" w:fill="E0DBEA"/>
          </w:tcPr>
          <w:p>
            <w:pPr>
              <w:ind w:left="420"/>
              <w:spacing w:after="0"/>
              <w:rPr>
                <w:sz w:val="20"/>
                <w:szCs w:val="20"/>
                <w:color w:val="auto"/>
              </w:rPr>
            </w:pPr>
            <w:r>
              <w:rPr>
                <w:rFonts w:ascii="Arial" w:cs="Arial" w:eastAsia="Arial" w:hAnsi="Arial"/>
                <w:sz w:val="14"/>
                <w:szCs w:val="14"/>
                <w:color w:val="auto"/>
              </w:rPr>
              <w:t>16,128,320</w:t>
            </w:r>
          </w:p>
        </w:tc>
        <w:tc>
          <w:tcPr>
            <w:tcW w:w="1240" w:type="dxa"/>
            <w:vAlign w:val="bottom"/>
            <w:tcBorders>
              <w:bottom w:val="single" w:sz="8" w:color="582C83"/>
            </w:tcBorders>
            <w:shd w:val="clear" w:color="auto" w:fill="E0DBEA"/>
          </w:tcPr>
          <w:p>
            <w:pPr>
              <w:jc w:val="right"/>
              <w:ind w:right="48"/>
              <w:spacing w:after="0"/>
              <w:rPr>
                <w:sz w:val="20"/>
                <w:szCs w:val="20"/>
                <w:color w:val="auto"/>
              </w:rPr>
            </w:pPr>
            <w:r>
              <w:rPr>
                <w:rFonts w:ascii="Arial" w:cs="Arial" w:eastAsia="Arial" w:hAnsi="Arial"/>
                <w:sz w:val="14"/>
                <w:szCs w:val="14"/>
                <w:color w:val="auto"/>
              </w:rPr>
              <w:t>26,845,406</w:t>
            </w:r>
          </w:p>
        </w:tc>
        <w:tc>
          <w:tcPr>
            <w:tcW w:w="1140" w:type="dxa"/>
            <w:vAlign w:val="bottom"/>
            <w:tcBorders>
              <w:bottom w:val="single" w:sz="8" w:color="582C83"/>
            </w:tcBorders>
            <w:shd w:val="clear" w:color="auto" w:fill="E0DBEA"/>
          </w:tcPr>
          <w:p>
            <w:pPr>
              <w:jc w:val="center"/>
              <w:ind w:left="268"/>
              <w:spacing w:after="0"/>
              <w:rPr>
                <w:sz w:val="20"/>
                <w:szCs w:val="20"/>
                <w:color w:val="auto"/>
              </w:rPr>
            </w:pPr>
            <w:r>
              <w:rPr>
                <w:rFonts w:ascii="Arial" w:cs="Arial" w:eastAsia="Arial" w:hAnsi="Arial"/>
                <w:sz w:val="14"/>
                <w:szCs w:val="14"/>
                <w:color w:val="auto"/>
              </w:rPr>
              <w:t>4,960,822</w:t>
            </w:r>
          </w:p>
        </w:tc>
        <w:tc>
          <w:tcPr>
            <w:tcW w:w="120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7,251,942</w:t>
            </w:r>
          </w:p>
        </w:tc>
        <w:tc>
          <w:tcPr>
            <w:tcW w:w="1020" w:type="dxa"/>
            <w:vAlign w:val="bottom"/>
            <w:tcBorders>
              <w:bottom w:val="single" w:sz="8" w:color="582C83"/>
            </w:tcBorders>
            <w:shd w:val="clear" w:color="auto" w:fill="E0DBEA"/>
          </w:tcPr>
          <w:p>
            <w:pPr>
              <w:ind w:left="500"/>
              <w:spacing w:after="0"/>
              <w:rPr>
                <w:sz w:val="20"/>
                <w:szCs w:val="20"/>
                <w:color w:val="auto"/>
              </w:rPr>
            </w:pPr>
            <w:r>
              <w:rPr>
                <w:rFonts w:ascii="Arial" w:cs="Arial" w:eastAsia="Arial" w:hAnsi="Arial"/>
                <w:sz w:val="14"/>
                <w:szCs w:val="14"/>
                <w:color w:val="auto"/>
              </w:rPr>
              <w:t>115.87</w:t>
            </w:r>
          </w:p>
        </w:tc>
        <w:tc>
          <w:tcPr>
            <w:tcW w:w="960" w:type="dxa"/>
            <w:vAlign w:val="bottom"/>
            <w:tcBorders>
              <w:bottom w:val="single" w:sz="8" w:color="582C83"/>
            </w:tcBorders>
            <w:shd w:val="clear" w:color="auto" w:fill="E0DBEA"/>
          </w:tcPr>
          <w:p>
            <w:pPr>
              <w:ind w:left="460"/>
              <w:spacing w:after="0"/>
              <w:rPr>
                <w:sz w:val="20"/>
                <w:szCs w:val="20"/>
                <w:color w:val="auto"/>
              </w:rPr>
            </w:pPr>
            <w:r>
              <w:rPr>
                <w:rFonts w:ascii="Arial" w:cs="Arial" w:eastAsia="Arial" w:hAnsi="Arial"/>
                <w:sz w:val="14"/>
                <w:szCs w:val="14"/>
                <w:color w:val="auto"/>
              </w:rPr>
              <w:t>114.40</w:t>
            </w:r>
          </w:p>
        </w:tc>
        <w:tc>
          <w:tcPr>
            <w:tcW w:w="760" w:type="dxa"/>
            <w:vAlign w:val="bottom"/>
            <w:tcBorders>
              <w:bottom w:val="single" w:sz="8" w:color="582C83"/>
            </w:tcBorders>
            <w:shd w:val="clear" w:color="auto" w:fill="E0DBEA"/>
          </w:tcPr>
          <w:p>
            <w:pPr>
              <w:jc w:val="right"/>
              <w:ind w:right="28"/>
              <w:spacing w:after="0"/>
              <w:rPr>
                <w:sz w:val="20"/>
                <w:szCs w:val="20"/>
                <w:color w:val="auto"/>
              </w:rPr>
            </w:pPr>
            <w:r>
              <w:rPr>
                <w:rFonts w:ascii="Arial" w:cs="Arial" w:eastAsia="Arial" w:hAnsi="Arial"/>
                <w:sz w:val="14"/>
                <w:szCs w:val="14"/>
                <w:color w:val="auto"/>
              </w:rPr>
              <w:t>4,314</w:t>
            </w:r>
          </w:p>
        </w:tc>
        <w:tc>
          <w:tcPr>
            <w:tcW w:w="98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3.5%</w:t>
            </w:r>
          </w:p>
        </w:tc>
      </w:tr>
    </w:tbl>
    <w:p>
      <w:pPr>
        <w:spacing w:after="0" w:line="50" w:lineRule="exact"/>
        <w:rPr>
          <w:sz w:val="20"/>
          <w:szCs w:val="20"/>
          <w:color w:val="auto"/>
        </w:rPr>
      </w:pPr>
    </w:p>
    <w:p>
      <w:pPr>
        <w:ind w:left="260" w:right="60" w:hanging="253"/>
        <w:spacing w:after="0" w:line="263" w:lineRule="auto"/>
        <w:tabs>
          <w:tab w:leader="none" w:pos="2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dollar amounts reported are the amounts of total compensation reported in the “Total Compensation” column of our SCT for Mr. Van de Put, our Principal Executive Officer (PEO).</w:t>
      </w:r>
    </w:p>
    <w:p>
      <w:pPr>
        <w:ind w:left="260" w:right="20" w:hanging="253"/>
        <w:spacing w:after="0" w:line="270" w:lineRule="auto"/>
        <w:tabs>
          <w:tab w:leader="none" w:pos="2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dollar amounts reported represent the amount of compensation actually paid (“CAP”), as computed in accordance with SEC rules. The dollar amounts do not reflect the actual amount of compensation earned by or paid during the applicable year. In accordance with SEC rules, the following adjustments were made to 2025 total compensation to determine the 2025 CAP for our PEO:</w:t>
      </w:r>
    </w:p>
    <w:p>
      <w:pPr>
        <w:spacing w:after="0" w:line="165"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2560" w:type="dxa"/>
            <w:vAlign w:val="bottom"/>
          </w:tcPr>
          <w:p>
            <w:pPr>
              <w:jc w:val="right"/>
              <w:ind w:right="57"/>
              <w:spacing w:after="0"/>
              <w:rPr>
                <w:sz w:val="20"/>
                <w:szCs w:val="20"/>
                <w:color w:val="auto"/>
              </w:rPr>
            </w:pPr>
            <w:r>
              <w:rPr>
                <w:rFonts w:ascii="Arial" w:cs="Arial" w:eastAsia="Arial" w:hAnsi="Arial"/>
                <w:sz w:val="13"/>
                <w:szCs w:val="13"/>
                <w:b w:val="1"/>
                <w:bCs w:val="1"/>
                <w:color w:val="auto"/>
              </w:rPr>
              <w:t>Reported</w:t>
            </w:r>
          </w:p>
        </w:tc>
        <w:tc>
          <w:tcPr>
            <w:tcW w:w="1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48"/>
        </w:trPr>
        <w:tc>
          <w:tcPr>
            <w:tcW w:w="1280" w:type="dxa"/>
            <w:vAlign w:val="bottom"/>
          </w:tcPr>
          <w:p>
            <w:pPr>
              <w:spacing w:after="0"/>
              <w:rPr>
                <w:sz w:val="12"/>
                <w:szCs w:val="12"/>
                <w:color w:val="auto"/>
              </w:rPr>
            </w:pPr>
          </w:p>
        </w:tc>
        <w:tc>
          <w:tcPr>
            <w:tcW w:w="2560" w:type="dxa"/>
            <w:vAlign w:val="bottom"/>
          </w:tcPr>
          <w:p>
            <w:pPr>
              <w:jc w:val="right"/>
              <w:ind w:right="57"/>
              <w:spacing w:after="0"/>
              <w:rPr>
                <w:sz w:val="20"/>
                <w:szCs w:val="20"/>
                <w:color w:val="auto"/>
              </w:rPr>
            </w:pPr>
            <w:r>
              <w:rPr>
                <w:rFonts w:ascii="Arial" w:cs="Arial" w:eastAsia="Arial" w:hAnsi="Arial"/>
                <w:sz w:val="13"/>
                <w:szCs w:val="13"/>
                <w:b w:val="1"/>
                <w:bCs w:val="1"/>
                <w:color w:val="auto"/>
              </w:rPr>
              <w:t>Summary Compensation</w:t>
            </w:r>
          </w:p>
        </w:tc>
        <w:tc>
          <w:tcPr>
            <w:tcW w:w="1800" w:type="dxa"/>
            <w:vAlign w:val="bottom"/>
          </w:tcPr>
          <w:p>
            <w:pPr>
              <w:jc w:val="right"/>
              <w:ind w:right="217"/>
              <w:spacing w:after="0"/>
              <w:rPr>
                <w:sz w:val="20"/>
                <w:szCs w:val="20"/>
                <w:color w:val="auto"/>
              </w:rPr>
            </w:pPr>
            <w:r>
              <w:rPr>
                <w:rFonts w:ascii="Arial" w:cs="Arial" w:eastAsia="Arial" w:hAnsi="Arial"/>
                <w:sz w:val="13"/>
                <w:szCs w:val="13"/>
                <w:b w:val="1"/>
                <w:bCs w:val="1"/>
                <w:color w:val="auto"/>
              </w:rPr>
              <w:t>Less Reported Value of</w:t>
            </w:r>
          </w:p>
        </w:tc>
        <w:tc>
          <w:tcPr>
            <w:tcW w:w="1500" w:type="dxa"/>
            <w:vAlign w:val="bottom"/>
          </w:tcPr>
          <w:p>
            <w:pPr>
              <w:jc w:val="right"/>
              <w:ind w:right="57"/>
              <w:spacing w:after="0"/>
              <w:rPr>
                <w:sz w:val="20"/>
                <w:szCs w:val="20"/>
                <w:color w:val="auto"/>
              </w:rPr>
            </w:pPr>
            <w:r>
              <w:rPr>
                <w:rFonts w:ascii="Arial" w:cs="Arial" w:eastAsia="Arial" w:hAnsi="Arial"/>
                <w:sz w:val="13"/>
                <w:szCs w:val="13"/>
                <w:b w:val="1"/>
                <w:bCs w:val="1"/>
                <w:color w:val="auto"/>
              </w:rPr>
              <w:t>Plus Equity Award</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Compensation Actually</w:t>
            </w:r>
          </w:p>
        </w:tc>
      </w:tr>
      <w:tr>
        <w:trPr>
          <w:trHeight w:val="162"/>
        </w:trPr>
        <w:tc>
          <w:tcPr>
            <w:tcW w:w="1280" w:type="dxa"/>
            <w:vAlign w:val="bottom"/>
          </w:tcPr>
          <w:p>
            <w:pPr>
              <w:spacing w:after="0"/>
              <w:rPr>
                <w:sz w:val="14"/>
                <w:szCs w:val="14"/>
                <w:color w:val="auto"/>
              </w:rPr>
            </w:pPr>
          </w:p>
        </w:tc>
        <w:tc>
          <w:tcPr>
            <w:tcW w:w="2560" w:type="dxa"/>
            <w:vAlign w:val="bottom"/>
          </w:tcPr>
          <w:p>
            <w:pPr>
              <w:jc w:val="right"/>
              <w:ind w:right="77"/>
              <w:spacing w:after="0"/>
              <w:rPr>
                <w:sz w:val="20"/>
                <w:szCs w:val="20"/>
                <w:color w:val="auto"/>
              </w:rPr>
            </w:pPr>
            <w:r>
              <w:rPr>
                <w:rFonts w:ascii="Arial" w:cs="Arial" w:eastAsia="Arial" w:hAnsi="Arial"/>
                <w:sz w:val="13"/>
                <w:szCs w:val="13"/>
                <w:b w:val="1"/>
                <w:bCs w:val="1"/>
                <w:color w:val="auto"/>
              </w:rPr>
              <w:t>Table Total for PEO</w:t>
            </w:r>
          </w:p>
        </w:tc>
        <w:tc>
          <w:tcPr>
            <w:tcW w:w="1800" w:type="dxa"/>
            <w:vAlign w:val="bottom"/>
          </w:tcPr>
          <w:p>
            <w:pPr>
              <w:jc w:val="right"/>
              <w:ind w:right="217"/>
              <w:spacing w:after="0" w:line="162" w:lineRule="exact"/>
              <w:rPr>
                <w:sz w:val="20"/>
                <w:szCs w:val="20"/>
                <w:color w:val="auto"/>
              </w:rPr>
            </w:pPr>
            <w:r>
              <w:rPr>
                <w:rFonts w:ascii="Arial" w:cs="Arial" w:eastAsia="Arial" w:hAnsi="Arial"/>
                <w:sz w:val="13"/>
                <w:szCs w:val="13"/>
                <w:b w:val="1"/>
                <w:bCs w:val="1"/>
                <w:color w:val="auto"/>
              </w:rPr>
              <w:t>Equity Awards</w:t>
            </w:r>
            <w:r>
              <w:rPr>
                <w:rFonts w:ascii="Arial" w:cs="Arial" w:eastAsia="Arial" w:hAnsi="Arial"/>
                <w:sz w:val="16"/>
                <w:szCs w:val="16"/>
                <w:b w:val="1"/>
                <w:bCs w:val="1"/>
                <w:color w:val="auto"/>
                <w:vertAlign w:val="superscript"/>
              </w:rPr>
              <w:t>(a)</w:t>
            </w:r>
          </w:p>
        </w:tc>
        <w:tc>
          <w:tcPr>
            <w:tcW w:w="1500" w:type="dxa"/>
            <w:vAlign w:val="bottom"/>
          </w:tcPr>
          <w:p>
            <w:pPr>
              <w:jc w:val="right"/>
              <w:ind w:right="57"/>
              <w:spacing w:after="0" w:line="162" w:lineRule="exact"/>
              <w:rPr>
                <w:sz w:val="20"/>
                <w:szCs w:val="20"/>
                <w:color w:val="auto"/>
              </w:rPr>
            </w:pPr>
            <w:r>
              <w:rPr>
                <w:rFonts w:ascii="Arial" w:cs="Arial" w:eastAsia="Arial" w:hAnsi="Arial"/>
                <w:sz w:val="13"/>
                <w:szCs w:val="13"/>
                <w:b w:val="1"/>
                <w:bCs w:val="1"/>
                <w:color w:val="auto"/>
              </w:rPr>
              <w:t>Adjustments</w:t>
            </w:r>
            <w:r>
              <w:rPr>
                <w:rFonts w:ascii="Arial" w:cs="Arial" w:eastAsia="Arial" w:hAnsi="Arial"/>
                <w:sz w:val="16"/>
                <w:szCs w:val="16"/>
                <w:b w:val="1"/>
                <w:bCs w:val="1"/>
                <w:color w:val="auto"/>
                <w:vertAlign w:val="superscript"/>
              </w:rPr>
              <w:t>(b)</w:t>
            </w: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Paid to PEO</w:t>
            </w:r>
          </w:p>
        </w:tc>
      </w:tr>
      <w:tr>
        <w:trPr>
          <w:trHeight w:val="146"/>
        </w:trPr>
        <w:tc>
          <w:tcPr>
            <w:tcW w:w="1280" w:type="dxa"/>
            <w:vAlign w:val="bottom"/>
            <w:tcBorders>
              <w:bottom w:val="single" w:sz="8" w:color="582C83"/>
            </w:tcBorders>
          </w:tcPr>
          <w:p>
            <w:pPr>
              <w:ind w:left="40"/>
              <w:spacing w:after="0" w:line="139" w:lineRule="exact"/>
              <w:rPr>
                <w:sz w:val="20"/>
                <w:szCs w:val="20"/>
                <w:color w:val="auto"/>
              </w:rPr>
            </w:pPr>
            <w:r>
              <w:rPr>
                <w:rFonts w:ascii="Arial" w:cs="Arial" w:eastAsia="Arial" w:hAnsi="Arial"/>
                <w:sz w:val="13"/>
                <w:szCs w:val="13"/>
                <w:b w:val="1"/>
                <w:bCs w:val="1"/>
                <w:color w:val="auto"/>
              </w:rPr>
              <w:t>Year</w:t>
            </w:r>
          </w:p>
        </w:tc>
        <w:tc>
          <w:tcPr>
            <w:tcW w:w="2560" w:type="dxa"/>
            <w:vAlign w:val="bottom"/>
            <w:tcBorders>
              <w:bottom w:val="single" w:sz="8" w:color="582C83"/>
            </w:tcBorders>
          </w:tcPr>
          <w:p>
            <w:pPr>
              <w:jc w:val="right"/>
              <w:ind w:right="57"/>
              <w:spacing w:after="0" w:line="139" w:lineRule="exact"/>
              <w:rPr>
                <w:sz w:val="20"/>
                <w:szCs w:val="20"/>
                <w:color w:val="auto"/>
              </w:rPr>
            </w:pPr>
            <w:r>
              <w:rPr>
                <w:rFonts w:ascii="Arial" w:cs="Arial" w:eastAsia="Arial" w:hAnsi="Arial"/>
                <w:sz w:val="13"/>
                <w:szCs w:val="13"/>
                <w:b w:val="1"/>
                <w:bCs w:val="1"/>
                <w:color w:val="auto"/>
              </w:rPr>
              <w:t>($)</w:t>
            </w:r>
          </w:p>
        </w:tc>
        <w:tc>
          <w:tcPr>
            <w:tcW w:w="1800" w:type="dxa"/>
            <w:vAlign w:val="bottom"/>
            <w:tcBorders>
              <w:bottom w:val="single" w:sz="8" w:color="582C83"/>
            </w:tcBorders>
          </w:tcPr>
          <w:p>
            <w:pPr>
              <w:jc w:val="right"/>
              <w:ind w:right="217"/>
              <w:spacing w:after="0" w:line="139" w:lineRule="exact"/>
              <w:rPr>
                <w:sz w:val="20"/>
                <w:szCs w:val="20"/>
                <w:color w:val="auto"/>
              </w:rPr>
            </w:pPr>
            <w:r>
              <w:rPr>
                <w:rFonts w:ascii="Arial" w:cs="Arial" w:eastAsia="Arial" w:hAnsi="Arial"/>
                <w:sz w:val="13"/>
                <w:szCs w:val="13"/>
                <w:b w:val="1"/>
                <w:bCs w:val="1"/>
                <w:color w:val="auto"/>
              </w:rPr>
              <w:t>($)</w:t>
            </w:r>
          </w:p>
        </w:tc>
        <w:tc>
          <w:tcPr>
            <w:tcW w:w="1500" w:type="dxa"/>
            <w:vAlign w:val="bottom"/>
            <w:tcBorders>
              <w:bottom w:val="single" w:sz="8" w:color="582C83"/>
            </w:tcBorders>
          </w:tcPr>
          <w:p>
            <w:pPr>
              <w:jc w:val="right"/>
              <w:ind w:right="57"/>
              <w:spacing w:after="0" w:line="139" w:lineRule="exact"/>
              <w:rPr>
                <w:sz w:val="20"/>
                <w:szCs w:val="20"/>
                <w:color w:val="auto"/>
              </w:rPr>
            </w:pPr>
            <w:r>
              <w:rPr>
                <w:rFonts w:ascii="Arial" w:cs="Arial" w:eastAsia="Arial" w:hAnsi="Arial"/>
                <w:sz w:val="13"/>
                <w:szCs w:val="13"/>
                <w:b w:val="1"/>
                <w:bCs w:val="1"/>
                <w:color w:val="auto"/>
              </w:rPr>
              <w:t>($)</w:t>
            </w:r>
          </w:p>
        </w:tc>
        <w:tc>
          <w:tcPr>
            <w:tcW w:w="1580" w:type="dxa"/>
            <w:vAlign w:val="bottom"/>
            <w:tcBorders>
              <w:bottom w:val="single" w:sz="8" w:color="582C83"/>
            </w:tcBorders>
          </w:tcPr>
          <w:p>
            <w:pPr>
              <w:jc w:val="right"/>
              <w:spacing w:after="0" w:line="139" w:lineRule="exact"/>
              <w:rPr>
                <w:sz w:val="20"/>
                <w:szCs w:val="20"/>
                <w:color w:val="auto"/>
              </w:rPr>
            </w:pPr>
            <w:r>
              <w:rPr>
                <w:rFonts w:ascii="Arial" w:cs="Arial" w:eastAsia="Arial" w:hAnsi="Arial"/>
                <w:sz w:val="13"/>
                <w:szCs w:val="13"/>
                <w:b w:val="1"/>
                <w:bCs w:val="1"/>
                <w:color w:val="auto"/>
              </w:rPr>
              <w:t>($)</w:t>
            </w:r>
          </w:p>
        </w:tc>
      </w:tr>
      <w:tr>
        <w:trPr>
          <w:trHeight w:val="183"/>
        </w:trPr>
        <w:tc>
          <w:tcPr>
            <w:tcW w:w="1280" w:type="dxa"/>
            <w:vAlign w:val="bottom"/>
            <w:tcBorders>
              <w:bottom w:val="single" w:sz="8" w:color="582C83"/>
            </w:tcBorders>
            <w:shd w:val="clear" w:color="auto" w:fill="E1DBEB"/>
          </w:tcPr>
          <w:p>
            <w:pPr>
              <w:ind w:left="40"/>
              <w:spacing w:after="0"/>
              <w:rPr>
                <w:sz w:val="20"/>
                <w:szCs w:val="20"/>
                <w:color w:val="auto"/>
              </w:rPr>
            </w:pPr>
            <w:r>
              <w:rPr>
                <w:rFonts w:ascii="Arial" w:cs="Arial" w:eastAsia="Arial" w:hAnsi="Arial"/>
                <w:sz w:val="13"/>
                <w:szCs w:val="13"/>
                <w:color w:val="auto"/>
              </w:rPr>
              <w:t>2025</w:t>
            </w:r>
          </w:p>
        </w:tc>
        <w:tc>
          <w:tcPr>
            <w:tcW w:w="2560" w:type="dxa"/>
            <w:vAlign w:val="bottom"/>
            <w:tcBorders>
              <w:bottom w:val="single" w:sz="8" w:color="582C83"/>
            </w:tcBorders>
            <w:shd w:val="clear" w:color="auto" w:fill="E1DBEB"/>
          </w:tcPr>
          <w:p>
            <w:pPr>
              <w:jc w:val="right"/>
              <w:ind w:right="77"/>
              <w:spacing w:after="0"/>
              <w:rPr>
                <w:sz w:val="20"/>
                <w:szCs w:val="20"/>
                <w:color w:val="auto"/>
              </w:rPr>
            </w:pPr>
            <w:r>
              <w:rPr>
                <w:rFonts w:ascii="Arial" w:cs="Arial" w:eastAsia="Arial" w:hAnsi="Arial"/>
                <w:sz w:val="13"/>
                <w:szCs w:val="13"/>
                <w:color w:val="auto"/>
              </w:rPr>
              <w:t>24,516,114</w:t>
            </w:r>
          </w:p>
        </w:tc>
        <w:tc>
          <w:tcPr>
            <w:tcW w:w="1800" w:type="dxa"/>
            <w:vAlign w:val="bottom"/>
            <w:tcBorders>
              <w:bottom w:val="single" w:sz="8" w:color="582C83"/>
            </w:tcBorders>
            <w:shd w:val="clear" w:color="auto" w:fill="E1DBEB"/>
          </w:tcPr>
          <w:p>
            <w:pPr>
              <w:jc w:val="right"/>
              <w:ind w:right="217"/>
              <w:spacing w:after="0"/>
              <w:rPr>
                <w:sz w:val="20"/>
                <w:szCs w:val="20"/>
                <w:color w:val="auto"/>
              </w:rPr>
            </w:pPr>
            <w:r>
              <w:rPr>
                <w:rFonts w:ascii="Arial" w:cs="Arial" w:eastAsia="Arial" w:hAnsi="Arial"/>
                <w:sz w:val="13"/>
                <w:szCs w:val="13"/>
                <w:color w:val="auto"/>
              </w:rPr>
              <w:t>18,931,914</w:t>
            </w:r>
          </w:p>
        </w:tc>
        <w:tc>
          <w:tcPr>
            <w:tcW w:w="1500" w:type="dxa"/>
            <w:vAlign w:val="bottom"/>
            <w:tcBorders>
              <w:bottom w:val="single" w:sz="8" w:color="582C83"/>
            </w:tcBorders>
            <w:shd w:val="clear" w:color="auto" w:fill="E1DBEB"/>
          </w:tcPr>
          <w:p>
            <w:pPr>
              <w:jc w:val="right"/>
              <w:ind w:right="77"/>
              <w:spacing w:after="0"/>
              <w:rPr>
                <w:sz w:val="20"/>
                <w:szCs w:val="20"/>
                <w:color w:val="auto"/>
              </w:rPr>
            </w:pPr>
            <w:r>
              <w:rPr>
                <w:rFonts w:ascii="Arial" w:cs="Arial" w:eastAsia="Arial" w:hAnsi="Arial"/>
                <w:sz w:val="13"/>
                <w:szCs w:val="13"/>
                <w:color w:val="auto"/>
              </w:rPr>
              <w:t>2,468,650</w:t>
            </w:r>
          </w:p>
        </w:tc>
        <w:tc>
          <w:tcPr>
            <w:tcW w:w="1580" w:type="dxa"/>
            <w:vAlign w:val="bottom"/>
            <w:tcBorders>
              <w:bottom w:val="single" w:sz="8" w:color="582C83"/>
            </w:tcBorders>
            <w:shd w:val="clear" w:color="auto" w:fill="E1DBEB"/>
          </w:tcPr>
          <w:p>
            <w:pPr>
              <w:jc w:val="right"/>
              <w:spacing w:after="0"/>
              <w:rPr>
                <w:sz w:val="20"/>
                <w:szCs w:val="20"/>
                <w:color w:val="auto"/>
              </w:rPr>
            </w:pPr>
            <w:r>
              <w:rPr>
                <w:rFonts w:ascii="Arial" w:cs="Arial" w:eastAsia="Arial" w:hAnsi="Arial"/>
                <w:sz w:val="13"/>
                <w:szCs w:val="13"/>
                <w:color w:val="auto"/>
              </w:rPr>
              <w:t>8,052,850</w:t>
            </w:r>
          </w:p>
        </w:tc>
      </w:tr>
    </w:tbl>
    <w:p>
      <w:pPr>
        <w:spacing w:after="0" w:line="50" w:lineRule="exact"/>
        <w:rPr>
          <w:sz w:val="20"/>
          <w:szCs w:val="20"/>
          <w:color w:val="auto"/>
        </w:rPr>
      </w:pPr>
    </w:p>
    <w:p>
      <w:pPr>
        <w:ind w:left="520" w:hanging="254"/>
        <w:spacing w:after="0" w:line="263" w:lineRule="auto"/>
        <w:tabs>
          <w:tab w:leader="none" w:pos="52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 dollar amount reported represents the grant date fair value of equity awards reported in the “Stock Awards” and “Option Awards” columns of our SCT for the year.</w:t>
      </w:r>
    </w:p>
    <w:p>
      <w:pPr>
        <w:ind w:left="520" w:right="40" w:hanging="254"/>
        <w:spacing w:after="0" w:line="323" w:lineRule="auto"/>
        <w:tabs>
          <w:tab w:leader="none" w:pos="52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The equity award adjustments are calculated in accordance with SEC rules and the valuation assumptions used to calculate fair values did not materially differ from those disclosed at the time of grant. The amounts deducted or added in calculating the 2025 equity award adjustments are as follows:</w:t>
      </w:r>
    </w:p>
    <w:p>
      <w:pPr>
        <w:spacing w:after="0" w:line="150"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4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20" w:type="dxa"/>
            <w:vAlign w:val="bottom"/>
          </w:tcPr>
          <w:p>
            <w:pPr>
              <w:jc w:val="right"/>
              <w:ind w:right="17"/>
              <w:spacing w:after="0"/>
              <w:rPr>
                <w:sz w:val="20"/>
                <w:szCs w:val="20"/>
                <w:color w:val="auto"/>
              </w:rPr>
            </w:pPr>
            <w:r>
              <w:rPr>
                <w:rFonts w:ascii="Arial" w:cs="Arial" w:eastAsia="Arial" w:hAnsi="Arial"/>
                <w:sz w:val="13"/>
                <w:szCs w:val="13"/>
                <w:b w:val="1"/>
                <w:bCs w:val="1"/>
                <w:color w:val="auto"/>
              </w:rPr>
              <w:t>Plus or Less Change in</w:t>
            </w: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4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740" w:type="dxa"/>
            <w:vAlign w:val="bottom"/>
          </w:tcPr>
          <w:p>
            <w:pPr>
              <w:jc w:val="right"/>
              <w:ind w:right="57"/>
              <w:spacing w:after="0"/>
              <w:rPr>
                <w:sz w:val="20"/>
                <w:szCs w:val="20"/>
                <w:color w:val="auto"/>
              </w:rPr>
            </w:pPr>
            <w:r>
              <w:rPr>
                <w:rFonts w:ascii="Arial" w:cs="Arial" w:eastAsia="Arial" w:hAnsi="Arial"/>
                <w:sz w:val="13"/>
                <w:szCs w:val="13"/>
                <w:b w:val="1"/>
                <w:bCs w:val="1"/>
                <w:color w:val="auto"/>
              </w:rPr>
              <w:t>Plus or Less Year over</w:t>
            </w:r>
          </w:p>
        </w:tc>
        <w:tc>
          <w:tcPr>
            <w:tcW w:w="1920" w:type="dxa"/>
            <w:vAlign w:val="bottom"/>
          </w:tcPr>
          <w:p>
            <w:pPr>
              <w:jc w:val="right"/>
              <w:ind w:right="17"/>
              <w:spacing w:after="0"/>
              <w:rPr>
                <w:sz w:val="20"/>
                <w:szCs w:val="20"/>
                <w:color w:val="auto"/>
              </w:rPr>
            </w:pPr>
            <w:r>
              <w:rPr>
                <w:rFonts w:ascii="Arial" w:cs="Arial" w:eastAsia="Arial" w:hAnsi="Arial"/>
                <w:sz w:val="13"/>
                <w:szCs w:val="13"/>
                <w:b w:val="1"/>
                <w:bCs w:val="1"/>
                <w:color w:val="auto"/>
              </w:rPr>
              <w:t>Fair Value from Prior Year</w:t>
            </w: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8"/>
        </w:trPr>
        <w:tc>
          <w:tcPr>
            <w:tcW w:w="480" w:type="dxa"/>
            <w:vAlign w:val="bottom"/>
          </w:tcPr>
          <w:p>
            <w:pPr>
              <w:spacing w:after="0"/>
              <w:rPr>
                <w:sz w:val="12"/>
                <w:szCs w:val="12"/>
                <w:color w:val="auto"/>
              </w:rPr>
            </w:pPr>
          </w:p>
        </w:tc>
        <w:tc>
          <w:tcPr>
            <w:tcW w:w="1660" w:type="dxa"/>
            <w:vAlign w:val="bottom"/>
          </w:tcPr>
          <w:p>
            <w:pPr>
              <w:jc w:val="right"/>
              <w:ind w:right="17"/>
              <w:spacing w:after="0"/>
              <w:rPr>
                <w:sz w:val="20"/>
                <w:szCs w:val="20"/>
                <w:color w:val="auto"/>
              </w:rPr>
            </w:pPr>
            <w:r>
              <w:rPr>
                <w:rFonts w:ascii="Arial" w:cs="Arial" w:eastAsia="Arial" w:hAnsi="Arial"/>
                <w:sz w:val="13"/>
                <w:szCs w:val="13"/>
                <w:b w:val="1"/>
                <w:bCs w:val="1"/>
                <w:color w:val="auto"/>
              </w:rPr>
              <w:t>Plus Year End Fair Value</w:t>
            </w:r>
          </w:p>
        </w:tc>
        <w:tc>
          <w:tcPr>
            <w:tcW w:w="1740" w:type="dxa"/>
            <w:vAlign w:val="bottom"/>
          </w:tcPr>
          <w:p>
            <w:pPr>
              <w:jc w:val="right"/>
              <w:ind w:right="57"/>
              <w:spacing w:after="0"/>
              <w:rPr>
                <w:sz w:val="20"/>
                <w:szCs w:val="20"/>
                <w:color w:val="auto"/>
              </w:rPr>
            </w:pPr>
            <w:r>
              <w:rPr>
                <w:rFonts w:ascii="Arial" w:cs="Arial" w:eastAsia="Arial" w:hAnsi="Arial"/>
                <w:sz w:val="13"/>
                <w:szCs w:val="13"/>
                <w:b w:val="1"/>
                <w:bCs w:val="1"/>
                <w:color w:val="auto"/>
                <w:w w:val="99"/>
              </w:rPr>
              <w:t>Year Change in Fair Value</w:t>
            </w:r>
          </w:p>
        </w:tc>
        <w:tc>
          <w:tcPr>
            <w:tcW w:w="1920" w:type="dxa"/>
            <w:vAlign w:val="bottom"/>
          </w:tcPr>
          <w:p>
            <w:pPr>
              <w:jc w:val="right"/>
              <w:ind w:right="17"/>
              <w:spacing w:after="0"/>
              <w:rPr>
                <w:sz w:val="20"/>
                <w:szCs w:val="20"/>
                <w:color w:val="auto"/>
              </w:rPr>
            </w:pPr>
            <w:r>
              <w:rPr>
                <w:rFonts w:ascii="Arial" w:cs="Arial" w:eastAsia="Arial" w:hAnsi="Arial"/>
                <w:sz w:val="13"/>
                <w:szCs w:val="13"/>
                <w:b w:val="1"/>
                <w:bCs w:val="1"/>
                <w:color w:val="auto"/>
                <w:w w:val="99"/>
              </w:rPr>
              <w:t>End through the Vesting Date</w:t>
            </w:r>
          </w:p>
        </w:tc>
        <w:tc>
          <w:tcPr>
            <w:tcW w:w="1800" w:type="dxa"/>
            <w:vAlign w:val="bottom"/>
          </w:tcPr>
          <w:p>
            <w:pPr>
              <w:jc w:val="right"/>
              <w:ind w:right="57"/>
              <w:spacing w:after="0"/>
              <w:rPr>
                <w:sz w:val="20"/>
                <w:szCs w:val="20"/>
                <w:color w:val="auto"/>
              </w:rPr>
            </w:pPr>
            <w:r>
              <w:rPr>
                <w:rFonts w:ascii="Arial" w:cs="Arial" w:eastAsia="Arial" w:hAnsi="Arial"/>
                <w:sz w:val="13"/>
                <w:szCs w:val="13"/>
                <w:b w:val="1"/>
                <w:bCs w:val="1"/>
                <w:color w:val="auto"/>
                <w:w w:val="99"/>
              </w:rPr>
              <w:t>Plus Value of Dividends on</w:t>
            </w:r>
          </w:p>
        </w:tc>
        <w:tc>
          <w:tcPr>
            <w:tcW w:w="920" w:type="dxa"/>
            <w:vAlign w:val="bottom"/>
          </w:tcPr>
          <w:p>
            <w:pPr>
              <w:spacing w:after="0"/>
              <w:rPr>
                <w:sz w:val="12"/>
                <w:szCs w:val="12"/>
                <w:color w:val="auto"/>
              </w:rPr>
            </w:pPr>
          </w:p>
        </w:tc>
      </w:tr>
      <w:tr>
        <w:trPr>
          <w:trHeight w:val="148"/>
        </w:trPr>
        <w:tc>
          <w:tcPr>
            <w:tcW w:w="4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of Outstanding and</w:t>
            </w:r>
          </w:p>
        </w:tc>
        <w:tc>
          <w:tcPr>
            <w:tcW w:w="1740" w:type="dxa"/>
            <w:vAlign w:val="bottom"/>
          </w:tcPr>
          <w:p>
            <w:pPr>
              <w:jc w:val="right"/>
              <w:ind w:right="57"/>
              <w:spacing w:after="0"/>
              <w:rPr>
                <w:sz w:val="20"/>
                <w:szCs w:val="20"/>
                <w:color w:val="auto"/>
              </w:rPr>
            </w:pPr>
            <w:r>
              <w:rPr>
                <w:rFonts w:ascii="Arial" w:cs="Arial" w:eastAsia="Arial" w:hAnsi="Arial"/>
                <w:sz w:val="13"/>
                <w:szCs w:val="13"/>
                <w:b w:val="1"/>
                <w:bCs w:val="1"/>
                <w:color w:val="auto"/>
              </w:rPr>
              <w:t>of Outstanding and</w:t>
            </w:r>
          </w:p>
        </w:tc>
        <w:tc>
          <w:tcPr>
            <w:tcW w:w="1920" w:type="dxa"/>
            <w:vAlign w:val="bottom"/>
          </w:tcPr>
          <w:p>
            <w:pPr>
              <w:jc w:val="right"/>
              <w:ind w:right="17"/>
              <w:spacing w:after="0"/>
              <w:rPr>
                <w:sz w:val="20"/>
                <w:szCs w:val="20"/>
                <w:color w:val="auto"/>
              </w:rPr>
            </w:pPr>
            <w:r>
              <w:rPr>
                <w:rFonts w:ascii="Arial" w:cs="Arial" w:eastAsia="Arial" w:hAnsi="Arial"/>
                <w:sz w:val="13"/>
                <w:szCs w:val="13"/>
                <w:b w:val="1"/>
                <w:bCs w:val="1"/>
                <w:color w:val="auto"/>
              </w:rPr>
              <w:t>for Equity Awards Granted</w:t>
            </w:r>
          </w:p>
        </w:tc>
        <w:tc>
          <w:tcPr>
            <w:tcW w:w="1800" w:type="dxa"/>
            <w:vAlign w:val="bottom"/>
          </w:tcPr>
          <w:p>
            <w:pPr>
              <w:jc w:val="right"/>
              <w:ind w:right="37"/>
              <w:spacing w:after="0"/>
              <w:rPr>
                <w:sz w:val="20"/>
                <w:szCs w:val="20"/>
                <w:color w:val="auto"/>
              </w:rPr>
            </w:pPr>
            <w:r>
              <w:rPr>
                <w:rFonts w:ascii="Arial" w:cs="Arial" w:eastAsia="Arial" w:hAnsi="Arial"/>
                <w:sz w:val="13"/>
                <w:szCs w:val="13"/>
                <w:b w:val="1"/>
                <w:bCs w:val="1"/>
                <w:color w:val="auto"/>
              </w:rPr>
              <w:t>Stock not Otherwise</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Total Equity</w:t>
            </w:r>
          </w:p>
        </w:tc>
      </w:tr>
      <w:tr>
        <w:trPr>
          <w:trHeight w:val="162"/>
        </w:trPr>
        <w:tc>
          <w:tcPr>
            <w:tcW w:w="4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Unvested Equity Awards</w:t>
            </w:r>
          </w:p>
        </w:tc>
        <w:tc>
          <w:tcPr>
            <w:tcW w:w="1740" w:type="dxa"/>
            <w:vAlign w:val="bottom"/>
          </w:tcPr>
          <w:p>
            <w:pPr>
              <w:jc w:val="right"/>
              <w:ind w:right="57"/>
              <w:spacing w:after="0"/>
              <w:rPr>
                <w:sz w:val="20"/>
                <w:szCs w:val="20"/>
                <w:color w:val="auto"/>
              </w:rPr>
            </w:pPr>
            <w:r>
              <w:rPr>
                <w:rFonts w:ascii="Arial" w:cs="Arial" w:eastAsia="Arial" w:hAnsi="Arial"/>
                <w:sz w:val="13"/>
                <w:szCs w:val="13"/>
                <w:b w:val="1"/>
                <w:bCs w:val="1"/>
                <w:color w:val="auto"/>
              </w:rPr>
              <w:t>Unvested Equity Awards</w:t>
            </w:r>
          </w:p>
        </w:tc>
        <w:tc>
          <w:tcPr>
            <w:tcW w:w="1920" w:type="dxa"/>
            <w:vAlign w:val="bottom"/>
          </w:tcPr>
          <w:p>
            <w:pPr>
              <w:jc w:val="right"/>
              <w:ind w:right="17"/>
              <w:spacing w:after="0"/>
              <w:rPr>
                <w:sz w:val="20"/>
                <w:szCs w:val="20"/>
                <w:color w:val="auto"/>
              </w:rPr>
            </w:pPr>
            <w:r>
              <w:rPr>
                <w:rFonts w:ascii="Arial" w:cs="Arial" w:eastAsia="Arial" w:hAnsi="Arial"/>
                <w:sz w:val="13"/>
                <w:szCs w:val="13"/>
                <w:b w:val="1"/>
                <w:bCs w:val="1"/>
                <w:color w:val="auto"/>
              </w:rPr>
              <w:t>in Prior Years that Vested</w:t>
            </w:r>
          </w:p>
        </w:tc>
        <w:tc>
          <w:tcPr>
            <w:tcW w:w="1800" w:type="dxa"/>
            <w:vAlign w:val="bottom"/>
          </w:tcPr>
          <w:p>
            <w:pPr>
              <w:jc w:val="right"/>
              <w:ind w:right="57"/>
              <w:spacing w:after="0"/>
              <w:rPr>
                <w:sz w:val="20"/>
                <w:szCs w:val="20"/>
                <w:color w:val="auto"/>
              </w:rPr>
            </w:pPr>
            <w:r>
              <w:rPr>
                <w:rFonts w:ascii="Arial" w:cs="Arial" w:eastAsia="Arial" w:hAnsi="Arial"/>
                <w:sz w:val="13"/>
                <w:szCs w:val="13"/>
                <w:b w:val="1"/>
                <w:bCs w:val="1"/>
                <w:color w:val="auto"/>
              </w:rPr>
              <w:t>Reflected in Fair Value or</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Award</w:t>
            </w:r>
          </w:p>
        </w:tc>
      </w:tr>
      <w:tr>
        <w:trPr>
          <w:trHeight w:val="148"/>
        </w:trPr>
        <w:tc>
          <w:tcPr>
            <w:tcW w:w="4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Granted in the Year</w:t>
            </w:r>
          </w:p>
        </w:tc>
        <w:tc>
          <w:tcPr>
            <w:tcW w:w="1740" w:type="dxa"/>
            <w:vAlign w:val="bottom"/>
          </w:tcPr>
          <w:p>
            <w:pPr>
              <w:jc w:val="right"/>
              <w:ind w:right="57"/>
              <w:spacing w:after="0"/>
              <w:rPr>
                <w:sz w:val="20"/>
                <w:szCs w:val="20"/>
                <w:color w:val="auto"/>
              </w:rPr>
            </w:pPr>
            <w:r>
              <w:rPr>
                <w:rFonts w:ascii="Arial" w:cs="Arial" w:eastAsia="Arial" w:hAnsi="Arial"/>
                <w:sz w:val="13"/>
                <w:szCs w:val="13"/>
                <w:b w:val="1"/>
                <w:bCs w:val="1"/>
                <w:color w:val="auto"/>
              </w:rPr>
              <w:t>Granted in Prior Years</w:t>
            </w:r>
          </w:p>
        </w:tc>
        <w:tc>
          <w:tcPr>
            <w:tcW w:w="1920" w:type="dxa"/>
            <w:vAlign w:val="bottom"/>
          </w:tcPr>
          <w:p>
            <w:pPr>
              <w:jc w:val="right"/>
              <w:ind w:right="17"/>
              <w:spacing w:after="0"/>
              <w:rPr>
                <w:sz w:val="20"/>
                <w:szCs w:val="20"/>
                <w:color w:val="auto"/>
              </w:rPr>
            </w:pPr>
            <w:r>
              <w:rPr>
                <w:rFonts w:ascii="Arial" w:cs="Arial" w:eastAsia="Arial" w:hAnsi="Arial"/>
                <w:sz w:val="13"/>
                <w:szCs w:val="13"/>
                <w:b w:val="1"/>
                <w:bCs w:val="1"/>
                <w:color w:val="auto"/>
              </w:rPr>
              <w:t>in the Year</w:t>
            </w:r>
          </w:p>
        </w:tc>
        <w:tc>
          <w:tcPr>
            <w:tcW w:w="1800" w:type="dxa"/>
            <w:vAlign w:val="bottom"/>
          </w:tcPr>
          <w:p>
            <w:pPr>
              <w:jc w:val="right"/>
              <w:ind w:right="57"/>
              <w:spacing w:after="0"/>
              <w:rPr>
                <w:sz w:val="20"/>
                <w:szCs w:val="20"/>
                <w:color w:val="auto"/>
              </w:rPr>
            </w:pPr>
            <w:r>
              <w:rPr>
                <w:rFonts w:ascii="Arial" w:cs="Arial" w:eastAsia="Arial" w:hAnsi="Arial"/>
                <w:sz w:val="13"/>
                <w:szCs w:val="13"/>
                <w:b w:val="1"/>
                <w:bCs w:val="1"/>
                <w:color w:val="auto"/>
              </w:rPr>
              <w:t>Total Compensation</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Adjustments</w:t>
            </w:r>
          </w:p>
        </w:tc>
      </w:tr>
      <w:tr>
        <w:trPr>
          <w:trHeight w:val="160"/>
        </w:trPr>
        <w:tc>
          <w:tcPr>
            <w:tcW w:w="480" w:type="dxa"/>
            <w:vAlign w:val="bottom"/>
            <w:tcBorders>
              <w:bottom w:val="single" w:sz="8" w:color="582C83"/>
            </w:tcBorders>
          </w:tcPr>
          <w:p>
            <w:pPr>
              <w:ind w:left="60"/>
              <w:spacing w:after="0"/>
              <w:rPr>
                <w:sz w:val="20"/>
                <w:szCs w:val="20"/>
                <w:color w:val="auto"/>
              </w:rPr>
            </w:pPr>
            <w:r>
              <w:rPr>
                <w:rFonts w:ascii="Arial" w:cs="Arial" w:eastAsia="Arial" w:hAnsi="Arial"/>
                <w:sz w:val="13"/>
                <w:szCs w:val="13"/>
                <w:b w:val="1"/>
                <w:bCs w:val="1"/>
                <w:color w:val="auto"/>
              </w:rPr>
              <w:t>Year</w:t>
            </w:r>
          </w:p>
        </w:tc>
        <w:tc>
          <w:tcPr>
            <w:tcW w:w="1660" w:type="dxa"/>
            <w:vAlign w:val="bottom"/>
            <w:tcBorders>
              <w:bottom w:val="single" w:sz="8" w:color="582C83"/>
            </w:tcBorders>
          </w:tcPr>
          <w:p>
            <w:pPr>
              <w:jc w:val="right"/>
              <w:spacing w:after="0"/>
              <w:rPr>
                <w:sz w:val="20"/>
                <w:szCs w:val="20"/>
                <w:color w:val="auto"/>
              </w:rPr>
            </w:pPr>
            <w:r>
              <w:rPr>
                <w:rFonts w:ascii="Arial" w:cs="Arial" w:eastAsia="Arial" w:hAnsi="Arial"/>
                <w:sz w:val="13"/>
                <w:szCs w:val="13"/>
                <w:b w:val="1"/>
                <w:bCs w:val="1"/>
                <w:color w:val="auto"/>
              </w:rPr>
              <w:t>($)</w:t>
            </w:r>
          </w:p>
        </w:tc>
        <w:tc>
          <w:tcPr>
            <w:tcW w:w="1740" w:type="dxa"/>
            <w:vAlign w:val="bottom"/>
            <w:tcBorders>
              <w:bottom w:val="single" w:sz="8" w:color="582C83"/>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1920" w:type="dxa"/>
            <w:vAlign w:val="bottom"/>
            <w:tcBorders>
              <w:bottom w:val="single" w:sz="8" w:color="582C83"/>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1800" w:type="dxa"/>
            <w:vAlign w:val="bottom"/>
            <w:tcBorders>
              <w:bottom w:val="single" w:sz="8" w:color="582C83"/>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582C83"/>
            </w:tcBorders>
          </w:tcPr>
          <w:p>
            <w:pPr>
              <w:jc w:val="right"/>
              <w:spacing w:after="0"/>
              <w:rPr>
                <w:sz w:val="20"/>
                <w:szCs w:val="20"/>
                <w:color w:val="auto"/>
              </w:rPr>
            </w:pPr>
            <w:r>
              <w:rPr>
                <w:rFonts w:ascii="Arial" w:cs="Arial" w:eastAsia="Arial" w:hAnsi="Arial"/>
                <w:sz w:val="13"/>
                <w:szCs w:val="13"/>
                <w:b w:val="1"/>
                <w:bCs w:val="1"/>
                <w:color w:val="auto"/>
              </w:rPr>
              <w:t>($)</w:t>
            </w:r>
          </w:p>
        </w:tc>
      </w:tr>
      <w:tr>
        <w:trPr>
          <w:trHeight w:val="169"/>
        </w:trPr>
        <w:tc>
          <w:tcPr>
            <w:tcW w:w="480" w:type="dxa"/>
            <w:vAlign w:val="bottom"/>
            <w:tcBorders>
              <w:bottom w:val="single" w:sz="8" w:color="E1DBEB"/>
            </w:tcBorders>
            <w:shd w:val="clear" w:color="auto" w:fill="E1DBEB"/>
          </w:tcPr>
          <w:p>
            <w:pPr>
              <w:ind w:left="60"/>
              <w:spacing w:after="0"/>
              <w:rPr>
                <w:sz w:val="20"/>
                <w:szCs w:val="20"/>
                <w:color w:val="auto"/>
              </w:rPr>
            </w:pPr>
            <w:r>
              <w:rPr>
                <w:rFonts w:ascii="Arial" w:cs="Arial" w:eastAsia="Arial" w:hAnsi="Arial"/>
                <w:sz w:val="13"/>
                <w:szCs w:val="13"/>
                <w:color w:val="auto"/>
              </w:rPr>
              <w:t>2025</w:t>
            </w:r>
          </w:p>
        </w:tc>
        <w:tc>
          <w:tcPr>
            <w:tcW w:w="1660" w:type="dxa"/>
            <w:vAlign w:val="bottom"/>
            <w:tcBorders>
              <w:bottom w:val="single" w:sz="8" w:color="E1DBEB"/>
            </w:tcBorders>
            <w:shd w:val="clear" w:color="auto" w:fill="E1DBEB"/>
          </w:tcPr>
          <w:p>
            <w:pPr>
              <w:jc w:val="right"/>
              <w:ind w:right="17"/>
              <w:spacing w:after="0"/>
              <w:rPr>
                <w:sz w:val="20"/>
                <w:szCs w:val="20"/>
                <w:color w:val="auto"/>
              </w:rPr>
            </w:pPr>
            <w:r>
              <w:rPr>
                <w:rFonts w:ascii="Arial" w:cs="Arial" w:eastAsia="Arial" w:hAnsi="Arial"/>
                <w:sz w:val="13"/>
                <w:szCs w:val="13"/>
                <w:color w:val="auto"/>
              </w:rPr>
              <w:t>8,359,022</w:t>
            </w:r>
          </w:p>
        </w:tc>
        <w:tc>
          <w:tcPr>
            <w:tcW w:w="1740" w:type="dxa"/>
            <w:vAlign w:val="bottom"/>
            <w:tcBorders>
              <w:bottom w:val="single" w:sz="8" w:color="E1DBEB"/>
            </w:tcBorders>
            <w:shd w:val="clear" w:color="auto" w:fill="E1DBEB"/>
          </w:tcPr>
          <w:p>
            <w:pPr>
              <w:jc w:val="right"/>
              <w:ind w:right="17"/>
              <w:spacing w:after="0"/>
              <w:rPr>
                <w:sz w:val="20"/>
                <w:szCs w:val="20"/>
                <w:color w:val="auto"/>
              </w:rPr>
            </w:pPr>
            <w:r>
              <w:rPr>
                <w:rFonts w:ascii="Arial" w:cs="Arial" w:eastAsia="Arial" w:hAnsi="Arial"/>
                <w:sz w:val="13"/>
                <w:szCs w:val="13"/>
                <w:color w:val="auto"/>
              </w:rPr>
              <w:t>(6,992,064)</w:t>
            </w:r>
          </w:p>
        </w:tc>
        <w:tc>
          <w:tcPr>
            <w:tcW w:w="1920" w:type="dxa"/>
            <w:vAlign w:val="bottom"/>
            <w:tcBorders>
              <w:bottom w:val="single" w:sz="8" w:color="E1DBEB"/>
            </w:tcBorders>
            <w:shd w:val="clear" w:color="auto" w:fill="E1DBEB"/>
          </w:tcPr>
          <w:p>
            <w:pPr>
              <w:jc w:val="right"/>
              <w:ind w:right="17"/>
              <w:spacing w:after="0"/>
              <w:rPr>
                <w:sz w:val="20"/>
                <w:szCs w:val="20"/>
                <w:color w:val="auto"/>
              </w:rPr>
            </w:pPr>
            <w:r>
              <w:rPr>
                <w:rFonts w:ascii="Arial" w:cs="Arial" w:eastAsia="Arial" w:hAnsi="Arial"/>
                <w:sz w:val="13"/>
                <w:szCs w:val="13"/>
                <w:color w:val="auto"/>
              </w:rPr>
              <w:t>621,447</w:t>
            </w:r>
          </w:p>
        </w:tc>
        <w:tc>
          <w:tcPr>
            <w:tcW w:w="1800" w:type="dxa"/>
            <w:vAlign w:val="bottom"/>
            <w:tcBorders>
              <w:bottom w:val="single" w:sz="8" w:color="E1DBEB"/>
            </w:tcBorders>
            <w:shd w:val="clear" w:color="auto" w:fill="E1DBEB"/>
          </w:tcPr>
          <w:p>
            <w:pPr>
              <w:jc w:val="right"/>
              <w:ind w:right="57"/>
              <w:spacing w:after="0"/>
              <w:rPr>
                <w:sz w:val="20"/>
                <w:szCs w:val="20"/>
                <w:color w:val="auto"/>
              </w:rPr>
            </w:pPr>
            <w:r>
              <w:rPr>
                <w:rFonts w:ascii="Arial" w:cs="Arial" w:eastAsia="Arial" w:hAnsi="Arial"/>
                <w:sz w:val="13"/>
                <w:szCs w:val="13"/>
                <w:color w:val="auto"/>
              </w:rPr>
              <w:t>480,245</w:t>
            </w:r>
          </w:p>
        </w:tc>
        <w:tc>
          <w:tcPr>
            <w:tcW w:w="920" w:type="dxa"/>
            <w:vAlign w:val="bottom"/>
            <w:tcBorders>
              <w:bottom w:val="single" w:sz="8" w:color="E1DBEB"/>
            </w:tcBorders>
            <w:shd w:val="clear" w:color="auto" w:fill="E1DBEB"/>
          </w:tcPr>
          <w:p>
            <w:pPr>
              <w:jc w:val="right"/>
              <w:spacing w:after="0"/>
              <w:rPr>
                <w:sz w:val="20"/>
                <w:szCs w:val="20"/>
                <w:color w:val="auto"/>
              </w:rPr>
            </w:pPr>
            <w:r>
              <w:rPr>
                <w:rFonts w:ascii="Arial" w:cs="Arial" w:eastAsia="Arial" w:hAnsi="Arial"/>
                <w:sz w:val="13"/>
                <w:szCs w:val="13"/>
                <w:color w:val="auto"/>
              </w:rPr>
              <w:t>2,468,650</w:t>
            </w:r>
          </w:p>
        </w:tc>
      </w:tr>
      <w:tr>
        <w:trPr>
          <w:trHeight w:val="20"/>
        </w:trPr>
        <w:tc>
          <w:tcPr>
            <w:tcW w:w="480" w:type="dxa"/>
            <w:vAlign w:val="bottom"/>
            <w:shd w:val="clear" w:color="auto" w:fill="582C83"/>
          </w:tcPr>
          <w:p>
            <w:pPr>
              <w:spacing w:after="0" w:line="20" w:lineRule="exact"/>
              <w:rPr>
                <w:sz w:val="1"/>
                <w:szCs w:val="1"/>
                <w:color w:val="auto"/>
              </w:rPr>
            </w:pPr>
          </w:p>
        </w:tc>
        <w:tc>
          <w:tcPr>
            <w:tcW w:w="1660" w:type="dxa"/>
            <w:vAlign w:val="bottom"/>
            <w:shd w:val="clear" w:color="auto" w:fill="582C83"/>
          </w:tcPr>
          <w:p>
            <w:pPr>
              <w:spacing w:after="0" w:line="20" w:lineRule="exact"/>
              <w:rPr>
                <w:sz w:val="1"/>
                <w:szCs w:val="1"/>
                <w:color w:val="auto"/>
              </w:rPr>
            </w:pPr>
          </w:p>
        </w:tc>
        <w:tc>
          <w:tcPr>
            <w:tcW w:w="1740" w:type="dxa"/>
            <w:vAlign w:val="bottom"/>
            <w:shd w:val="clear" w:color="auto" w:fill="582C83"/>
          </w:tcPr>
          <w:p>
            <w:pPr>
              <w:spacing w:after="0" w:line="20" w:lineRule="exact"/>
              <w:rPr>
                <w:sz w:val="1"/>
                <w:szCs w:val="1"/>
                <w:color w:val="auto"/>
              </w:rPr>
            </w:pPr>
          </w:p>
        </w:tc>
        <w:tc>
          <w:tcPr>
            <w:tcW w:w="1920" w:type="dxa"/>
            <w:vAlign w:val="bottom"/>
            <w:shd w:val="clear" w:color="auto" w:fill="582C83"/>
          </w:tcPr>
          <w:p>
            <w:pPr>
              <w:spacing w:after="0" w:line="20" w:lineRule="exact"/>
              <w:rPr>
                <w:sz w:val="1"/>
                <w:szCs w:val="1"/>
                <w:color w:val="auto"/>
              </w:rPr>
            </w:pPr>
          </w:p>
        </w:tc>
        <w:tc>
          <w:tcPr>
            <w:tcW w:w="1800" w:type="dxa"/>
            <w:vAlign w:val="bottom"/>
            <w:shd w:val="clear" w:color="auto" w:fill="582C83"/>
          </w:tcPr>
          <w:p>
            <w:pPr>
              <w:spacing w:after="0" w:line="20" w:lineRule="exact"/>
              <w:rPr>
                <w:sz w:val="1"/>
                <w:szCs w:val="1"/>
                <w:color w:val="auto"/>
              </w:rPr>
            </w:pPr>
          </w:p>
        </w:tc>
        <w:tc>
          <w:tcPr>
            <w:tcW w:w="920" w:type="dxa"/>
            <w:vAlign w:val="bottom"/>
            <w:shd w:val="clear" w:color="auto" w:fill="582C83"/>
          </w:tcPr>
          <w:p>
            <w:pPr>
              <w:spacing w:after="0" w:line="20" w:lineRule="exact"/>
              <w:rPr>
                <w:sz w:val="1"/>
                <w:szCs w:val="1"/>
                <w:color w:val="auto"/>
              </w:rPr>
            </w:pPr>
          </w:p>
        </w:tc>
      </w:tr>
    </w:tbl>
    <w:p>
      <w:pPr>
        <w:spacing w:after="0" w:line="144" w:lineRule="exact"/>
        <w:rPr>
          <w:sz w:val="20"/>
          <w:szCs w:val="20"/>
          <w:color w:val="auto"/>
        </w:rPr>
      </w:pPr>
    </w:p>
    <w:p>
      <w:pPr>
        <w:ind w:left="260" w:right="20" w:hanging="253"/>
        <w:spacing w:after="0" w:line="289" w:lineRule="auto"/>
        <w:tabs>
          <w:tab w:leader="none" w:pos="26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The dollar amounts reported represent the average of the amounts reported for our NEOs as a group (excluding our PEO) in the “Total Compensation” column of our SCT in each applicable year. The names of each of the NEOs (excluding our PEO) included for purposes of calculating the average amounts in each applicable year are as follows: (i) for 2025, Mr. Zaramella, Mr. Kuhn, Mr. Valle, and Mr. Renaud; (ii) for 2024, Mr. Zaramella, Mr. Gruber, Mr. Valle, and Ms. Lilak; (iii) for 2023, Mr. Zaramella, Mr. Gruber, Mr. Brusadelli, Ms. Stein, and Mr. Valle; (iv) for 2022, Mr. Zaramella, Mr. Gruber, Mr. Brusadelli, and</w:t>
      </w:r>
    </w:p>
    <w:p>
      <w:pPr>
        <w:ind w:left="260"/>
        <w:spacing w:after="0"/>
        <w:rPr>
          <w:rFonts w:ascii="Arial" w:cs="Arial" w:eastAsia="Arial" w:hAnsi="Arial"/>
          <w:sz w:val="12"/>
          <w:szCs w:val="12"/>
          <w:color w:val="auto"/>
        </w:rPr>
      </w:pPr>
      <w:r>
        <w:rPr>
          <w:rFonts w:ascii="Arial" w:cs="Arial" w:eastAsia="Arial" w:hAnsi="Arial"/>
          <w:sz w:val="13"/>
          <w:szCs w:val="13"/>
          <w:color w:val="auto"/>
        </w:rPr>
        <w:t>Mr. Valle; and (v) for 2021, Mr. Zaramella, Mr. Gruber, Mr. Brusadelli, and Ms. Stein.</w:t>
      </w:r>
    </w:p>
    <w:p>
      <w:pPr>
        <w:spacing w:after="0" w:line="76" w:lineRule="exact"/>
        <w:rPr>
          <w:rFonts w:ascii="Arial" w:cs="Arial" w:eastAsia="Arial" w:hAnsi="Arial"/>
          <w:sz w:val="12"/>
          <w:szCs w:val="12"/>
          <w:color w:val="auto"/>
        </w:rPr>
      </w:pPr>
    </w:p>
    <w:p>
      <w:pPr>
        <w:ind w:left="260" w:right="20" w:hanging="253"/>
        <w:spacing w:after="0" w:line="272" w:lineRule="auto"/>
        <w:tabs>
          <w:tab w:leader="none" w:pos="2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dollar amounts reported represent the average amount of CAP to the NEOs as a group (excluding our PEO), as computed in accordance with SEC rules. The dollar amounts do not reflect the actual average amount of compensation earned by or paid to the NEOs as a group (excluding our PEO) during the applicable year. In accordance with the SEC rules, the following adjustments were made to average total compensation for the NEOs as a group (excluding our PEO) for each year to determine the CAP, using the same methodology described above in Note 2. This adjustment also includes adjustments to the pension values, as computed in accordance with SEC rules,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582C83"/>
        </w:rPr>
        <w:t>2026 PROXY STATEMENT |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28879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10375" cy="288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PAY VERSUS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Less Average</w:t>
            </w: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9"/>
        </w:trPr>
        <w:tc>
          <w:tcPr>
            <w:tcW w:w="780" w:type="dxa"/>
            <w:vAlign w:val="bottom"/>
          </w:tcPr>
          <w:p>
            <w:pPr>
              <w:spacing w:after="0"/>
              <w:rPr>
                <w:sz w:val="12"/>
                <w:szCs w:val="12"/>
                <w:color w:val="auto"/>
              </w:rPr>
            </w:pPr>
          </w:p>
        </w:tc>
        <w:tc>
          <w:tcPr>
            <w:tcW w:w="2040" w:type="dxa"/>
            <w:vAlign w:val="bottom"/>
          </w:tcPr>
          <w:p>
            <w:pPr>
              <w:jc w:val="right"/>
              <w:ind w:right="37"/>
              <w:spacing w:after="0"/>
              <w:rPr>
                <w:sz w:val="20"/>
                <w:szCs w:val="20"/>
                <w:color w:val="auto"/>
              </w:rPr>
            </w:pPr>
            <w:r>
              <w:rPr>
                <w:rFonts w:ascii="Arial" w:cs="Arial" w:eastAsia="Arial" w:hAnsi="Arial"/>
                <w:sz w:val="13"/>
                <w:szCs w:val="13"/>
                <w:b w:val="1"/>
                <w:bCs w:val="1"/>
                <w:color w:val="auto"/>
              </w:rPr>
              <w:t>Average Reported</w:t>
            </w: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Reported Change in</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Plus</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Average</w:t>
            </w:r>
          </w:p>
        </w:tc>
      </w:tr>
      <w:tr>
        <w:trPr>
          <w:trHeight w:val="126"/>
        </w:trPr>
        <w:tc>
          <w:tcPr>
            <w:tcW w:w="780" w:type="dxa"/>
            <w:vAlign w:val="bottom"/>
          </w:tcPr>
          <w:p>
            <w:pPr>
              <w:spacing w:after="0"/>
              <w:rPr>
                <w:sz w:val="10"/>
                <w:szCs w:val="10"/>
                <w:color w:val="auto"/>
              </w:rPr>
            </w:pPr>
          </w:p>
        </w:tc>
        <w:tc>
          <w:tcPr>
            <w:tcW w:w="2040" w:type="dxa"/>
            <w:vAlign w:val="bottom"/>
          </w:tcPr>
          <w:p>
            <w:pPr>
              <w:jc w:val="right"/>
              <w:ind w:right="17"/>
              <w:spacing w:after="0" w:line="126" w:lineRule="exact"/>
              <w:rPr>
                <w:sz w:val="20"/>
                <w:szCs w:val="20"/>
                <w:color w:val="auto"/>
              </w:rPr>
            </w:pPr>
            <w:r>
              <w:rPr>
                <w:rFonts w:ascii="Arial" w:cs="Arial" w:eastAsia="Arial" w:hAnsi="Arial"/>
                <w:sz w:val="13"/>
                <w:szCs w:val="13"/>
                <w:b w:val="1"/>
                <w:bCs w:val="1"/>
                <w:color w:val="auto"/>
              </w:rPr>
              <w:t>Summary Compensation</w:t>
            </w:r>
          </w:p>
        </w:tc>
        <w:tc>
          <w:tcPr>
            <w:tcW w:w="1280" w:type="dxa"/>
            <w:vAlign w:val="bottom"/>
          </w:tcPr>
          <w:p>
            <w:pPr>
              <w:jc w:val="right"/>
              <w:ind w:right="57"/>
              <w:spacing w:after="0" w:line="126" w:lineRule="exact"/>
              <w:rPr>
                <w:sz w:val="20"/>
                <w:szCs w:val="20"/>
                <w:color w:val="auto"/>
              </w:rPr>
            </w:pPr>
            <w:r>
              <w:rPr>
                <w:rFonts w:ascii="Arial" w:cs="Arial" w:eastAsia="Arial" w:hAnsi="Arial"/>
                <w:sz w:val="13"/>
                <w:szCs w:val="13"/>
                <w:b w:val="1"/>
                <w:bCs w:val="1"/>
                <w:color w:val="auto"/>
              </w:rPr>
              <w:t>Less Average</w:t>
            </w:r>
          </w:p>
        </w:tc>
        <w:tc>
          <w:tcPr>
            <w:tcW w:w="1060" w:type="dxa"/>
            <w:vAlign w:val="bottom"/>
          </w:tcPr>
          <w:p>
            <w:pPr>
              <w:jc w:val="right"/>
              <w:ind w:right="17"/>
              <w:spacing w:after="0" w:line="126" w:lineRule="exact"/>
              <w:rPr>
                <w:sz w:val="20"/>
                <w:szCs w:val="20"/>
                <w:color w:val="auto"/>
              </w:rPr>
            </w:pPr>
            <w:r>
              <w:rPr>
                <w:rFonts w:ascii="Arial" w:cs="Arial" w:eastAsia="Arial" w:hAnsi="Arial"/>
                <w:sz w:val="13"/>
                <w:szCs w:val="13"/>
                <w:b w:val="1"/>
                <w:bCs w:val="1"/>
                <w:color w:val="auto"/>
              </w:rPr>
              <w:t>Plus Average</w:t>
            </w:r>
          </w:p>
        </w:tc>
        <w:tc>
          <w:tcPr>
            <w:tcW w:w="132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the Actuarial</w:t>
            </w:r>
          </w:p>
        </w:tc>
        <w:tc>
          <w:tcPr>
            <w:tcW w:w="1180" w:type="dxa"/>
            <w:vAlign w:val="bottom"/>
          </w:tcPr>
          <w:p>
            <w:pPr>
              <w:jc w:val="right"/>
              <w:ind w:right="37"/>
              <w:spacing w:after="0" w:line="126" w:lineRule="exact"/>
              <w:rPr>
                <w:sz w:val="20"/>
                <w:szCs w:val="20"/>
                <w:color w:val="auto"/>
              </w:rPr>
            </w:pPr>
            <w:r>
              <w:rPr>
                <w:rFonts w:ascii="Arial" w:cs="Arial" w:eastAsia="Arial" w:hAnsi="Arial"/>
                <w:sz w:val="13"/>
                <w:szCs w:val="13"/>
                <w:b w:val="1"/>
                <w:bCs w:val="1"/>
                <w:color w:val="auto"/>
              </w:rPr>
              <w:t>Average Pension</w:t>
            </w:r>
          </w:p>
        </w:tc>
        <w:tc>
          <w:tcPr>
            <w:tcW w:w="110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Compensation</w:t>
            </w:r>
          </w:p>
        </w:tc>
      </w:tr>
      <w:tr>
        <w:trPr>
          <w:trHeight w:val="171"/>
        </w:trPr>
        <w:tc>
          <w:tcPr>
            <w:tcW w:w="780" w:type="dxa"/>
            <w:vAlign w:val="bottom"/>
          </w:tcPr>
          <w:p>
            <w:pPr>
              <w:spacing w:after="0"/>
              <w:rPr>
                <w:sz w:val="14"/>
                <w:szCs w:val="14"/>
                <w:color w:val="auto"/>
              </w:rPr>
            </w:pPr>
          </w:p>
        </w:tc>
        <w:tc>
          <w:tcPr>
            <w:tcW w:w="2040" w:type="dxa"/>
            <w:vAlign w:val="bottom"/>
          </w:tcPr>
          <w:p>
            <w:pPr>
              <w:jc w:val="right"/>
              <w:ind w:right="37"/>
              <w:spacing w:after="0" w:line="150" w:lineRule="exact"/>
              <w:rPr>
                <w:sz w:val="20"/>
                <w:szCs w:val="20"/>
                <w:color w:val="auto"/>
              </w:rPr>
            </w:pPr>
            <w:r>
              <w:rPr>
                <w:rFonts w:ascii="Arial" w:cs="Arial" w:eastAsia="Arial" w:hAnsi="Arial"/>
                <w:sz w:val="13"/>
                <w:szCs w:val="13"/>
                <w:b w:val="1"/>
                <w:bCs w:val="1"/>
                <w:color w:val="auto"/>
              </w:rPr>
              <w:t>Table Total for Non</w:t>
            </w:r>
            <w:r>
              <w:rPr>
                <w:rFonts w:ascii="MS PGothic" w:cs="MS PGothic" w:eastAsia="MS PGothic" w:hAnsi="MS PGothic"/>
                <w:sz w:val="13"/>
                <w:szCs w:val="13"/>
                <w:color w:val="auto"/>
                <w:strike w:val="1"/>
              </w:rPr>
              <w:t>‑</w:t>
            </w:r>
            <w:r>
              <w:rPr>
                <w:rFonts w:ascii="Arial" w:cs="Arial" w:eastAsia="Arial" w:hAnsi="Arial"/>
                <w:sz w:val="13"/>
                <w:szCs w:val="13"/>
                <w:b w:val="1"/>
                <w:bCs w:val="1"/>
                <w:color w:val="auto"/>
              </w:rPr>
              <w:t>PEO</w:t>
            </w:r>
          </w:p>
        </w:tc>
        <w:tc>
          <w:tcPr>
            <w:tcW w:w="1280" w:type="dxa"/>
            <w:vAlign w:val="bottom"/>
          </w:tcPr>
          <w:p>
            <w:pPr>
              <w:jc w:val="right"/>
              <w:ind w:right="57"/>
              <w:spacing w:after="0"/>
              <w:rPr>
                <w:sz w:val="20"/>
                <w:szCs w:val="20"/>
                <w:color w:val="auto"/>
              </w:rPr>
            </w:pPr>
            <w:r>
              <w:rPr>
                <w:rFonts w:ascii="Arial" w:cs="Arial" w:eastAsia="Arial" w:hAnsi="Arial"/>
                <w:sz w:val="13"/>
                <w:szCs w:val="13"/>
                <w:b w:val="1"/>
                <w:bCs w:val="1"/>
                <w:color w:val="auto"/>
              </w:rPr>
              <w:t>Reported Value of</w:t>
            </w:r>
          </w:p>
        </w:tc>
        <w:tc>
          <w:tcPr>
            <w:tcW w:w="1060" w:type="dxa"/>
            <w:vAlign w:val="bottom"/>
          </w:tcPr>
          <w:p>
            <w:pPr>
              <w:jc w:val="right"/>
              <w:ind w:right="17"/>
              <w:spacing w:after="0"/>
              <w:rPr>
                <w:sz w:val="20"/>
                <w:szCs w:val="20"/>
                <w:color w:val="auto"/>
              </w:rPr>
            </w:pPr>
            <w:r>
              <w:rPr>
                <w:rFonts w:ascii="Arial" w:cs="Arial" w:eastAsia="Arial" w:hAnsi="Arial"/>
                <w:sz w:val="13"/>
                <w:szCs w:val="13"/>
                <w:b w:val="1"/>
                <w:bCs w:val="1"/>
                <w:color w:val="auto"/>
              </w:rPr>
              <w:t>Equity Award</w:t>
            </w: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Present Value of</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Benefit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Actually Paid to</w:t>
            </w:r>
          </w:p>
        </w:tc>
      </w:tr>
      <w:tr>
        <w:trPr>
          <w:trHeight w:val="162"/>
        </w:trPr>
        <w:tc>
          <w:tcPr>
            <w:tcW w:w="780" w:type="dxa"/>
            <w:vAlign w:val="bottom"/>
          </w:tcPr>
          <w:p>
            <w:pPr>
              <w:spacing w:after="0"/>
              <w:rPr>
                <w:sz w:val="14"/>
                <w:szCs w:val="14"/>
                <w:color w:val="auto"/>
              </w:rPr>
            </w:pPr>
          </w:p>
        </w:tc>
        <w:tc>
          <w:tcPr>
            <w:tcW w:w="2040" w:type="dxa"/>
            <w:vAlign w:val="bottom"/>
          </w:tcPr>
          <w:p>
            <w:pPr>
              <w:jc w:val="right"/>
              <w:ind w:right="17"/>
              <w:spacing w:after="0"/>
              <w:rPr>
                <w:sz w:val="20"/>
                <w:szCs w:val="20"/>
                <w:color w:val="auto"/>
              </w:rPr>
            </w:pPr>
            <w:r>
              <w:rPr>
                <w:rFonts w:ascii="Arial" w:cs="Arial" w:eastAsia="Arial" w:hAnsi="Arial"/>
                <w:sz w:val="13"/>
                <w:szCs w:val="13"/>
                <w:b w:val="1"/>
                <w:bCs w:val="1"/>
                <w:color w:val="auto"/>
              </w:rPr>
              <w:t>NEOs</w:t>
            </w:r>
          </w:p>
        </w:tc>
        <w:tc>
          <w:tcPr>
            <w:tcW w:w="1280" w:type="dxa"/>
            <w:vAlign w:val="bottom"/>
          </w:tcPr>
          <w:p>
            <w:pPr>
              <w:jc w:val="right"/>
              <w:ind w:right="57"/>
              <w:spacing w:after="0"/>
              <w:rPr>
                <w:sz w:val="20"/>
                <w:szCs w:val="20"/>
                <w:color w:val="auto"/>
              </w:rPr>
            </w:pPr>
            <w:r>
              <w:rPr>
                <w:rFonts w:ascii="Arial" w:cs="Arial" w:eastAsia="Arial" w:hAnsi="Arial"/>
                <w:sz w:val="13"/>
                <w:szCs w:val="13"/>
                <w:b w:val="1"/>
                <w:bCs w:val="1"/>
                <w:color w:val="auto"/>
              </w:rPr>
              <w:t>Equity Awards</w:t>
            </w:r>
          </w:p>
        </w:tc>
        <w:tc>
          <w:tcPr>
            <w:tcW w:w="1060" w:type="dxa"/>
            <w:vAlign w:val="bottom"/>
          </w:tcPr>
          <w:p>
            <w:pPr>
              <w:jc w:val="right"/>
              <w:ind w:right="17"/>
              <w:spacing w:after="0" w:line="162" w:lineRule="exact"/>
              <w:rPr>
                <w:sz w:val="20"/>
                <w:szCs w:val="20"/>
                <w:color w:val="auto"/>
              </w:rPr>
            </w:pPr>
            <w:r>
              <w:rPr>
                <w:rFonts w:ascii="Arial" w:cs="Arial" w:eastAsia="Arial" w:hAnsi="Arial"/>
                <w:sz w:val="13"/>
                <w:szCs w:val="13"/>
                <w:b w:val="1"/>
                <w:bCs w:val="1"/>
                <w:color w:val="auto"/>
              </w:rPr>
              <w:t>Adjustments</w:t>
            </w:r>
            <w:r>
              <w:rPr>
                <w:rFonts w:ascii="Arial" w:cs="Arial" w:eastAsia="Arial" w:hAnsi="Arial"/>
                <w:sz w:val="16"/>
                <w:szCs w:val="16"/>
                <w:b w:val="1"/>
                <w:bCs w:val="1"/>
                <w:color w:val="auto"/>
                <w:vertAlign w:val="superscript"/>
              </w:rPr>
              <w:t>(a)</w:t>
            </w:r>
          </w:p>
        </w:tc>
        <w:tc>
          <w:tcPr>
            <w:tcW w:w="1320" w:type="dxa"/>
            <w:vAlign w:val="bottom"/>
          </w:tcPr>
          <w:p>
            <w:pPr>
              <w:jc w:val="right"/>
              <w:spacing w:after="0" w:line="162" w:lineRule="exact"/>
              <w:rPr>
                <w:sz w:val="20"/>
                <w:szCs w:val="20"/>
                <w:color w:val="auto"/>
              </w:rPr>
            </w:pPr>
            <w:r>
              <w:rPr>
                <w:rFonts w:ascii="Arial" w:cs="Arial" w:eastAsia="Arial" w:hAnsi="Arial"/>
                <w:sz w:val="13"/>
                <w:szCs w:val="13"/>
                <w:b w:val="1"/>
                <w:bCs w:val="1"/>
                <w:color w:val="auto"/>
              </w:rPr>
              <w:t>Pension Benefits</w:t>
            </w:r>
            <w:r>
              <w:rPr>
                <w:rFonts w:ascii="Arial" w:cs="Arial" w:eastAsia="Arial" w:hAnsi="Arial"/>
                <w:sz w:val="16"/>
                <w:szCs w:val="16"/>
                <w:b w:val="1"/>
                <w:bCs w:val="1"/>
                <w:color w:val="auto"/>
                <w:vertAlign w:val="superscript"/>
              </w:rPr>
              <w:t>(b)</w:t>
            </w:r>
          </w:p>
        </w:tc>
        <w:tc>
          <w:tcPr>
            <w:tcW w:w="1180" w:type="dxa"/>
            <w:vAlign w:val="bottom"/>
          </w:tcPr>
          <w:p>
            <w:pPr>
              <w:jc w:val="right"/>
              <w:ind w:right="37"/>
              <w:spacing w:after="0" w:line="162" w:lineRule="exact"/>
              <w:rPr>
                <w:sz w:val="20"/>
                <w:szCs w:val="20"/>
                <w:color w:val="auto"/>
              </w:rPr>
            </w:pPr>
            <w:r>
              <w:rPr>
                <w:rFonts w:ascii="Arial" w:cs="Arial" w:eastAsia="Arial" w:hAnsi="Arial"/>
                <w:sz w:val="13"/>
                <w:szCs w:val="13"/>
                <w:b w:val="1"/>
                <w:bCs w:val="1"/>
                <w:color w:val="auto"/>
              </w:rPr>
              <w:t>Adjustments</w:t>
            </w:r>
            <w:r>
              <w:rPr>
                <w:rFonts w:ascii="Arial" w:cs="Arial" w:eastAsia="Arial" w:hAnsi="Arial"/>
                <w:sz w:val="16"/>
                <w:szCs w:val="16"/>
                <w:b w:val="1"/>
                <w:bCs w:val="1"/>
                <w:color w:val="auto"/>
                <w:vertAlign w:val="superscript"/>
              </w:rPr>
              <w:t>(c)</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Non-PEO NEOs</w:t>
            </w:r>
          </w:p>
        </w:tc>
      </w:tr>
      <w:tr>
        <w:trPr>
          <w:trHeight w:val="146"/>
        </w:trPr>
        <w:tc>
          <w:tcPr>
            <w:tcW w:w="780" w:type="dxa"/>
            <w:vAlign w:val="bottom"/>
            <w:tcBorders>
              <w:bottom w:val="single" w:sz="8" w:color="582C83"/>
            </w:tcBorders>
          </w:tcPr>
          <w:p>
            <w:pPr>
              <w:ind w:left="40"/>
              <w:spacing w:after="0" w:line="139" w:lineRule="exact"/>
              <w:rPr>
                <w:sz w:val="20"/>
                <w:szCs w:val="20"/>
                <w:color w:val="auto"/>
              </w:rPr>
            </w:pPr>
            <w:r>
              <w:rPr>
                <w:rFonts w:ascii="Arial" w:cs="Arial" w:eastAsia="Arial" w:hAnsi="Arial"/>
                <w:sz w:val="13"/>
                <w:szCs w:val="13"/>
                <w:b w:val="1"/>
                <w:bCs w:val="1"/>
                <w:color w:val="auto"/>
              </w:rPr>
              <w:t>Year</w:t>
            </w:r>
          </w:p>
        </w:tc>
        <w:tc>
          <w:tcPr>
            <w:tcW w:w="2040" w:type="dxa"/>
            <w:vAlign w:val="bottom"/>
            <w:tcBorders>
              <w:bottom w:val="single" w:sz="8" w:color="582C83"/>
            </w:tcBorders>
          </w:tcPr>
          <w:p>
            <w:pPr>
              <w:jc w:val="right"/>
              <w:ind w:right="17"/>
              <w:spacing w:after="0" w:line="139" w:lineRule="exact"/>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582C83"/>
            </w:tcBorders>
          </w:tcPr>
          <w:p>
            <w:pPr>
              <w:jc w:val="right"/>
              <w:ind w:right="57"/>
              <w:spacing w:after="0" w:line="139" w:lineRule="exact"/>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582C83"/>
            </w:tcBorders>
          </w:tcPr>
          <w:p>
            <w:pPr>
              <w:jc w:val="right"/>
              <w:ind w:right="17"/>
              <w:spacing w:after="0" w:line="139" w:lineRule="exact"/>
              <w:rPr>
                <w:sz w:val="20"/>
                <w:szCs w:val="20"/>
                <w:color w:val="auto"/>
              </w:rPr>
            </w:pPr>
            <w:r>
              <w:rPr>
                <w:rFonts w:ascii="Arial" w:cs="Arial" w:eastAsia="Arial" w:hAnsi="Arial"/>
                <w:sz w:val="13"/>
                <w:szCs w:val="13"/>
                <w:b w:val="1"/>
                <w:bCs w:val="1"/>
                <w:color w:val="auto"/>
              </w:rPr>
              <w:t>($)</w:t>
            </w:r>
          </w:p>
        </w:tc>
        <w:tc>
          <w:tcPr>
            <w:tcW w:w="1320" w:type="dxa"/>
            <w:vAlign w:val="bottom"/>
            <w:tcBorders>
              <w:bottom w:val="single" w:sz="8" w:color="582C83"/>
            </w:tcBorders>
          </w:tcPr>
          <w:p>
            <w:pPr>
              <w:jc w:val="right"/>
              <w:spacing w:after="0" w:line="139" w:lineRule="exact"/>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582C83"/>
            </w:tcBorders>
          </w:tcPr>
          <w:p>
            <w:pPr>
              <w:jc w:val="right"/>
              <w:ind w:right="37"/>
              <w:spacing w:after="0" w:line="139" w:lineRule="exact"/>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582C83"/>
            </w:tcBorders>
          </w:tcPr>
          <w:p>
            <w:pPr>
              <w:jc w:val="right"/>
              <w:spacing w:after="0" w:line="139" w:lineRule="exact"/>
              <w:rPr>
                <w:sz w:val="20"/>
                <w:szCs w:val="20"/>
                <w:color w:val="auto"/>
              </w:rPr>
            </w:pPr>
            <w:r>
              <w:rPr>
                <w:rFonts w:ascii="Arial" w:cs="Arial" w:eastAsia="Arial" w:hAnsi="Arial"/>
                <w:sz w:val="13"/>
                <w:szCs w:val="13"/>
                <w:b w:val="1"/>
                <w:bCs w:val="1"/>
                <w:color w:val="auto"/>
              </w:rPr>
              <w:t>($)</w:t>
            </w:r>
          </w:p>
        </w:tc>
      </w:tr>
      <w:tr>
        <w:trPr>
          <w:trHeight w:val="196"/>
        </w:trPr>
        <w:tc>
          <w:tcPr>
            <w:tcW w:w="780" w:type="dxa"/>
            <w:vAlign w:val="bottom"/>
            <w:tcBorders>
              <w:bottom w:val="single" w:sz="8" w:color="E1DBEB"/>
            </w:tcBorders>
            <w:shd w:val="clear" w:color="auto" w:fill="E1DBEB"/>
          </w:tcPr>
          <w:p>
            <w:pPr>
              <w:ind w:left="40"/>
              <w:spacing w:after="0"/>
              <w:rPr>
                <w:sz w:val="20"/>
                <w:szCs w:val="20"/>
                <w:color w:val="auto"/>
              </w:rPr>
            </w:pPr>
            <w:r>
              <w:rPr>
                <w:rFonts w:ascii="Arial" w:cs="Arial" w:eastAsia="Arial" w:hAnsi="Arial"/>
                <w:sz w:val="13"/>
                <w:szCs w:val="13"/>
                <w:color w:val="auto"/>
              </w:rPr>
              <w:t>2025</w:t>
            </w:r>
          </w:p>
        </w:tc>
        <w:tc>
          <w:tcPr>
            <w:tcW w:w="2040" w:type="dxa"/>
            <w:vAlign w:val="bottom"/>
            <w:tcBorders>
              <w:bottom w:val="single" w:sz="8" w:color="E1DBEB"/>
            </w:tcBorders>
            <w:shd w:val="clear" w:color="auto" w:fill="E1DBEB"/>
          </w:tcPr>
          <w:p>
            <w:pPr>
              <w:jc w:val="right"/>
              <w:ind w:right="37"/>
              <w:spacing w:after="0"/>
              <w:rPr>
                <w:sz w:val="20"/>
                <w:szCs w:val="20"/>
                <w:color w:val="auto"/>
              </w:rPr>
            </w:pPr>
            <w:r>
              <w:rPr>
                <w:rFonts w:ascii="Arial" w:cs="Arial" w:eastAsia="Arial" w:hAnsi="Arial"/>
                <w:sz w:val="13"/>
                <w:szCs w:val="13"/>
                <w:color w:val="auto"/>
              </w:rPr>
              <w:t>7,220,779</w:t>
            </w:r>
          </w:p>
        </w:tc>
        <w:tc>
          <w:tcPr>
            <w:tcW w:w="1280" w:type="dxa"/>
            <w:vAlign w:val="bottom"/>
            <w:tcBorders>
              <w:bottom w:val="single" w:sz="8" w:color="E1DBEB"/>
            </w:tcBorders>
            <w:shd w:val="clear" w:color="auto" w:fill="E1DBEB"/>
          </w:tcPr>
          <w:p>
            <w:pPr>
              <w:jc w:val="right"/>
              <w:ind w:right="57"/>
              <w:spacing w:after="0"/>
              <w:rPr>
                <w:sz w:val="20"/>
                <w:szCs w:val="20"/>
                <w:color w:val="auto"/>
              </w:rPr>
            </w:pPr>
            <w:r>
              <w:rPr>
                <w:rFonts w:ascii="Arial" w:cs="Arial" w:eastAsia="Arial" w:hAnsi="Arial"/>
                <w:sz w:val="13"/>
                <w:szCs w:val="13"/>
                <w:color w:val="auto"/>
              </w:rPr>
              <w:t>4,852,271</w:t>
            </w:r>
          </w:p>
        </w:tc>
        <w:tc>
          <w:tcPr>
            <w:tcW w:w="1060" w:type="dxa"/>
            <w:vAlign w:val="bottom"/>
            <w:tcBorders>
              <w:bottom w:val="single" w:sz="8" w:color="E1DBEB"/>
            </w:tcBorders>
            <w:shd w:val="clear" w:color="auto" w:fill="E1DBEB"/>
          </w:tcPr>
          <w:p>
            <w:pPr>
              <w:jc w:val="right"/>
              <w:ind w:right="17"/>
              <w:spacing w:after="0"/>
              <w:rPr>
                <w:sz w:val="20"/>
                <w:szCs w:val="20"/>
                <w:color w:val="auto"/>
              </w:rPr>
            </w:pPr>
            <w:r>
              <w:rPr>
                <w:rFonts w:ascii="Arial" w:cs="Arial" w:eastAsia="Arial" w:hAnsi="Arial"/>
                <w:sz w:val="13"/>
                <w:szCs w:val="13"/>
                <w:color w:val="auto"/>
              </w:rPr>
              <w:t>1,213,338</w:t>
            </w:r>
          </w:p>
        </w:tc>
        <w:tc>
          <w:tcPr>
            <w:tcW w:w="1320" w:type="dxa"/>
            <w:vAlign w:val="bottom"/>
            <w:tcBorders>
              <w:bottom w:val="single" w:sz="8" w:color="E1DBEB"/>
            </w:tcBorders>
            <w:shd w:val="clear" w:color="auto" w:fill="E1DBEB"/>
          </w:tcPr>
          <w:p>
            <w:pPr>
              <w:jc w:val="right"/>
              <w:spacing w:after="0"/>
              <w:rPr>
                <w:sz w:val="20"/>
                <w:szCs w:val="20"/>
                <w:color w:val="auto"/>
              </w:rPr>
            </w:pPr>
            <w:r>
              <w:rPr>
                <w:rFonts w:ascii="Arial" w:cs="Arial" w:eastAsia="Arial" w:hAnsi="Arial"/>
                <w:sz w:val="13"/>
                <w:szCs w:val="13"/>
                <w:color w:val="auto"/>
              </w:rPr>
              <w:t>276,127</w:t>
            </w:r>
          </w:p>
        </w:tc>
        <w:tc>
          <w:tcPr>
            <w:tcW w:w="1180" w:type="dxa"/>
            <w:vAlign w:val="bottom"/>
            <w:tcBorders>
              <w:bottom w:val="single" w:sz="8" w:color="E1DBEB"/>
            </w:tcBorders>
            <w:shd w:val="clear" w:color="auto" w:fill="E1DBEB"/>
          </w:tcPr>
          <w:p>
            <w:pPr>
              <w:jc w:val="right"/>
              <w:ind w:right="3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E1DBEB"/>
            </w:tcBorders>
            <w:shd w:val="clear" w:color="auto" w:fill="E1DBEB"/>
          </w:tcPr>
          <w:p>
            <w:pPr>
              <w:jc w:val="right"/>
              <w:spacing w:after="0"/>
              <w:rPr>
                <w:sz w:val="20"/>
                <w:szCs w:val="20"/>
                <w:color w:val="auto"/>
              </w:rPr>
            </w:pPr>
            <w:r>
              <w:rPr>
                <w:rFonts w:ascii="Arial" w:cs="Arial" w:eastAsia="Arial" w:hAnsi="Arial"/>
                <w:sz w:val="13"/>
                <w:szCs w:val="13"/>
                <w:color w:val="auto"/>
              </w:rPr>
              <w:t>3,305,719</w:t>
            </w:r>
          </w:p>
        </w:tc>
      </w:tr>
      <w:tr>
        <w:trPr>
          <w:trHeight w:val="20"/>
        </w:trPr>
        <w:tc>
          <w:tcPr>
            <w:tcW w:w="780" w:type="dxa"/>
            <w:vAlign w:val="bottom"/>
            <w:shd w:val="clear" w:color="auto" w:fill="582C83"/>
          </w:tcPr>
          <w:p>
            <w:pPr>
              <w:spacing w:after="0" w:line="20" w:lineRule="exact"/>
              <w:rPr>
                <w:sz w:val="1"/>
                <w:szCs w:val="1"/>
                <w:color w:val="auto"/>
              </w:rPr>
            </w:pPr>
          </w:p>
        </w:tc>
        <w:tc>
          <w:tcPr>
            <w:tcW w:w="2040" w:type="dxa"/>
            <w:vAlign w:val="bottom"/>
            <w:shd w:val="clear" w:color="auto" w:fill="582C83"/>
          </w:tcPr>
          <w:p>
            <w:pPr>
              <w:spacing w:after="0" w:line="20" w:lineRule="exact"/>
              <w:rPr>
                <w:sz w:val="1"/>
                <w:szCs w:val="1"/>
                <w:color w:val="auto"/>
              </w:rPr>
            </w:pPr>
          </w:p>
        </w:tc>
        <w:tc>
          <w:tcPr>
            <w:tcW w:w="1280" w:type="dxa"/>
            <w:vAlign w:val="bottom"/>
            <w:shd w:val="clear" w:color="auto" w:fill="582C83"/>
          </w:tcPr>
          <w:p>
            <w:pPr>
              <w:spacing w:after="0" w:line="20" w:lineRule="exact"/>
              <w:rPr>
                <w:sz w:val="1"/>
                <w:szCs w:val="1"/>
                <w:color w:val="auto"/>
              </w:rPr>
            </w:pPr>
          </w:p>
        </w:tc>
        <w:tc>
          <w:tcPr>
            <w:tcW w:w="1060" w:type="dxa"/>
            <w:vAlign w:val="bottom"/>
            <w:shd w:val="clear" w:color="auto" w:fill="582C83"/>
          </w:tcPr>
          <w:p>
            <w:pPr>
              <w:spacing w:after="0" w:line="20" w:lineRule="exact"/>
              <w:rPr>
                <w:sz w:val="1"/>
                <w:szCs w:val="1"/>
                <w:color w:val="auto"/>
              </w:rPr>
            </w:pPr>
          </w:p>
        </w:tc>
        <w:tc>
          <w:tcPr>
            <w:tcW w:w="1320" w:type="dxa"/>
            <w:vAlign w:val="bottom"/>
            <w:shd w:val="clear" w:color="auto" w:fill="582C83"/>
          </w:tcPr>
          <w:p>
            <w:pPr>
              <w:spacing w:after="0" w:line="20" w:lineRule="exact"/>
              <w:rPr>
                <w:sz w:val="1"/>
                <w:szCs w:val="1"/>
                <w:color w:val="auto"/>
              </w:rPr>
            </w:pPr>
          </w:p>
        </w:tc>
        <w:tc>
          <w:tcPr>
            <w:tcW w:w="1180" w:type="dxa"/>
            <w:vAlign w:val="bottom"/>
            <w:shd w:val="clear" w:color="auto" w:fill="582C83"/>
          </w:tcPr>
          <w:p>
            <w:pPr>
              <w:spacing w:after="0" w:line="20" w:lineRule="exact"/>
              <w:rPr>
                <w:sz w:val="1"/>
                <w:szCs w:val="1"/>
                <w:color w:val="auto"/>
              </w:rPr>
            </w:pPr>
          </w:p>
        </w:tc>
        <w:tc>
          <w:tcPr>
            <w:tcW w:w="1100" w:type="dxa"/>
            <w:vAlign w:val="bottom"/>
            <w:shd w:val="clear" w:color="auto" w:fill="582C83"/>
          </w:tcPr>
          <w:p>
            <w:pPr>
              <w:spacing w:after="0" w:line="20" w:lineRule="exact"/>
              <w:rPr>
                <w:sz w:val="1"/>
                <w:szCs w:val="1"/>
                <w:color w:val="auto"/>
              </w:rPr>
            </w:pPr>
          </w:p>
        </w:tc>
      </w:tr>
    </w:tbl>
    <w:p>
      <w:pPr>
        <w:spacing w:after="0" w:line="5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2"/>
          <w:szCs w:val="12"/>
          <w:color w:val="auto"/>
        </w:rPr>
        <w:t>The amounts deducted or added in calculating the total average equity award adjustments are as follows:</w:t>
      </w: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5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40" w:type="dxa"/>
            <w:vAlign w:val="bottom"/>
          </w:tcPr>
          <w:p>
            <w:pPr>
              <w:jc w:val="right"/>
              <w:ind w:right="17"/>
              <w:spacing w:after="0"/>
              <w:rPr>
                <w:sz w:val="20"/>
                <w:szCs w:val="20"/>
                <w:color w:val="auto"/>
              </w:rPr>
            </w:pPr>
            <w:r>
              <w:rPr>
                <w:rFonts w:ascii="Arial" w:cs="Arial" w:eastAsia="Arial" w:hAnsi="Arial"/>
                <w:sz w:val="13"/>
                <w:szCs w:val="13"/>
                <w:b w:val="1"/>
                <w:bCs w:val="1"/>
                <w:color w:val="auto"/>
              </w:rPr>
              <w:t>Plus or Less Average</w:t>
            </w:r>
          </w:p>
        </w:tc>
        <w:tc>
          <w:tcPr>
            <w:tcW w:w="2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2"/>
        </w:trPr>
        <w:tc>
          <w:tcPr>
            <w:tcW w:w="5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b w:val="1"/>
                <w:bCs w:val="1"/>
                <w:color w:val="auto"/>
              </w:rPr>
              <w:t>Plus Average Year End</w:t>
            </w:r>
          </w:p>
        </w:tc>
        <w:tc>
          <w:tcPr>
            <w:tcW w:w="1640" w:type="dxa"/>
            <w:vAlign w:val="bottom"/>
          </w:tcPr>
          <w:p>
            <w:pPr>
              <w:jc w:val="right"/>
              <w:ind w:right="17"/>
              <w:spacing w:after="0"/>
              <w:rPr>
                <w:sz w:val="20"/>
                <w:szCs w:val="20"/>
                <w:color w:val="auto"/>
              </w:rPr>
            </w:pPr>
            <w:r>
              <w:rPr>
                <w:rFonts w:ascii="Arial" w:cs="Arial" w:eastAsia="Arial" w:hAnsi="Arial"/>
                <w:sz w:val="13"/>
                <w:szCs w:val="13"/>
                <w:b w:val="1"/>
                <w:bCs w:val="1"/>
                <w:color w:val="auto"/>
                <w:w w:val="97"/>
              </w:rPr>
              <w:t>Year over Year Change in</w:t>
            </w:r>
          </w:p>
        </w:tc>
        <w:tc>
          <w:tcPr>
            <w:tcW w:w="2080" w:type="dxa"/>
            <w:vAlign w:val="bottom"/>
          </w:tcPr>
          <w:p>
            <w:pPr>
              <w:jc w:val="right"/>
              <w:ind w:right="57"/>
              <w:spacing w:after="0"/>
              <w:rPr>
                <w:sz w:val="20"/>
                <w:szCs w:val="20"/>
                <w:color w:val="auto"/>
              </w:rPr>
            </w:pPr>
            <w:r>
              <w:rPr>
                <w:rFonts w:ascii="Arial" w:cs="Arial" w:eastAsia="Arial" w:hAnsi="Arial"/>
                <w:sz w:val="13"/>
                <w:szCs w:val="13"/>
                <w:b w:val="1"/>
                <w:bCs w:val="1"/>
                <w:color w:val="auto"/>
                <w:w w:val="97"/>
              </w:rPr>
              <w:t>Plus or Less Average Change in</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Plus Average Value of</w:t>
            </w:r>
          </w:p>
        </w:tc>
        <w:tc>
          <w:tcPr>
            <w:tcW w:w="920" w:type="dxa"/>
            <w:vAlign w:val="bottom"/>
          </w:tcPr>
          <w:p>
            <w:pPr>
              <w:spacing w:after="0"/>
              <w:rPr>
                <w:sz w:val="14"/>
                <w:szCs w:val="14"/>
                <w:color w:val="auto"/>
              </w:rPr>
            </w:pPr>
          </w:p>
        </w:tc>
      </w:tr>
      <w:tr>
        <w:trPr>
          <w:trHeight w:val="148"/>
        </w:trPr>
        <w:tc>
          <w:tcPr>
            <w:tcW w:w="5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3"/>
                <w:szCs w:val="13"/>
                <w:b w:val="1"/>
                <w:bCs w:val="1"/>
                <w:color w:val="auto"/>
              </w:rPr>
              <w:t>Fair Value of</w:t>
            </w:r>
          </w:p>
        </w:tc>
        <w:tc>
          <w:tcPr>
            <w:tcW w:w="1640" w:type="dxa"/>
            <w:vAlign w:val="bottom"/>
          </w:tcPr>
          <w:p>
            <w:pPr>
              <w:jc w:val="right"/>
              <w:ind w:right="17"/>
              <w:spacing w:after="0"/>
              <w:rPr>
                <w:sz w:val="20"/>
                <w:szCs w:val="20"/>
                <w:color w:val="auto"/>
              </w:rPr>
            </w:pPr>
            <w:r>
              <w:rPr>
                <w:rFonts w:ascii="Arial" w:cs="Arial" w:eastAsia="Arial" w:hAnsi="Arial"/>
                <w:sz w:val="13"/>
                <w:szCs w:val="13"/>
                <w:b w:val="1"/>
                <w:bCs w:val="1"/>
                <w:color w:val="auto"/>
              </w:rPr>
              <w:t>Fair Value of</w:t>
            </w:r>
          </w:p>
        </w:tc>
        <w:tc>
          <w:tcPr>
            <w:tcW w:w="2080" w:type="dxa"/>
            <w:vAlign w:val="bottom"/>
          </w:tcPr>
          <w:p>
            <w:pPr>
              <w:jc w:val="right"/>
              <w:ind w:right="57"/>
              <w:spacing w:after="0"/>
              <w:rPr>
                <w:sz w:val="20"/>
                <w:szCs w:val="20"/>
                <w:color w:val="auto"/>
              </w:rPr>
            </w:pPr>
            <w:r>
              <w:rPr>
                <w:rFonts w:ascii="Arial" w:cs="Arial" w:eastAsia="Arial" w:hAnsi="Arial"/>
                <w:sz w:val="13"/>
                <w:szCs w:val="13"/>
                <w:b w:val="1"/>
                <w:bCs w:val="1"/>
                <w:color w:val="auto"/>
              </w:rPr>
              <w:t>Fair Value from Prior Year End</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Dividends on Stock</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148"/>
        </w:trPr>
        <w:tc>
          <w:tcPr>
            <w:tcW w:w="5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3"/>
                <w:szCs w:val="13"/>
                <w:b w:val="1"/>
                <w:bCs w:val="1"/>
                <w:color w:val="auto"/>
              </w:rPr>
              <w:t>Outstanding and</w:t>
            </w:r>
          </w:p>
        </w:tc>
        <w:tc>
          <w:tcPr>
            <w:tcW w:w="1640" w:type="dxa"/>
            <w:vAlign w:val="bottom"/>
          </w:tcPr>
          <w:p>
            <w:pPr>
              <w:jc w:val="right"/>
              <w:spacing w:after="0"/>
              <w:rPr>
                <w:sz w:val="20"/>
                <w:szCs w:val="20"/>
                <w:color w:val="auto"/>
              </w:rPr>
            </w:pPr>
            <w:r>
              <w:rPr>
                <w:rFonts w:ascii="Arial" w:cs="Arial" w:eastAsia="Arial" w:hAnsi="Arial"/>
                <w:sz w:val="13"/>
                <w:szCs w:val="13"/>
                <w:b w:val="1"/>
                <w:bCs w:val="1"/>
                <w:color w:val="auto"/>
              </w:rPr>
              <w:t>Outstanding and</w:t>
            </w:r>
          </w:p>
        </w:tc>
        <w:tc>
          <w:tcPr>
            <w:tcW w:w="2080" w:type="dxa"/>
            <w:vAlign w:val="bottom"/>
          </w:tcPr>
          <w:p>
            <w:pPr>
              <w:jc w:val="right"/>
              <w:ind w:right="57"/>
              <w:spacing w:after="0"/>
              <w:rPr>
                <w:sz w:val="20"/>
                <w:szCs w:val="20"/>
                <w:color w:val="auto"/>
              </w:rPr>
            </w:pPr>
            <w:r>
              <w:rPr>
                <w:rFonts w:ascii="Arial" w:cs="Arial" w:eastAsia="Arial" w:hAnsi="Arial"/>
                <w:sz w:val="13"/>
                <w:szCs w:val="13"/>
                <w:b w:val="1"/>
                <w:bCs w:val="1"/>
                <w:color w:val="auto"/>
              </w:rPr>
              <w:t>through the Vesting Date for</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Awards not Otherwise</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Average</w:t>
            </w:r>
          </w:p>
        </w:tc>
      </w:tr>
      <w:tr>
        <w:trPr>
          <w:trHeight w:val="148"/>
        </w:trPr>
        <w:tc>
          <w:tcPr>
            <w:tcW w:w="5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3"/>
                <w:szCs w:val="13"/>
                <w:b w:val="1"/>
                <w:bCs w:val="1"/>
                <w:color w:val="auto"/>
              </w:rPr>
              <w:t>Unvested Equity Awards</w:t>
            </w:r>
          </w:p>
        </w:tc>
        <w:tc>
          <w:tcPr>
            <w:tcW w:w="1640" w:type="dxa"/>
            <w:vAlign w:val="bottom"/>
          </w:tcPr>
          <w:p>
            <w:pPr>
              <w:jc w:val="right"/>
              <w:spacing w:after="0"/>
              <w:rPr>
                <w:sz w:val="20"/>
                <w:szCs w:val="20"/>
                <w:color w:val="auto"/>
              </w:rPr>
            </w:pPr>
            <w:r>
              <w:rPr>
                <w:rFonts w:ascii="Arial" w:cs="Arial" w:eastAsia="Arial" w:hAnsi="Arial"/>
                <w:sz w:val="13"/>
                <w:szCs w:val="13"/>
                <w:b w:val="1"/>
                <w:bCs w:val="1"/>
                <w:color w:val="auto"/>
              </w:rPr>
              <w:t>Unvested Equity Awards</w:t>
            </w:r>
          </w:p>
        </w:tc>
        <w:tc>
          <w:tcPr>
            <w:tcW w:w="2080" w:type="dxa"/>
            <w:vAlign w:val="bottom"/>
          </w:tcPr>
          <w:p>
            <w:pPr>
              <w:jc w:val="right"/>
              <w:ind w:right="37"/>
              <w:spacing w:after="0"/>
              <w:rPr>
                <w:sz w:val="20"/>
                <w:szCs w:val="20"/>
                <w:color w:val="auto"/>
              </w:rPr>
            </w:pPr>
            <w:r>
              <w:rPr>
                <w:rFonts w:ascii="Arial" w:cs="Arial" w:eastAsia="Arial" w:hAnsi="Arial"/>
                <w:sz w:val="13"/>
                <w:szCs w:val="13"/>
                <w:b w:val="1"/>
                <w:bCs w:val="1"/>
                <w:color w:val="auto"/>
              </w:rPr>
              <w:t>Equity Awards Granted in Prior</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Reflected in Fair Value or</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Equity Award</w:t>
            </w:r>
          </w:p>
        </w:tc>
      </w:tr>
      <w:tr>
        <w:trPr>
          <w:trHeight w:val="148"/>
        </w:trPr>
        <w:tc>
          <w:tcPr>
            <w:tcW w:w="5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3"/>
                <w:szCs w:val="13"/>
                <w:b w:val="1"/>
                <w:bCs w:val="1"/>
                <w:color w:val="auto"/>
              </w:rPr>
              <w:t>Granted in the Year</w:t>
            </w:r>
          </w:p>
        </w:tc>
        <w:tc>
          <w:tcPr>
            <w:tcW w:w="1640" w:type="dxa"/>
            <w:vAlign w:val="bottom"/>
          </w:tcPr>
          <w:p>
            <w:pPr>
              <w:jc w:val="right"/>
              <w:ind w:right="17"/>
              <w:spacing w:after="0"/>
              <w:rPr>
                <w:sz w:val="20"/>
                <w:szCs w:val="20"/>
                <w:color w:val="auto"/>
              </w:rPr>
            </w:pPr>
            <w:r>
              <w:rPr>
                <w:rFonts w:ascii="Arial" w:cs="Arial" w:eastAsia="Arial" w:hAnsi="Arial"/>
                <w:sz w:val="13"/>
                <w:szCs w:val="13"/>
                <w:b w:val="1"/>
                <w:bCs w:val="1"/>
                <w:color w:val="auto"/>
              </w:rPr>
              <w:t>Granted in Prior Years</w:t>
            </w:r>
          </w:p>
        </w:tc>
        <w:tc>
          <w:tcPr>
            <w:tcW w:w="2080" w:type="dxa"/>
            <w:vAlign w:val="bottom"/>
          </w:tcPr>
          <w:p>
            <w:pPr>
              <w:jc w:val="right"/>
              <w:ind w:right="57"/>
              <w:spacing w:after="0"/>
              <w:rPr>
                <w:sz w:val="20"/>
                <w:szCs w:val="20"/>
                <w:color w:val="auto"/>
              </w:rPr>
            </w:pPr>
            <w:r>
              <w:rPr>
                <w:rFonts w:ascii="Arial" w:cs="Arial" w:eastAsia="Arial" w:hAnsi="Arial"/>
                <w:sz w:val="13"/>
                <w:szCs w:val="13"/>
                <w:b w:val="1"/>
                <w:bCs w:val="1"/>
                <w:color w:val="auto"/>
              </w:rPr>
              <w:t>Years that Vested in the Year</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Total Compensation</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Adjustments</w:t>
            </w:r>
          </w:p>
        </w:tc>
      </w:tr>
      <w:tr>
        <w:trPr>
          <w:trHeight w:val="160"/>
        </w:trPr>
        <w:tc>
          <w:tcPr>
            <w:tcW w:w="520" w:type="dxa"/>
            <w:vAlign w:val="bottom"/>
            <w:tcBorders>
              <w:bottom w:val="single" w:sz="8" w:color="5A095E"/>
            </w:tcBorders>
          </w:tcPr>
          <w:p>
            <w:pPr>
              <w:ind w:left="60"/>
              <w:spacing w:after="0"/>
              <w:rPr>
                <w:sz w:val="20"/>
                <w:szCs w:val="20"/>
                <w:color w:val="auto"/>
              </w:rPr>
            </w:pPr>
            <w:r>
              <w:rPr>
                <w:rFonts w:ascii="Arial" w:cs="Arial" w:eastAsia="Arial" w:hAnsi="Arial"/>
                <w:sz w:val="13"/>
                <w:szCs w:val="13"/>
                <w:b w:val="1"/>
                <w:bCs w:val="1"/>
                <w:color w:val="auto"/>
              </w:rPr>
              <w:t>Year</w:t>
            </w:r>
          </w:p>
        </w:tc>
        <w:tc>
          <w:tcPr>
            <w:tcW w:w="1700" w:type="dxa"/>
            <w:vAlign w:val="bottom"/>
            <w:tcBorders>
              <w:bottom w:val="single" w:sz="8" w:color="5A095E"/>
            </w:tcBorders>
          </w:tcPr>
          <w:p>
            <w:pPr>
              <w:jc w:val="right"/>
              <w:spacing w:after="0"/>
              <w:rPr>
                <w:sz w:val="20"/>
                <w:szCs w:val="20"/>
                <w:color w:val="auto"/>
              </w:rPr>
            </w:pPr>
            <w:r>
              <w:rPr>
                <w:rFonts w:ascii="Arial" w:cs="Arial" w:eastAsia="Arial" w:hAnsi="Arial"/>
                <w:sz w:val="13"/>
                <w:szCs w:val="13"/>
                <w:b w:val="1"/>
                <w:bCs w:val="1"/>
                <w:color w:val="auto"/>
              </w:rPr>
              <w:t>($)</w:t>
            </w:r>
          </w:p>
        </w:tc>
        <w:tc>
          <w:tcPr>
            <w:tcW w:w="1640" w:type="dxa"/>
            <w:vAlign w:val="bottom"/>
            <w:tcBorders>
              <w:bottom w:val="single" w:sz="8" w:color="5A095E"/>
            </w:tcBorders>
          </w:tcPr>
          <w:p>
            <w:pPr>
              <w:jc w:val="right"/>
              <w:spacing w:after="0"/>
              <w:rPr>
                <w:sz w:val="20"/>
                <w:szCs w:val="20"/>
                <w:color w:val="auto"/>
              </w:rPr>
            </w:pPr>
            <w:r>
              <w:rPr>
                <w:rFonts w:ascii="Arial" w:cs="Arial" w:eastAsia="Arial" w:hAnsi="Arial"/>
                <w:sz w:val="13"/>
                <w:szCs w:val="13"/>
                <w:b w:val="1"/>
                <w:bCs w:val="1"/>
                <w:color w:val="auto"/>
              </w:rPr>
              <w:t>($)</w:t>
            </w:r>
          </w:p>
        </w:tc>
        <w:tc>
          <w:tcPr>
            <w:tcW w:w="2080" w:type="dxa"/>
            <w:vAlign w:val="bottom"/>
            <w:tcBorders>
              <w:bottom w:val="single" w:sz="8" w:color="5A095E"/>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660" w:type="dxa"/>
            <w:vAlign w:val="bottom"/>
            <w:tcBorders>
              <w:bottom w:val="single" w:sz="8" w:color="5A095E"/>
            </w:tcBorders>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5A095E"/>
            </w:tcBorders>
          </w:tcPr>
          <w:p>
            <w:pPr>
              <w:jc w:val="right"/>
              <w:spacing w:after="0"/>
              <w:rPr>
                <w:sz w:val="20"/>
                <w:szCs w:val="20"/>
                <w:color w:val="auto"/>
              </w:rPr>
            </w:pPr>
            <w:r>
              <w:rPr>
                <w:rFonts w:ascii="Arial" w:cs="Arial" w:eastAsia="Arial" w:hAnsi="Arial"/>
                <w:sz w:val="13"/>
                <w:szCs w:val="13"/>
                <w:b w:val="1"/>
                <w:bCs w:val="1"/>
                <w:color w:val="auto"/>
              </w:rPr>
              <w:t>($)</w:t>
            </w:r>
          </w:p>
        </w:tc>
      </w:tr>
      <w:tr>
        <w:trPr>
          <w:trHeight w:val="182"/>
        </w:trPr>
        <w:tc>
          <w:tcPr>
            <w:tcW w:w="520" w:type="dxa"/>
            <w:vAlign w:val="bottom"/>
            <w:tcBorders>
              <w:bottom w:val="single" w:sz="8" w:color="582C83"/>
            </w:tcBorders>
            <w:shd w:val="clear" w:color="auto" w:fill="E1DBEB"/>
          </w:tcPr>
          <w:p>
            <w:pPr>
              <w:ind w:left="60"/>
              <w:spacing w:after="0"/>
              <w:rPr>
                <w:sz w:val="20"/>
                <w:szCs w:val="20"/>
                <w:color w:val="auto"/>
              </w:rPr>
            </w:pPr>
            <w:r>
              <w:rPr>
                <w:rFonts w:ascii="Arial" w:cs="Arial" w:eastAsia="Arial" w:hAnsi="Arial"/>
                <w:sz w:val="13"/>
                <w:szCs w:val="13"/>
                <w:color w:val="auto"/>
              </w:rPr>
              <w:t>2025</w:t>
            </w:r>
          </w:p>
        </w:tc>
        <w:tc>
          <w:tcPr>
            <w:tcW w:w="1700" w:type="dxa"/>
            <w:vAlign w:val="bottom"/>
            <w:tcBorders>
              <w:bottom w:val="single" w:sz="8" w:color="582C83"/>
            </w:tcBorders>
            <w:shd w:val="clear" w:color="auto" w:fill="E1DBEB"/>
          </w:tcPr>
          <w:p>
            <w:pPr>
              <w:jc w:val="right"/>
              <w:spacing w:after="0"/>
              <w:rPr>
                <w:sz w:val="20"/>
                <w:szCs w:val="20"/>
                <w:color w:val="auto"/>
              </w:rPr>
            </w:pPr>
            <w:r>
              <w:rPr>
                <w:rFonts w:ascii="Arial" w:cs="Arial" w:eastAsia="Arial" w:hAnsi="Arial"/>
                <w:sz w:val="13"/>
                <w:szCs w:val="13"/>
                <w:color w:val="auto"/>
              </w:rPr>
              <w:t>2,173,156</w:t>
            </w:r>
          </w:p>
        </w:tc>
        <w:tc>
          <w:tcPr>
            <w:tcW w:w="1640" w:type="dxa"/>
            <w:vAlign w:val="bottom"/>
            <w:tcBorders>
              <w:bottom w:val="single" w:sz="8" w:color="582C83"/>
            </w:tcBorders>
            <w:shd w:val="clear" w:color="auto" w:fill="E1DBEB"/>
          </w:tcPr>
          <w:p>
            <w:pPr>
              <w:jc w:val="right"/>
              <w:spacing w:after="0"/>
              <w:rPr>
                <w:sz w:val="20"/>
                <w:szCs w:val="20"/>
                <w:color w:val="auto"/>
              </w:rPr>
            </w:pPr>
            <w:r>
              <w:rPr>
                <w:rFonts w:ascii="Arial" w:cs="Arial" w:eastAsia="Arial" w:hAnsi="Arial"/>
                <w:sz w:val="13"/>
                <w:szCs w:val="13"/>
                <w:color w:val="auto"/>
              </w:rPr>
              <w:t>(1,166,057)</w:t>
            </w:r>
          </w:p>
        </w:tc>
        <w:tc>
          <w:tcPr>
            <w:tcW w:w="2080" w:type="dxa"/>
            <w:vAlign w:val="bottom"/>
            <w:tcBorders>
              <w:bottom w:val="single" w:sz="8" w:color="582C83"/>
            </w:tcBorders>
            <w:shd w:val="clear" w:color="auto" w:fill="E1DBEB"/>
          </w:tcPr>
          <w:p>
            <w:pPr>
              <w:jc w:val="right"/>
              <w:ind w:right="57"/>
              <w:spacing w:after="0"/>
              <w:rPr>
                <w:sz w:val="20"/>
                <w:szCs w:val="20"/>
                <w:color w:val="auto"/>
              </w:rPr>
            </w:pPr>
            <w:r>
              <w:rPr>
                <w:rFonts w:ascii="Arial" w:cs="Arial" w:eastAsia="Arial" w:hAnsi="Arial"/>
                <w:sz w:val="13"/>
                <w:szCs w:val="13"/>
                <w:color w:val="auto"/>
              </w:rPr>
              <w:t>101,886</w:t>
            </w:r>
          </w:p>
        </w:tc>
        <w:tc>
          <w:tcPr>
            <w:tcW w:w="1660" w:type="dxa"/>
            <w:vAlign w:val="bottom"/>
            <w:tcBorders>
              <w:bottom w:val="single" w:sz="8" w:color="582C83"/>
            </w:tcBorders>
            <w:shd w:val="clear" w:color="auto" w:fill="E1DBEB"/>
          </w:tcPr>
          <w:p>
            <w:pPr>
              <w:jc w:val="right"/>
              <w:spacing w:after="0"/>
              <w:rPr>
                <w:sz w:val="20"/>
                <w:szCs w:val="20"/>
                <w:color w:val="auto"/>
              </w:rPr>
            </w:pPr>
            <w:r>
              <w:rPr>
                <w:rFonts w:ascii="Arial" w:cs="Arial" w:eastAsia="Arial" w:hAnsi="Arial"/>
                <w:sz w:val="13"/>
                <w:szCs w:val="13"/>
                <w:color w:val="auto"/>
              </w:rPr>
              <w:t>104,353</w:t>
            </w:r>
          </w:p>
        </w:tc>
        <w:tc>
          <w:tcPr>
            <w:tcW w:w="920" w:type="dxa"/>
            <w:vAlign w:val="bottom"/>
            <w:tcBorders>
              <w:bottom w:val="single" w:sz="8" w:color="582C83"/>
            </w:tcBorders>
            <w:shd w:val="clear" w:color="auto" w:fill="E1DBEB"/>
          </w:tcPr>
          <w:p>
            <w:pPr>
              <w:jc w:val="right"/>
              <w:spacing w:after="0"/>
              <w:rPr>
                <w:sz w:val="20"/>
                <w:szCs w:val="20"/>
                <w:color w:val="auto"/>
              </w:rPr>
            </w:pPr>
            <w:r>
              <w:rPr>
                <w:rFonts w:ascii="Arial" w:cs="Arial" w:eastAsia="Arial" w:hAnsi="Arial"/>
                <w:sz w:val="13"/>
                <w:szCs w:val="13"/>
                <w:color w:val="auto"/>
              </w:rPr>
              <w:t>1,213,338</w:t>
            </w:r>
          </w:p>
        </w:tc>
      </w:tr>
    </w:tbl>
    <w:p>
      <w:pPr>
        <w:sectPr>
          <w:pgSz w:w="11900" w:h="16900" w:orient="portrait"/>
          <w:cols w:equalWidth="0" w:num="1">
            <w:col w:w="9060"/>
          </w:cols>
          <w:pgMar w:left="1420" w:top="684" w:right="1419" w:bottom="0" w:gutter="0" w:footer="0" w:header="0"/>
        </w:sectPr>
      </w:pPr>
    </w:p>
    <w:bookmarkStart w:id="87" w:name="page88"/>
    <w:bookmarkEnd w:id="87"/>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9683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10375" cy="5968365"/>
                    </a:xfrm>
                    <a:prstGeom prst="rect">
                      <a:avLst/>
                    </a:prstGeom>
                    <a:noFill/>
                  </pic:spPr>
                </pic:pic>
              </a:graphicData>
            </a:graphic>
          </wp:anchor>
        </w:drawing>
      </w:r>
    </w:p>
    <w:p>
      <w:pPr>
        <w:ind w:left="520" w:hanging="254"/>
        <w:spacing w:after="0"/>
        <w:tabs>
          <w:tab w:leader="none" w:pos="520" w:val="left"/>
        </w:tabs>
        <w:numPr>
          <w:ilvl w:val="1"/>
          <w:numId w:val="116"/>
        </w:numPr>
        <w:rPr>
          <w:rFonts w:ascii="Arial" w:cs="Arial" w:eastAsia="Arial" w:hAnsi="Arial"/>
          <w:sz w:val="13"/>
          <w:szCs w:val="13"/>
          <w:color w:val="auto"/>
        </w:rPr>
      </w:pPr>
      <w:r>
        <w:rPr>
          <w:rFonts w:ascii="Arial" w:cs="Arial" w:eastAsia="Arial" w:hAnsi="Arial"/>
          <w:sz w:val="13"/>
          <w:szCs w:val="13"/>
          <w:color w:val="auto"/>
        </w:rPr>
        <w:t>Represents the average of the amount reported in our SCT in the “Change in Pension Value” column for the year.</w:t>
      </w:r>
    </w:p>
    <w:p>
      <w:pPr>
        <w:spacing w:after="0" w:line="16" w:lineRule="exact"/>
        <w:rPr>
          <w:rFonts w:ascii="Arial" w:cs="Arial" w:eastAsia="Arial" w:hAnsi="Arial"/>
          <w:sz w:val="13"/>
          <w:szCs w:val="13"/>
          <w:color w:val="auto"/>
        </w:rPr>
      </w:pPr>
    </w:p>
    <w:p>
      <w:pPr>
        <w:ind w:left="520" w:right="139" w:hanging="254"/>
        <w:spacing w:after="0" w:line="266" w:lineRule="auto"/>
        <w:tabs>
          <w:tab w:leader="none" w:pos="520" w:val="left"/>
        </w:tabs>
        <w:numPr>
          <w:ilvl w:val="1"/>
          <w:numId w:val="116"/>
        </w:numPr>
        <w:rPr>
          <w:rFonts w:ascii="Arial" w:cs="Arial" w:eastAsia="Arial" w:hAnsi="Arial"/>
          <w:sz w:val="13"/>
          <w:szCs w:val="13"/>
          <w:color w:val="auto"/>
        </w:rPr>
      </w:pPr>
      <w:r>
        <w:rPr>
          <w:rFonts w:ascii="Arial" w:cs="Arial" w:eastAsia="Arial" w:hAnsi="Arial"/>
          <w:sz w:val="13"/>
          <w:szCs w:val="13"/>
          <w:color w:val="auto"/>
        </w:rPr>
        <w:t>Represents the aggregate of two components: (i) the actuarial determined service cost under the Pension Fund Mondelēz Switzerland for services rendered during the year; and (ii) the entire cost of benefits granted in a plan amendment (or initiation) during the year that are attributed by the benefit formula to services rendered in periods prior to the plan amendment or initiation, in each case, calculated in accordance with U.S. GAAP, on an average basis.</w:t>
      </w:r>
    </w:p>
    <w:p>
      <w:pPr>
        <w:spacing w:after="0" w:line="102" w:lineRule="exact"/>
        <w:rPr>
          <w:rFonts w:ascii="Arial" w:cs="Arial" w:eastAsia="Arial" w:hAnsi="Arial"/>
          <w:sz w:val="13"/>
          <w:szCs w:val="13"/>
          <w:color w:val="auto"/>
        </w:rPr>
      </w:pPr>
    </w:p>
    <w:p>
      <w:pPr>
        <w:ind w:left="260" w:right="379" w:hanging="253"/>
        <w:spacing w:after="0" w:line="262" w:lineRule="auto"/>
        <w:tabs>
          <w:tab w:leader="none" w:pos="2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Cumulative TSR is calculated by dividing the sum of the cumulative amount of dividends for the measurement period, assuming dividend reinvestment, and the difference between our share price at the end and the beginning of the measurement period by our share price at the beginning of the measurement period.</w:t>
      </w:r>
    </w:p>
    <w:p>
      <w:pPr>
        <w:ind w:left="260" w:right="39" w:hanging="253"/>
        <w:spacing w:after="0" w:line="260" w:lineRule="auto"/>
        <w:tabs>
          <w:tab w:leader="none" w:pos="2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the weighted peer group TSR, weighted according to the respective company’s stock market capitalization at the beginning of each period for which a return is indicated. The peer group used for this purpose is our Performance Peer Group as reported in the 2025 Form 10-K, which included Campbell Soup Company, The Coca-Cola Company, Colgate-Palmolive Company, Danone S.A., General Mills, Inc., The Hershey Company, The Kraft Heinz Company, Nestlé S.A., PepsiCo, Inc., The Procter &amp; Gamble Company, and Unilever PLC.</w:t>
      </w:r>
    </w:p>
    <w:p>
      <w:pPr>
        <w:ind w:left="260" w:right="539" w:hanging="253"/>
        <w:spacing w:after="0" w:line="270" w:lineRule="auto"/>
        <w:tabs>
          <w:tab w:leader="none" w:pos="2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Dollar values stated in millions. The dollar amounts reported represent the amount of net income reflected in our audited financial statements for the applicable year.</w:t>
      </w:r>
    </w:p>
    <w:p>
      <w:pPr>
        <w:spacing w:after="0" w:line="1" w:lineRule="exact"/>
        <w:rPr>
          <w:rFonts w:ascii="Arial" w:cs="Arial" w:eastAsia="Arial" w:hAnsi="Arial"/>
          <w:sz w:val="13"/>
          <w:szCs w:val="13"/>
          <w:color w:val="auto"/>
        </w:rPr>
      </w:pPr>
    </w:p>
    <w:p>
      <w:pPr>
        <w:ind w:left="260" w:right="219" w:hanging="253"/>
        <w:spacing w:after="0" w:line="280" w:lineRule="auto"/>
        <w:tabs>
          <w:tab w:leader="none" w:pos="2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 percentages reported represent the amount of adjusted gross profit growth for the applicable year. A more detailed discussion, including definitions of such financial measures appears in 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100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44653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10375" cy="446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59"/>
        <w:spacing w:after="0"/>
        <w:rPr>
          <w:sz w:val="20"/>
          <w:szCs w:val="20"/>
          <w:color w:val="auto"/>
        </w:rPr>
      </w:pPr>
      <w:r>
        <w:rPr>
          <w:rFonts w:ascii="Arial" w:cs="Arial" w:eastAsia="Arial" w:hAnsi="Arial"/>
          <w:sz w:val="22"/>
          <w:szCs w:val="22"/>
          <w:b w:val="1"/>
          <w:bCs w:val="1"/>
          <w:color w:val="auto"/>
        </w:rPr>
        <w:t>PAY VERSUS PERFORMANCE</w:t>
      </w:r>
    </w:p>
    <w:p>
      <w:pPr>
        <w:spacing w:after="0" w:line="37" w:lineRule="exact"/>
        <w:rPr>
          <w:sz w:val="20"/>
          <w:szCs w:val="20"/>
          <w:color w:val="auto"/>
        </w:rPr>
      </w:pPr>
    </w:p>
    <w:p>
      <w:pPr>
        <w:jc w:val="right"/>
        <w:ind w:right="39"/>
        <w:spacing w:after="0"/>
        <w:rPr>
          <w:sz w:val="20"/>
          <w:szCs w:val="20"/>
          <w:color w:val="auto"/>
        </w:rPr>
      </w:pPr>
      <w:r>
        <w:rPr>
          <w:rFonts w:ascii="Arial" w:cs="Arial" w:eastAsia="Arial" w:hAnsi="Arial"/>
          <w:sz w:val="14"/>
          <w:szCs w:val="14"/>
          <w:color w:val="auto"/>
        </w:rPr>
        <w:t>Financial Performance Measures</w:t>
      </w: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256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9"/>
          <w:szCs w:val="29"/>
          <w:b w:val="1"/>
          <w:bCs w:val="1"/>
          <w:color w:val="auto"/>
        </w:rPr>
        <w:t xml:space="preserve"> FINANCIAL PERFORMANCE MEASURES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As described in greater detail in the CD&amp;A, our executive compensation program reflects a variable</w:t>
      </w:r>
    </w:p>
    <w:p>
      <w:pPr>
        <w:spacing w:after="0" w:line="29" w:lineRule="exact"/>
        <w:rPr>
          <w:sz w:val="20"/>
          <w:szCs w:val="20"/>
          <w:color w:val="auto"/>
        </w:rPr>
      </w:pPr>
    </w:p>
    <w:p>
      <w:pPr>
        <w:ind w:right="99"/>
        <w:spacing w:after="0" w:line="223" w:lineRule="exact"/>
        <w:rPr>
          <w:sz w:val="20"/>
          <w:szCs w:val="20"/>
          <w:color w:val="auto"/>
        </w:rPr>
      </w:pPr>
      <w:r>
        <w:rPr>
          <w:rFonts w:ascii="Arial" w:cs="Arial" w:eastAsia="Arial" w:hAnsi="Arial"/>
          <w:sz w:val="17"/>
          <w:szCs w:val="17"/>
          <w:color w:val="auto"/>
        </w:rPr>
        <w:t>pay</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performance philosophy. The metrics that we use for our executive awards are selected based on an objective of incentivizing our NEOs to increase the value of our enterprise for our shareholders. The most important financial performance measures we used to link executive compensation actually paid to our NEOs, for the most recently completed fiscal year, to our performance are as follows:</w:t>
      </w:r>
    </w:p>
    <w:p>
      <w:pPr>
        <w:spacing w:after="0" w:line="101" w:lineRule="exact"/>
        <w:rPr>
          <w:sz w:val="20"/>
          <w:szCs w:val="20"/>
          <w:color w:val="auto"/>
        </w:rPr>
      </w:pPr>
    </w:p>
    <w:p>
      <w:pPr>
        <w:ind w:left="140" w:hanging="133"/>
        <w:spacing w:after="0"/>
        <w:tabs>
          <w:tab w:leader="none" w:pos="140" w:val="left"/>
        </w:tabs>
        <w:numPr>
          <w:ilvl w:val="0"/>
          <w:numId w:val="118"/>
        </w:numPr>
        <w:rPr>
          <w:rFonts w:ascii="Arial" w:cs="Arial" w:eastAsia="Arial" w:hAnsi="Arial"/>
          <w:sz w:val="17"/>
          <w:szCs w:val="17"/>
          <w:color w:val="582C83"/>
        </w:rPr>
      </w:pPr>
      <w:r>
        <w:rPr>
          <w:rFonts w:ascii="Arial" w:cs="Arial" w:eastAsia="Arial" w:hAnsi="Arial"/>
          <w:sz w:val="17"/>
          <w:szCs w:val="17"/>
          <w:color w:val="auto"/>
        </w:rPr>
        <w:t>Organic Volume Growth</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118"/>
        </w:numPr>
        <w:rPr>
          <w:rFonts w:ascii="Arial" w:cs="Arial" w:eastAsia="Arial" w:hAnsi="Arial"/>
          <w:sz w:val="17"/>
          <w:szCs w:val="17"/>
          <w:color w:val="582C83"/>
        </w:rPr>
      </w:pPr>
      <w:r>
        <w:rPr>
          <w:rFonts w:ascii="Arial" w:cs="Arial" w:eastAsia="Arial" w:hAnsi="Arial"/>
          <w:sz w:val="17"/>
          <w:szCs w:val="17"/>
          <w:color w:val="auto"/>
        </w:rPr>
        <w:t>Organic Net Revenue Growth</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118"/>
        </w:numPr>
        <w:rPr>
          <w:rFonts w:ascii="Arial" w:cs="Arial" w:eastAsia="Arial" w:hAnsi="Arial"/>
          <w:sz w:val="17"/>
          <w:szCs w:val="17"/>
          <w:color w:val="582C83"/>
        </w:rPr>
      </w:pPr>
      <w:r>
        <w:rPr>
          <w:rFonts w:ascii="Arial" w:cs="Arial" w:eastAsia="Arial" w:hAnsi="Arial"/>
          <w:sz w:val="17"/>
          <w:szCs w:val="17"/>
          <w:color w:val="auto"/>
        </w:rPr>
        <w:t>Adjusted Gross Profit Growth</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118"/>
        </w:numPr>
        <w:rPr>
          <w:rFonts w:ascii="Arial" w:cs="Arial" w:eastAsia="Arial" w:hAnsi="Arial"/>
          <w:sz w:val="17"/>
          <w:szCs w:val="17"/>
          <w:color w:val="582C83"/>
        </w:rPr>
      </w:pPr>
      <w:r>
        <w:rPr>
          <w:rFonts w:ascii="Arial" w:cs="Arial" w:eastAsia="Arial" w:hAnsi="Arial"/>
          <w:sz w:val="17"/>
          <w:szCs w:val="17"/>
          <w:color w:val="auto"/>
        </w:rPr>
        <w:t>Adjusted Operating Income Growth</w:t>
      </w:r>
    </w:p>
    <w:p>
      <w:pPr>
        <w:spacing w:after="0" w:line="74" w:lineRule="exact"/>
        <w:rPr>
          <w:rFonts w:ascii="Arial" w:cs="Arial" w:eastAsia="Arial" w:hAnsi="Arial"/>
          <w:sz w:val="17"/>
          <w:szCs w:val="17"/>
          <w:color w:val="582C83"/>
        </w:rPr>
      </w:pPr>
    </w:p>
    <w:p>
      <w:pPr>
        <w:ind w:left="140" w:hanging="133"/>
        <w:spacing w:after="0"/>
        <w:tabs>
          <w:tab w:leader="none" w:pos="140" w:val="left"/>
        </w:tabs>
        <w:numPr>
          <w:ilvl w:val="0"/>
          <w:numId w:val="118"/>
        </w:numPr>
        <w:rPr>
          <w:rFonts w:ascii="Arial" w:cs="Arial" w:eastAsia="Arial" w:hAnsi="Arial"/>
          <w:sz w:val="17"/>
          <w:szCs w:val="17"/>
          <w:color w:val="582C83"/>
        </w:rPr>
      </w:pPr>
      <w:r>
        <w:rPr>
          <w:rFonts w:ascii="Arial" w:cs="Arial" w:eastAsia="Arial" w:hAnsi="Arial"/>
          <w:sz w:val="17"/>
          <w:szCs w:val="17"/>
          <w:color w:val="auto"/>
        </w:rPr>
        <w:t>Market Share</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118"/>
        </w:numPr>
        <w:rPr>
          <w:rFonts w:ascii="Arial" w:cs="Arial" w:eastAsia="Arial" w:hAnsi="Arial"/>
          <w:sz w:val="17"/>
          <w:szCs w:val="17"/>
          <w:color w:val="582C83"/>
        </w:rPr>
      </w:pPr>
      <w:r>
        <w:rPr>
          <w:rFonts w:ascii="Arial" w:cs="Arial" w:eastAsia="Arial" w:hAnsi="Arial"/>
          <w:sz w:val="17"/>
          <w:szCs w:val="17"/>
          <w:color w:val="auto"/>
        </w:rPr>
        <w:t>Adjusted Earnings Per Share Growth</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118"/>
        </w:numPr>
        <w:rPr>
          <w:rFonts w:ascii="Arial" w:cs="Arial" w:eastAsia="Arial" w:hAnsi="Arial"/>
          <w:sz w:val="17"/>
          <w:szCs w:val="17"/>
          <w:color w:val="582C83"/>
        </w:rPr>
      </w:pPr>
      <w:r>
        <w:rPr>
          <w:rFonts w:ascii="Arial" w:cs="Arial" w:eastAsia="Arial" w:hAnsi="Arial"/>
          <w:sz w:val="17"/>
          <w:szCs w:val="17"/>
          <w:color w:val="auto"/>
        </w:rPr>
        <w:t>Annualized Relative TSR</w:t>
      </w:r>
    </w:p>
    <w:p>
      <w:pPr>
        <w:spacing w:after="0" w:line="306" w:lineRule="exact"/>
        <w:rPr>
          <w:sz w:val="20"/>
          <w:szCs w:val="20"/>
          <w:color w:val="auto"/>
        </w:rPr>
      </w:pPr>
    </w:p>
    <w:p>
      <w:pPr>
        <w:ind w:left="440" w:right="459" w:hanging="363"/>
        <w:spacing w:after="0"/>
        <w:rPr>
          <w:sz w:val="20"/>
          <w:szCs w:val="20"/>
          <w:color w:val="auto"/>
        </w:rPr>
      </w:pPr>
      <w:r>
        <w:rPr>
          <w:sz w:val="1"/>
          <w:szCs w:val="1"/>
          <w:color w:val="auto"/>
        </w:rPr>
        <w:drawing>
          <wp:inline distT="0" distB="0" distL="0" distR="0">
            <wp:extent cx="162560" cy="16256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9"/>
          <w:szCs w:val="29"/>
          <w:b w:val="1"/>
          <w:bCs w:val="1"/>
          <w:color w:val="auto"/>
        </w:rPr>
        <w:t xml:space="preserve"> ANALYSIS OF THE INFORMATION PRESENTED IN THE PAY VERSUS PERFORMANCE TABLE</w:t>
      </w:r>
    </w:p>
    <w:p>
      <w:pPr>
        <w:sectPr>
          <w:pgSz w:w="11900" w:h="16889" w:orient="portrait"/>
          <w:cols w:equalWidth="0" w:num="1">
            <w:col w:w="9039"/>
          </w:cols>
          <w:pgMar w:left="1420" w:top="175" w:right="1440" w:bottom="0" w:gutter="0" w:footer="0" w:header="0"/>
        </w:sectPr>
      </w:pPr>
    </w:p>
    <w:p>
      <w:pPr>
        <w:spacing w:after="0" w:line="104" w:lineRule="exact"/>
        <w:rPr>
          <w:sz w:val="20"/>
          <w:szCs w:val="20"/>
          <w:color w:val="auto"/>
        </w:rPr>
      </w:pPr>
    </w:p>
    <w:p>
      <w:pPr>
        <w:ind w:right="39"/>
        <w:spacing w:after="0" w:line="236" w:lineRule="exact"/>
        <w:rPr>
          <w:sz w:val="20"/>
          <w:szCs w:val="20"/>
          <w:color w:val="auto"/>
        </w:rPr>
      </w:pPr>
      <w:r>
        <w:rPr>
          <w:rFonts w:ascii="Arial" w:cs="Arial" w:eastAsia="Arial" w:hAnsi="Arial"/>
          <w:sz w:val="17"/>
          <w:szCs w:val="17"/>
          <w:color w:val="auto"/>
        </w:rPr>
        <w:t>Our executive compensation program reflects a variable pay</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performance philosophy, as described in greater detail in the CD&amp;A. While we utilize several performance measures to align executive compensation with our performance, not all of those performance measures are presented in the Pay Versus Performance (“PVP”) table. We generally seek</w:t>
      </w:r>
    </w:p>
    <w:p>
      <w:pPr>
        <w:sectPr>
          <w:pgSz w:w="11900" w:h="16889" w:orient="portrait"/>
          <w:cols w:equalWidth="0" w:num="1">
            <w:col w:w="9039"/>
          </w:cols>
          <w:pgMar w:left="1420" w:top="175" w:right="1440" w:bottom="0" w:gutter="0" w:footer="0" w:header="0"/>
          <w:type w:val="continuous"/>
        </w:sectPr>
      </w:pPr>
    </w:p>
    <w:bookmarkStart w:id="88" w:name="page89"/>
    <w:bookmarkEnd w:id="88"/>
    <w:p>
      <w:pPr>
        <w:ind w:right="239"/>
        <w:spacing w:after="0" w:line="236" w:lineRule="exact"/>
        <w:rPr>
          <w:sz w:val="20"/>
          <w:szCs w:val="20"/>
          <w:color w:val="auto"/>
        </w:rPr>
      </w:pPr>
      <w:r>
        <w:rPr>
          <w:rFonts w:ascii="Arial" w:cs="Arial" w:eastAsia="Arial" w:hAnsi="Arial"/>
          <w:sz w:val="17"/>
          <w:szCs w:val="17"/>
          <w:color w:val="auto"/>
        </w:rPr>
        <w:t>to incentivize long</w:t>
      </w:r>
      <w:r>
        <w:rPr>
          <w:rFonts w:ascii="MS PGothic" w:cs="MS PGothic" w:eastAsia="MS PGothic" w:hAnsi="MS PGothic"/>
          <w:sz w:val="17"/>
          <w:szCs w:val="17"/>
          <w:color w:val="auto"/>
        </w:rPr>
        <w:t>‑</w:t>
      </w:r>
      <w:r>
        <w:rPr>
          <w:rFonts w:ascii="Arial" w:cs="Arial" w:eastAsia="Arial" w:hAnsi="Arial"/>
          <w:sz w:val="17"/>
          <w:szCs w:val="17"/>
          <w:color w:val="auto"/>
        </w:rPr>
        <w:t>term performance, and therefore we do not specifically align our performance measures with CAP for a particular year. In accordance with SEC rules, we are providing the following descriptions of the relationships between information presented in the PVP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-400685</wp:posOffset>
            </wp:positionV>
            <wp:extent cx="6810375" cy="43910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10375" cy="4391025"/>
                    </a:xfrm>
                    <a:prstGeom prst="rect">
                      <a:avLst/>
                    </a:prstGeom>
                    <a:noFill/>
                  </pic:spPr>
                </pic:pic>
              </a:graphicData>
            </a:graphic>
          </wp:anchor>
        </w:drawing>
      </w:r>
    </w:p>
    <w:p>
      <w:pPr>
        <w:spacing w:after="0" w:line="82" w:lineRule="exact"/>
        <w:rPr>
          <w:sz w:val="20"/>
          <w:szCs w:val="20"/>
          <w:color w:val="auto"/>
        </w:rPr>
      </w:pPr>
    </w:p>
    <w:p>
      <w:pPr>
        <w:ind w:right="199"/>
        <w:spacing w:after="0" w:line="291" w:lineRule="auto"/>
        <w:rPr>
          <w:sz w:val="20"/>
          <w:szCs w:val="20"/>
          <w:color w:val="auto"/>
        </w:rPr>
      </w:pPr>
      <w:r>
        <w:rPr>
          <w:rFonts w:ascii="Arial" w:cs="Arial" w:eastAsia="Arial" w:hAnsi="Arial"/>
          <w:sz w:val="17"/>
          <w:szCs w:val="17"/>
          <w:color w:val="auto"/>
        </w:rPr>
        <w:t>The components of CAP that vary with performance each year are AIP payouts and equity award fair values (both for new grants and prior year grants). Changes in equity award fair values significantly impact our CAP because 78% of our CEO’s target compensation and on average 67% of the other NEOs’ target compensation is in the form of equity.</w:t>
      </w:r>
    </w:p>
    <w:p>
      <w:pPr>
        <w:spacing w:after="0" w:line="72" w:lineRule="exact"/>
        <w:rPr>
          <w:sz w:val="20"/>
          <w:szCs w:val="20"/>
          <w:color w:val="auto"/>
        </w:rPr>
      </w:pPr>
    </w:p>
    <w:p>
      <w:pPr>
        <w:ind w:right="19"/>
        <w:spacing w:after="0" w:line="291" w:lineRule="auto"/>
        <w:rPr>
          <w:sz w:val="20"/>
          <w:szCs w:val="20"/>
          <w:color w:val="auto"/>
        </w:rPr>
      </w:pPr>
      <w:r>
        <w:rPr>
          <w:rFonts w:ascii="Arial" w:cs="Arial" w:eastAsia="Arial" w:hAnsi="Arial"/>
          <w:sz w:val="17"/>
          <w:szCs w:val="17"/>
          <w:color w:val="auto"/>
        </w:rPr>
        <w:t>For 2025, CAP was lower than SCT totals due to a significant decrease in equity award fair values driven by stock price depreciation and lower PSU trending performance. Our performance reflects the impact of unprecedented input cost increases in our largest commodity, cocoa, as detailed in the CD&amp;A Executive Summary.</w:t>
      </w:r>
    </w:p>
    <w:p>
      <w:pPr>
        <w:spacing w:after="0" w:line="58" w:lineRule="exact"/>
        <w:rPr>
          <w:sz w:val="20"/>
          <w:szCs w:val="20"/>
          <w:color w:val="auto"/>
        </w:rPr>
      </w:pPr>
    </w:p>
    <w:p>
      <w:pPr>
        <w:ind w:right="19"/>
        <w:spacing w:after="0" w:line="224" w:lineRule="exact"/>
        <w:rPr>
          <w:sz w:val="20"/>
          <w:szCs w:val="20"/>
          <w:color w:val="auto"/>
        </w:rPr>
      </w:pPr>
      <w:r>
        <w:rPr>
          <w:rFonts w:ascii="Arial" w:cs="Arial" w:eastAsia="Arial" w:hAnsi="Arial"/>
          <w:sz w:val="17"/>
          <w:szCs w:val="17"/>
          <w:color w:val="auto"/>
        </w:rPr>
        <w:t>We do not use net income as a financial performance measure that determines pay levels or incentive plan payouts for our NEOs; therefore, CAP and net income do not have a direct relationship. We have chosen adjusted gross profit growth as our company</w:t>
      </w:r>
      <w:r>
        <w:rPr>
          <w:rFonts w:ascii="MS PGothic" w:cs="MS PGothic" w:eastAsia="MS PGothic" w:hAnsi="MS PGothic"/>
          <w:sz w:val="17"/>
          <w:szCs w:val="17"/>
          <w:color w:val="auto"/>
        </w:rPr>
        <w:t>‑</w:t>
      </w:r>
      <w:r>
        <w:rPr>
          <w:rFonts w:ascii="Arial" w:cs="Arial" w:eastAsia="Arial" w:hAnsi="Arial"/>
          <w:sz w:val="17"/>
          <w:szCs w:val="17"/>
          <w:color w:val="auto"/>
        </w:rPr>
        <w:t>selected metric as it is weighted at 35% in our AIP, and therefore has an impact on our CAP for the applicable year. Adjusted gross profit growth measures the Company’s ability to manage and balance trade-offs among volume, mix, pricing, and costs and enables investment to drive earnings and Free Cash Flow through investing in people and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582C83"/>
        </w:rPr>
        <w:t>2026 PROXY STATEMENT |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60426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10375" cy="6042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PAY VERSUS PERFORMANCE</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Analysis of the Information Presented in the Pay Versus Performance Table</w:t>
      </w:r>
    </w:p>
    <w:p>
      <w:pPr>
        <w:spacing w:after="0" w:line="200" w:lineRule="exact"/>
        <w:rPr>
          <w:sz w:val="20"/>
          <w:szCs w:val="20"/>
          <w:color w:val="auto"/>
        </w:rPr>
      </w:pPr>
    </w:p>
    <w:p>
      <w:pPr>
        <w:spacing w:after="0" w:line="287" w:lineRule="exact"/>
        <w:rPr>
          <w:sz w:val="20"/>
          <w:szCs w:val="20"/>
          <w:color w:val="auto"/>
        </w:rPr>
      </w:pPr>
    </w:p>
    <w:p>
      <w:pPr>
        <w:ind w:right="259"/>
        <w:spacing w:after="0" w:line="258" w:lineRule="auto"/>
        <w:rPr>
          <w:sz w:val="20"/>
          <w:szCs w:val="20"/>
          <w:color w:val="auto"/>
        </w:rPr>
      </w:pPr>
      <w:r>
        <w:rPr>
          <w:rFonts w:ascii="Arial" w:cs="Arial" w:eastAsia="Arial" w:hAnsi="Arial"/>
          <w:sz w:val="17"/>
          <w:szCs w:val="17"/>
          <w:color w:val="auto"/>
        </w:rPr>
        <w:t>The following charts demonstrate the relationship between compensation actually paid to Mr. Van de Put, the Company’s CEO, and average compensation actually paid to other NEOs and various performance measures of the Company for the fiscal years ending December 31, 2025, 2024, 2023, 2022, and 2021.</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582C83"/>
        </w:rPr>
        <w:t>Compensation Actually Paid vs. 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980"/>
        <w:spacing w:after="0"/>
        <w:tabs>
          <w:tab w:leader="none" w:pos="5220" w:val="left"/>
          <w:tab w:leader="none" w:pos="6760" w:val="left"/>
        </w:tabs>
        <w:rPr>
          <w:sz w:val="20"/>
          <w:szCs w:val="20"/>
          <w:color w:val="auto"/>
        </w:rPr>
      </w:pPr>
      <w:r>
        <w:rPr>
          <w:rFonts w:ascii="Arial" w:cs="Arial" w:eastAsia="Arial" w:hAnsi="Arial"/>
          <w:sz w:val="14"/>
          <w:szCs w:val="14"/>
          <w:color w:val="auto"/>
        </w:rPr>
        <w:t xml:space="preserve">CAP to PEO    </w:t>
      </w:r>
      <w:r>
        <w:rPr>
          <w:sz w:val="1"/>
          <w:szCs w:val="1"/>
          <w:color w:val="auto"/>
        </w:rPr>
        <w:drawing>
          <wp:inline distT="0" distB="0" distL="0" distR="0">
            <wp:extent cx="162560" cy="4318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62560" cy="43180"/>
                    </a:xfrm>
                    <a:prstGeom prst="rect">
                      <a:avLst/>
                    </a:prstGeom>
                    <a:noFill/>
                    <a:ln>
                      <a:noFill/>
                    </a:ln>
                  </pic:spPr>
                </pic:pic>
              </a:graphicData>
            </a:graphic>
          </wp:inline>
        </w:drawing>
      </w:r>
      <w:r>
        <w:rPr>
          <w:rFonts w:ascii="Arial" w:cs="Arial" w:eastAsia="Arial" w:hAnsi="Arial"/>
          <w:sz w:val="14"/>
          <w:szCs w:val="14"/>
          <w:color w:val="auto"/>
        </w:rPr>
        <w:t xml:space="preserve">  Avg. CAP to NEOs</w:t>
      </w:r>
      <w:r>
        <w:rPr>
          <w:sz w:val="20"/>
          <w:szCs w:val="20"/>
          <w:color w:val="auto"/>
        </w:rPr>
        <w:tab/>
      </w:r>
      <w:r>
        <w:rPr>
          <w:rFonts w:ascii="Arial" w:cs="Arial" w:eastAsia="Arial" w:hAnsi="Arial"/>
          <w:sz w:val="14"/>
          <w:szCs w:val="14"/>
          <w:color w:val="auto"/>
        </w:rPr>
        <w:t>Mondelēz TSR</w:t>
      </w:r>
      <w:r>
        <w:rPr>
          <w:sz w:val="20"/>
          <w:szCs w:val="20"/>
          <w:color w:val="auto"/>
        </w:rPr>
        <w:tab/>
      </w:r>
      <w:r>
        <w:rPr>
          <w:rFonts w:ascii="Arial" w:cs="Arial" w:eastAsia="Arial" w:hAnsi="Arial"/>
          <w:sz w:val="14"/>
          <w:szCs w:val="14"/>
          <w:color w:val="auto"/>
        </w:rPr>
        <w:t>Peer TSR</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582C83"/>
        </w:rPr>
        <w:t>Compensation Actually Paid vs. Net Income</w:t>
      </w:r>
    </w:p>
    <w:p>
      <w:pPr>
        <w:sectPr>
          <w:pgSz w:w="11900" w:h="16838" w:orient="portrait"/>
          <w:cols w:equalWidth="0" w:num="1">
            <w:col w:w="9039"/>
          </w:cols>
          <w:pgMar w:left="1420" w:top="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20"/>
        <w:spacing w:after="0"/>
        <w:tabs>
          <w:tab w:leader="none" w:pos="6020" w:val="left"/>
        </w:tabs>
        <w:rPr>
          <w:sz w:val="20"/>
          <w:szCs w:val="20"/>
          <w:color w:val="auto"/>
        </w:rPr>
      </w:pPr>
      <w:r>
        <w:rPr>
          <w:rFonts w:ascii="Arial" w:cs="Arial" w:eastAsia="Arial" w:hAnsi="Arial"/>
          <w:sz w:val="14"/>
          <w:szCs w:val="14"/>
          <w:color w:val="auto"/>
        </w:rPr>
        <w:t xml:space="preserve">CAP to PEO     </w:t>
      </w:r>
      <w:r>
        <w:rPr>
          <w:sz w:val="1"/>
          <w:szCs w:val="1"/>
          <w:color w:val="auto"/>
        </w:rPr>
        <w:drawing>
          <wp:inline distT="0" distB="0" distL="0" distR="0">
            <wp:extent cx="163195" cy="5143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63195" cy="51435"/>
                    </a:xfrm>
                    <a:prstGeom prst="rect">
                      <a:avLst/>
                    </a:prstGeom>
                    <a:noFill/>
                    <a:ln>
                      <a:noFill/>
                    </a:ln>
                  </pic:spPr>
                </pic:pic>
              </a:graphicData>
            </a:graphic>
          </wp:inline>
        </w:drawing>
      </w:r>
      <w:r>
        <w:rPr>
          <w:rFonts w:ascii="Arial" w:cs="Arial" w:eastAsia="Arial" w:hAnsi="Arial"/>
          <w:sz w:val="14"/>
          <w:szCs w:val="14"/>
          <w:color w:val="auto"/>
        </w:rPr>
        <w:t xml:space="preserve">  Avg. CAP to NEOs</w:t>
      </w:r>
      <w:r>
        <w:rPr>
          <w:sz w:val="20"/>
          <w:szCs w:val="20"/>
          <w:color w:val="auto"/>
        </w:rPr>
        <w:tab/>
      </w:r>
      <w:r>
        <w:rPr>
          <w:rFonts w:ascii="Arial" w:cs="Arial" w:eastAsia="Arial" w:hAnsi="Arial"/>
          <w:sz w:val="14"/>
          <w:szCs w:val="14"/>
          <w:color w:val="auto"/>
        </w:rPr>
        <w:t>Net Income</w:t>
      </w:r>
    </w:p>
    <w:p>
      <w:pPr>
        <w:sectPr>
          <w:pgSz w:w="11900" w:h="16838" w:orient="portrait"/>
          <w:cols w:equalWidth="0" w:num="1">
            <w:col w:w="9039"/>
          </w:cols>
          <w:pgMar w:left="1420" w:top="65" w:right="1440" w:bottom="0" w:gutter="0" w:footer="0" w:header="0"/>
          <w:type w:val="continuous"/>
        </w:sectPr>
      </w:pPr>
    </w:p>
    <w:bookmarkStart w:id="89" w:name="page90"/>
    <w:bookmarkEnd w:id="89"/>
    <w:p>
      <w:pPr>
        <w:spacing w:after="0"/>
        <w:rPr>
          <w:sz w:val="20"/>
          <w:szCs w:val="20"/>
          <w:color w:val="auto"/>
        </w:rPr>
      </w:pPr>
      <w:r>
        <w:rPr>
          <w:rFonts w:ascii="Arial" w:cs="Arial" w:eastAsia="Arial" w:hAnsi="Arial"/>
          <w:sz w:val="16"/>
          <w:szCs w:val="16"/>
          <w:b w:val="1"/>
          <w:bCs w:val="1"/>
          <w:color w:val="582C83"/>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8136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10375" cy="2813685"/>
                    </a:xfrm>
                    <a:prstGeom prst="rect">
                      <a:avLst/>
                    </a:prstGeom>
                    <a:noFill/>
                  </pic:spPr>
                </pic:pic>
              </a:graphicData>
            </a:graphic>
          </wp:anchor>
        </w:drawing>
        <w:t>Compensation Actually Paid vs. Adjusted Gross Profit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120"/>
        <w:spacing w:after="0"/>
        <w:tabs>
          <w:tab w:leader="none" w:pos="5360" w:val="left"/>
        </w:tabs>
        <w:rPr>
          <w:sz w:val="20"/>
          <w:szCs w:val="20"/>
          <w:color w:val="auto"/>
        </w:rPr>
      </w:pPr>
      <w:r>
        <w:rPr>
          <w:rFonts w:ascii="Arial" w:cs="Arial" w:eastAsia="Arial" w:hAnsi="Arial"/>
          <w:sz w:val="14"/>
          <w:szCs w:val="14"/>
          <w:color w:val="auto"/>
        </w:rPr>
        <w:t xml:space="preserve">CAP to PEO    </w:t>
      </w:r>
      <w:r>
        <w:rPr>
          <w:sz w:val="1"/>
          <w:szCs w:val="1"/>
          <w:color w:val="auto"/>
        </w:rPr>
        <w:drawing>
          <wp:inline distT="0" distB="0" distL="0" distR="0">
            <wp:extent cx="162560" cy="4318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62560" cy="43180"/>
                    </a:xfrm>
                    <a:prstGeom prst="rect">
                      <a:avLst/>
                    </a:prstGeom>
                    <a:noFill/>
                    <a:ln>
                      <a:noFill/>
                    </a:ln>
                  </pic:spPr>
                </pic:pic>
              </a:graphicData>
            </a:graphic>
          </wp:inline>
        </w:drawing>
      </w:r>
      <w:r>
        <w:rPr>
          <w:rFonts w:ascii="Arial" w:cs="Arial" w:eastAsia="Arial" w:hAnsi="Arial"/>
          <w:sz w:val="14"/>
          <w:szCs w:val="14"/>
          <w:color w:val="auto"/>
        </w:rPr>
        <w:t xml:space="preserve">  Avg. CAP to NEOs</w:t>
      </w:r>
      <w:r>
        <w:rPr>
          <w:sz w:val="20"/>
          <w:szCs w:val="20"/>
          <w:color w:val="auto"/>
        </w:rPr>
        <w:tab/>
      </w:r>
      <w:r>
        <w:rPr>
          <w:rFonts w:ascii="Arial" w:cs="Arial" w:eastAsia="Arial" w:hAnsi="Arial"/>
          <w:sz w:val="14"/>
          <w:szCs w:val="14"/>
          <w:color w:val="auto"/>
        </w:rPr>
        <w:t>Adjusted Gross Profit Growth</w:t>
      </w: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102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76200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10375" cy="762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45"/>
          <w:szCs w:val="45"/>
          <w:b w:val="1"/>
          <w:bCs w:val="1"/>
          <w:color w:val="582C83"/>
        </w:rPr>
        <w:t>OWNERSHIP OF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80"/>
        <w:spacing w:after="0" w:line="282" w:lineRule="auto"/>
        <w:rPr>
          <w:sz w:val="20"/>
          <w:szCs w:val="20"/>
          <w:color w:val="auto"/>
        </w:rPr>
      </w:pPr>
      <w:r>
        <w:rPr>
          <w:rFonts w:ascii="Arial" w:cs="Arial" w:eastAsia="Arial" w:hAnsi="Arial"/>
          <w:sz w:val="17"/>
          <w:szCs w:val="17"/>
          <w:color w:val="auto"/>
        </w:rPr>
        <w:t>The following table shows the number of shares of Common Stock beneficially owned as of March 11, 2026, unless otherwise noted, by each director and NEO, as well as the number of shares beneficially owned by all of our current directors and executive officers as a group. None of the Common Stock owned by these individuals is subject to any pledge. Unless otherwise indicated, each of the named individuals has sole voting and investment power with respect to the shares shown.</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Deferred</w:t>
            </w: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Stock Units/</w:t>
            </w:r>
          </w:p>
        </w:tc>
        <w:tc>
          <w:tcPr>
            <w:tcW w:w="900" w:type="dxa"/>
            <w:vAlign w:val="bottom"/>
          </w:tcPr>
          <w:p>
            <w:pPr>
              <w:jc w:val="right"/>
              <w:ind w:right="68"/>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Beneficially</w:t>
            </w:r>
          </w:p>
        </w:tc>
      </w:tr>
      <w:tr>
        <w:trPr>
          <w:trHeight w:val="175"/>
        </w:trPr>
        <w:tc>
          <w:tcPr>
            <w:tcW w:w="4420" w:type="dxa"/>
            <w:vAlign w:val="bottom"/>
          </w:tcPr>
          <w:p>
            <w:pPr>
              <w:spacing w:after="0"/>
              <w:rPr>
                <w:sz w:val="15"/>
                <w:szCs w:val="15"/>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b w:val="1"/>
                <w:bCs w:val="1"/>
                <w:color w:val="auto"/>
              </w:rPr>
              <w:t>Beneficially</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Additional</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Owned Shares</w:t>
            </w:r>
          </w:p>
        </w:tc>
      </w:tr>
      <w:tr>
        <w:trPr>
          <w:trHeight w:val="160"/>
        </w:trPr>
        <w:tc>
          <w:tcPr>
            <w:tcW w:w="4420" w:type="dxa"/>
            <w:vAlign w:val="bottom"/>
          </w:tcPr>
          <w:p>
            <w:pPr>
              <w:spacing w:after="0"/>
              <w:rPr>
                <w:sz w:val="13"/>
                <w:szCs w:val="13"/>
                <w:color w:val="auto"/>
              </w:rPr>
            </w:pPr>
          </w:p>
        </w:tc>
        <w:tc>
          <w:tcPr>
            <w:tcW w:w="1420" w:type="dxa"/>
            <w:vAlign w:val="bottom"/>
          </w:tcPr>
          <w:p>
            <w:pPr>
              <w:jc w:val="right"/>
              <w:ind w:right="68"/>
              <w:spacing w:after="0" w:line="159" w:lineRule="exact"/>
              <w:rPr>
                <w:sz w:val="20"/>
                <w:szCs w:val="20"/>
                <w:color w:val="auto"/>
              </w:rPr>
            </w:pPr>
            <w:r>
              <w:rPr>
                <w:rFonts w:ascii="Arial" w:cs="Arial" w:eastAsia="Arial" w:hAnsi="Arial"/>
                <w:sz w:val="14"/>
                <w:szCs w:val="14"/>
                <w:b w:val="1"/>
                <w:bCs w:val="1"/>
                <w:color w:val="auto"/>
              </w:rPr>
              <w:t>Owned</w:t>
            </w:r>
          </w:p>
        </w:tc>
        <w:tc>
          <w:tcPr>
            <w:tcW w:w="1120" w:type="dxa"/>
            <w:vAlign w:val="bottom"/>
          </w:tcPr>
          <w:p>
            <w:pPr>
              <w:jc w:val="right"/>
              <w:ind w:right="48"/>
              <w:spacing w:after="0" w:line="159" w:lineRule="exact"/>
              <w:rPr>
                <w:sz w:val="20"/>
                <w:szCs w:val="20"/>
                <w:color w:val="auto"/>
              </w:rPr>
            </w:pPr>
            <w:r>
              <w:rPr>
                <w:rFonts w:ascii="Arial" w:cs="Arial" w:eastAsia="Arial" w:hAnsi="Arial"/>
                <w:sz w:val="14"/>
                <w:szCs w:val="14"/>
                <w:b w:val="1"/>
                <w:bCs w:val="1"/>
                <w:color w:val="auto"/>
              </w:rPr>
              <w:t>Underlying</w:t>
            </w:r>
          </w:p>
        </w:tc>
        <w:tc>
          <w:tcPr>
            <w:tcW w:w="900" w:type="dxa"/>
            <w:vAlign w:val="bottom"/>
          </w:tcPr>
          <w:p>
            <w:pPr>
              <w:jc w:val="right"/>
              <w:ind w:right="48"/>
              <w:spacing w:after="0" w:line="159" w:lineRule="exact"/>
              <w:rPr>
                <w:sz w:val="20"/>
                <w:szCs w:val="20"/>
                <w:color w:val="auto"/>
              </w:rPr>
            </w:pPr>
            <w:r>
              <w:rPr>
                <w:rFonts w:ascii="Arial" w:cs="Arial" w:eastAsia="Arial" w:hAnsi="Arial"/>
                <w:sz w:val="14"/>
                <w:szCs w:val="14"/>
                <w:b w:val="1"/>
                <w:bCs w:val="1"/>
                <w:color w:val="auto"/>
              </w:rPr>
              <w:t>Interests</w:t>
            </w:r>
          </w:p>
        </w:tc>
        <w:tc>
          <w:tcPr>
            <w:tcW w:w="118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Percent of</w:t>
            </w:r>
          </w:p>
        </w:tc>
      </w:tr>
      <w:tr>
        <w:trPr>
          <w:trHeight w:val="181"/>
        </w:trPr>
        <w:tc>
          <w:tcPr>
            <w:tcW w:w="442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Name of Beneficial Owner</w:t>
            </w:r>
          </w:p>
        </w:tc>
        <w:tc>
          <w:tcPr>
            <w:tcW w:w="1420" w:type="dxa"/>
            <w:vAlign w:val="bottom"/>
            <w:tcBorders>
              <w:bottom w:val="single" w:sz="8" w:color="582C83"/>
            </w:tcBorders>
          </w:tcPr>
          <w:p>
            <w:pPr>
              <w:jc w:val="right"/>
              <w:ind w:right="68"/>
              <w:spacing w:after="0" w:line="174"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(1)</w:t>
            </w:r>
          </w:p>
        </w:tc>
        <w:tc>
          <w:tcPr>
            <w:tcW w:w="1120" w:type="dxa"/>
            <w:vAlign w:val="bottom"/>
            <w:tcBorders>
              <w:bottom w:val="single" w:sz="8" w:color="582C83"/>
            </w:tcBorders>
          </w:tcPr>
          <w:p>
            <w:pPr>
              <w:jc w:val="right"/>
              <w:ind w:right="48"/>
              <w:spacing w:after="0" w:line="174" w:lineRule="exact"/>
              <w:rPr>
                <w:sz w:val="20"/>
                <w:szCs w:val="20"/>
                <w:color w:val="auto"/>
              </w:rPr>
            </w:pPr>
            <w:r>
              <w:rPr>
                <w:rFonts w:ascii="Arial" w:cs="Arial" w:eastAsia="Arial" w:hAnsi="Arial"/>
                <w:sz w:val="14"/>
                <w:szCs w:val="14"/>
                <w:b w:val="1"/>
                <w:bCs w:val="1"/>
                <w:color w:val="auto"/>
              </w:rPr>
              <w:t>Units</w:t>
            </w:r>
            <w:r>
              <w:rPr>
                <w:rFonts w:ascii="Arial" w:cs="Arial" w:eastAsia="Arial" w:hAnsi="Arial"/>
                <w:sz w:val="18"/>
                <w:szCs w:val="18"/>
                <w:b w:val="1"/>
                <w:bCs w:val="1"/>
                <w:color w:val="auto"/>
                <w:vertAlign w:val="superscript"/>
              </w:rPr>
              <w:t>(2)</w:t>
            </w:r>
          </w:p>
        </w:tc>
        <w:tc>
          <w:tcPr>
            <w:tcW w:w="900" w:type="dxa"/>
            <w:vAlign w:val="bottom"/>
            <w:tcBorders>
              <w:bottom w:val="single" w:sz="8" w:color="582C83"/>
            </w:tcBorders>
          </w:tcPr>
          <w:p>
            <w:pPr>
              <w:jc w:val="right"/>
              <w:ind w:right="48"/>
              <w:spacing w:after="0"/>
              <w:rPr>
                <w:sz w:val="20"/>
                <w:szCs w:val="20"/>
                <w:color w:val="auto"/>
              </w:rPr>
            </w:pPr>
            <w:r>
              <w:rPr>
                <w:rFonts w:ascii="Arial" w:cs="Arial" w:eastAsia="Arial" w:hAnsi="Arial"/>
                <w:sz w:val="14"/>
                <w:szCs w:val="14"/>
                <w:b w:val="1"/>
                <w:bCs w:val="1"/>
                <w:color w:val="auto"/>
              </w:rPr>
              <w:t>Held</w:t>
            </w:r>
          </w:p>
        </w:tc>
        <w:tc>
          <w:tcPr>
            <w:tcW w:w="1180" w:type="dxa"/>
            <w:vAlign w:val="bottom"/>
            <w:tcBorders>
              <w:bottom w:val="single" w:sz="8" w:color="582C83"/>
            </w:tcBorders>
          </w:tcPr>
          <w:p>
            <w:pPr>
              <w:jc w:val="right"/>
              <w:spacing w:after="0" w:line="174" w:lineRule="exact"/>
              <w:rPr>
                <w:sz w:val="20"/>
                <w:szCs w:val="20"/>
                <w:color w:val="auto"/>
              </w:rPr>
            </w:pPr>
            <w:r>
              <w:rPr>
                <w:rFonts w:ascii="Arial" w:cs="Arial" w:eastAsia="Arial" w:hAnsi="Arial"/>
                <w:sz w:val="14"/>
                <w:szCs w:val="14"/>
                <w:b w:val="1"/>
                <w:bCs w:val="1"/>
                <w:color w:val="auto"/>
              </w:rPr>
              <w:t>Class</w:t>
            </w:r>
            <w:r>
              <w:rPr>
                <w:rFonts w:ascii="Arial" w:cs="Arial" w:eastAsia="Arial" w:hAnsi="Arial"/>
                <w:sz w:val="18"/>
                <w:szCs w:val="18"/>
                <w:b w:val="1"/>
                <w:bCs w:val="1"/>
                <w:color w:val="auto"/>
                <w:vertAlign w:val="superscript"/>
              </w:rPr>
              <w:t>(3)</w:t>
            </w:r>
          </w:p>
        </w:tc>
      </w:tr>
      <w:tr>
        <w:trPr>
          <w:trHeight w:val="215"/>
        </w:trPr>
        <w:tc>
          <w:tcPr>
            <w:tcW w:w="442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Current Independent Directors:</w:t>
            </w:r>
          </w:p>
        </w:tc>
        <w:tc>
          <w:tcPr>
            <w:tcW w:w="1420" w:type="dxa"/>
            <w:vAlign w:val="bottom"/>
            <w:tcBorders>
              <w:bottom w:val="single" w:sz="8" w:color="582C83"/>
            </w:tcBorders>
            <w:shd w:val="clear" w:color="auto" w:fill="E0DBEA"/>
          </w:tcPr>
          <w:p>
            <w:pPr>
              <w:spacing w:after="0"/>
              <w:rPr>
                <w:sz w:val="18"/>
                <w:szCs w:val="18"/>
                <w:color w:val="auto"/>
              </w:rPr>
            </w:pPr>
          </w:p>
        </w:tc>
        <w:tc>
          <w:tcPr>
            <w:tcW w:w="1120" w:type="dxa"/>
            <w:vAlign w:val="bottom"/>
            <w:tcBorders>
              <w:bottom w:val="single" w:sz="8" w:color="582C83"/>
            </w:tcBorders>
            <w:shd w:val="clear" w:color="auto" w:fill="E0DBEA"/>
          </w:tcPr>
          <w:p>
            <w:pPr>
              <w:spacing w:after="0"/>
              <w:rPr>
                <w:sz w:val="18"/>
                <w:szCs w:val="18"/>
                <w:color w:val="auto"/>
              </w:rPr>
            </w:pPr>
          </w:p>
        </w:tc>
        <w:tc>
          <w:tcPr>
            <w:tcW w:w="900" w:type="dxa"/>
            <w:vAlign w:val="bottom"/>
            <w:tcBorders>
              <w:bottom w:val="single" w:sz="8" w:color="582C83"/>
            </w:tcBorders>
            <w:shd w:val="clear" w:color="auto" w:fill="E0DBEA"/>
          </w:tcPr>
          <w:p>
            <w:pPr>
              <w:spacing w:after="0"/>
              <w:rPr>
                <w:sz w:val="18"/>
                <w:szCs w:val="18"/>
                <w:color w:val="auto"/>
              </w:rPr>
            </w:pPr>
          </w:p>
        </w:tc>
        <w:tc>
          <w:tcPr>
            <w:tcW w:w="1180" w:type="dxa"/>
            <w:vAlign w:val="bottom"/>
            <w:tcBorders>
              <w:bottom w:val="single" w:sz="8" w:color="582C83"/>
            </w:tcBorders>
            <w:shd w:val="clear" w:color="auto" w:fill="E0DBEA"/>
          </w:tcPr>
          <w:p>
            <w:pPr>
              <w:spacing w:after="0"/>
              <w:rPr>
                <w:sz w:val="18"/>
                <w:szCs w:val="18"/>
                <w:color w:val="auto"/>
              </w:rPr>
            </w:pPr>
          </w:p>
        </w:tc>
      </w:tr>
      <w:tr>
        <w:trPr>
          <w:trHeight w:val="210"/>
        </w:trPr>
        <w:tc>
          <w:tcPr>
            <w:tcW w:w="4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Cousin, Ertharin</w:t>
            </w: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13,525</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13,525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420" w:type="dxa"/>
            <w:vAlign w:val="bottom"/>
            <w:tcBorders>
              <w:bottom w:val="single" w:sz="8" w:color="auto"/>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‘t Hart, Cees</w:t>
            </w:r>
          </w:p>
        </w:tc>
        <w:tc>
          <w:tcPr>
            <w:tcW w:w="1420" w:type="dxa"/>
            <w:vAlign w:val="bottom"/>
            <w:tcBorders>
              <w:bottom w:val="single" w:sz="8" w:color="auto"/>
            </w:tcBorders>
            <w:shd w:val="clear" w:color="auto" w:fill="E0DBEA"/>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0DBEA"/>
          </w:tcPr>
          <w:p>
            <w:pPr>
              <w:jc w:val="right"/>
              <w:ind w:right="68"/>
              <w:spacing w:after="0"/>
              <w:rPr>
                <w:sz w:val="20"/>
                <w:szCs w:val="20"/>
                <w:color w:val="auto"/>
              </w:rPr>
            </w:pPr>
            <w:r>
              <w:rPr>
                <w:rFonts w:ascii="Arial" w:cs="Arial" w:eastAsia="Arial" w:hAnsi="Arial"/>
                <w:sz w:val="14"/>
                <w:szCs w:val="14"/>
                <w:color w:val="auto"/>
              </w:rPr>
              <w:t>8,618</w:t>
            </w:r>
          </w:p>
        </w:tc>
        <w:tc>
          <w:tcPr>
            <w:tcW w:w="900" w:type="dxa"/>
            <w:vAlign w:val="bottom"/>
            <w:tcBorders>
              <w:bottom w:val="single" w:sz="8" w:color="auto"/>
            </w:tcBorders>
            <w:shd w:val="clear" w:color="auto" w:fill="E0DBEA"/>
          </w:tcPr>
          <w:p>
            <w:pPr>
              <w:jc w:val="right"/>
              <w:ind w:right="68"/>
              <w:spacing w:after="0"/>
              <w:rPr>
                <w:sz w:val="20"/>
                <w:szCs w:val="20"/>
                <w:color w:val="auto"/>
              </w:rPr>
            </w:pPr>
            <w:r>
              <w:rPr>
                <w:rFonts w:ascii="Arial" w:cs="Arial" w:eastAsia="Arial" w:hAnsi="Arial"/>
                <w:sz w:val="14"/>
                <w:szCs w:val="14"/>
                <w:color w:val="auto"/>
              </w:rPr>
              <w:t>8,618</w:t>
            </w:r>
          </w:p>
        </w:tc>
        <w:tc>
          <w:tcPr>
            <w:tcW w:w="1180" w:type="dxa"/>
            <w:vAlign w:val="bottom"/>
            <w:tcBorders>
              <w:bottom w:val="single" w:sz="8" w:color="auto"/>
            </w:tcBorders>
            <w:shd w:val="clear" w:color="auto" w:fill="E0DBEA"/>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McKinstry, Nancy</w:t>
            </w: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3,082</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3,082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420" w:type="dxa"/>
            <w:vAlign w:val="bottom"/>
            <w:tcBorders>
              <w:bottom w:val="single" w:sz="8" w:color="auto"/>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McNamara, Brian J.</w:t>
            </w:r>
          </w:p>
        </w:tc>
        <w:tc>
          <w:tcPr>
            <w:tcW w:w="1420" w:type="dxa"/>
            <w:vAlign w:val="bottom"/>
            <w:tcBorders>
              <w:bottom w:val="single" w:sz="8" w:color="auto"/>
            </w:tcBorders>
            <w:shd w:val="clear" w:color="auto" w:fill="E0DBEA"/>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0DBEA"/>
          </w:tcPr>
          <w:p>
            <w:pPr>
              <w:jc w:val="right"/>
              <w:ind w:right="68"/>
              <w:spacing w:after="0"/>
              <w:rPr>
                <w:sz w:val="20"/>
                <w:szCs w:val="20"/>
                <w:color w:val="auto"/>
              </w:rPr>
            </w:pPr>
            <w:r>
              <w:rPr>
                <w:rFonts w:ascii="Arial" w:cs="Arial" w:eastAsia="Arial" w:hAnsi="Arial"/>
                <w:sz w:val="14"/>
                <w:szCs w:val="14"/>
                <w:color w:val="auto"/>
              </w:rPr>
              <w:t>6,963</w:t>
            </w:r>
          </w:p>
        </w:tc>
        <w:tc>
          <w:tcPr>
            <w:tcW w:w="900" w:type="dxa"/>
            <w:vAlign w:val="bottom"/>
            <w:tcBorders>
              <w:bottom w:val="single" w:sz="8" w:color="auto"/>
            </w:tcBorders>
            <w:shd w:val="clear" w:color="auto" w:fill="E0DBEA"/>
          </w:tcPr>
          <w:p>
            <w:pPr>
              <w:jc w:val="right"/>
              <w:ind w:right="68"/>
              <w:spacing w:after="0"/>
              <w:rPr>
                <w:sz w:val="20"/>
                <w:szCs w:val="20"/>
                <w:color w:val="auto"/>
              </w:rPr>
            </w:pPr>
            <w:r>
              <w:rPr>
                <w:rFonts w:ascii="Arial" w:cs="Arial" w:eastAsia="Arial" w:hAnsi="Arial"/>
                <w:sz w:val="14"/>
                <w:szCs w:val="14"/>
                <w:color w:val="auto"/>
              </w:rPr>
              <w:t>6,963</w:t>
            </w:r>
          </w:p>
        </w:tc>
        <w:tc>
          <w:tcPr>
            <w:tcW w:w="1180" w:type="dxa"/>
            <w:vAlign w:val="bottom"/>
            <w:tcBorders>
              <w:bottom w:val="single" w:sz="8" w:color="auto"/>
            </w:tcBorders>
            <w:shd w:val="clear" w:color="auto" w:fill="E0DBEA"/>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Mesquita, Jorge S.</w:t>
            </w: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6,500</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58,976</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65,476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420" w:type="dxa"/>
            <w:vAlign w:val="bottom"/>
            <w:tcBorders>
              <w:bottom w:val="single" w:sz="8" w:color="auto"/>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Nielsen, Jane Hamilton</w:t>
            </w:r>
          </w:p>
        </w:tc>
        <w:tc>
          <w:tcPr>
            <w:tcW w:w="1420" w:type="dxa"/>
            <w:vAlign w:val="bottom"/>
            <w:tcBorders>
              <w:bottom w:val="single" w:sz="8" w:color="auto"/>
            </w:tcBorders>
            <w:shd w:val="clear" w:color="auto" w:fill="E0DBEA"/>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0DBEA"/>
          </w:tcPr>
          <w:p>
            <w:pPr>
              <w:jc w:val="right"/>
              <w:ind w:right="68"/>
              <w:spacing w:after="0"/>
              <w:rPr>
                <w:sz w:val="20"/>
                <w:szCs w:val="20"/>
                <w:color w:val="auto"/>
              </w:rPr>
            </w:pPr>
            <w:r>
              <w:rPr>
                <w:rFonts w:ascii="Arial" w:cs="Arial" w:eastAsia="Arial" w:hAnsi="Arial"/>
                <w:sz w:val="14"/>
                <w:szCs w:val="14"/>
                <w:color w:val="auto"/>
              </w:rPr>
              <w:t>15,633</w:t>
            </w:r>
          </w:p>
        </w:tc>
        <w:tc>
          <w:tcPr>
            <w:tcW w:w="900" w:type="dxa"/>
            <w:vAlign w:val="bottom"/>
            <w:tcBorders>
              <w:bottom w:val="single" w:sz="8" w:color="auto"/>
            </w:tcBorders>
            <w:shd w:val="clear" w:color="auto" w:fill="E0DBEA"/>
          </w:tcPr>
          <w:p>
            <w:pPr>
              <w:jc w:val="right"/>
              <w:ind w:right="68"/>
              <w:spacing w:after="0"/>
              <w:rPr>
                <w:sz w:val="20"/>
                <w:szCs w:val="20"/>
                <w:color w:val="auto"/>
              </w:rPr>
            </w:pPr>
            <w:r>
              <w:rPr>
                <w:rFonts w:ascii="Arial" w:cs="Arial" w:eastAsia="Arial" w:hAnsi="Arial"/>
                <w:sz w:val="14"/>
                <w:szCs w:val="14"/>
                <w:color w:val="auto"/>
              </w:rPr>
              <w:t>15,633</w:t>
            </w:r>
          </w:p>
        </w:tc>
        <w:tc>
          <w:tcPr>
            <w:tcW w:w="1180" w:type="dxa"/>
            <w:vAlign w:val="bottom"/>
            <w:tcBorders>
              <w:bottom w:val="single" w:sz="8" w:color="auto"/>
            </w:tcBorders>
            <w:shd w:val="clear" w:color="auto" w:fill="E0DBEA"/>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Price, Paula A.</w:t>
            </w: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6,085</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6,085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420" w:type="dxa"/>
            <w:vAlign w:val="bottom"/>
            <w:tcBorders>
              <w:bottom w:val="single" w:sz="8" w:color="auto"/>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Siewert, Patrick T.</w:t>
            </w:r>
          </w:p>
        </w:tc>
        <w:tc>
          <w:tcPr>
            <w:tcW w:w="1420" w:type="dxa"/>
            <w:vAlign w:val="bottom"/>
            <w:tcBorders>
              <w:bottom w:val="single" w:sz="8" w:color="auto"/>
            </w:tcBorders>
            <w:shd w:val="clear" w:color="auto" w:fill="E0DBEA"/>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0DBEA"/>
          </w:tcPr>
          <w:p>
            <w:pPr>
              <w:jc w:val="right"/>
              <w:ind w:right="68"/>
              <w:spacing w:after="0"/>
              <w:rPr>
                <w:sz w:val="20"/>
                <w:szCs w:val="20"/>
                <w:color w:val="auto"/>
              </w:rPr>
            </w:pPr>
            <w:r>
              <w:rPr>
                <w:rFonts w:ascii="Arial" w:cs="Arial" w:eastAsia="Arial" w:hAnsi="Arial"/>
                <w:sz w:val="14"/>
                <w:szCs w:val="14"/>
                <w:color w:val="auto"/>
              </w:rPr>
              <w:t>58,737</w:t>
            </w:r>
          </w:p>
        </w:tc>
        <w:tc>
          <w:tcPr>
            <w:tcW w:w="900" w:type="dxa"/>
            <w:vAlign w:val="bottom"/>
            <w:tcBorders>
              <w:bottom w:val="single" w:sz="8" w:color="auto"/>
            </w:tcBorders>
            <w:shd w:val="clear" w:color="auto" w:fill="E0DBEA"/>
          </w:tcPr>
          <w:p>
            <w:pPr>
              <w:jc w:val="right"/>
              <w:ind w:right="68"/>
              <w:spacing w:after="0"/>
              <w:rPr>
                <w:sz w:val="20"/>
                <w:szCs w:val="20"/>
                <w:color w:val="auto"/>
              </w:rPr>
            </w:pPr>
            <w:r>
              <w:rPr>
                <w:rFonts w:ascii="Arial" w:cs="Arial" w:eastAsia="Arial" w:hAnsi="Arial"/>
                <w:sz w:val="14"/>
                <w:szCs w:val="14"/>
                <w:color w:val="auto"/>
              </w:rPr>
              <w:t>58,737</w:t>
            </w:r>
          </w:p>
        </w:tc>
        <w:tc>
          <w:tcPr>
            <w:tcW w:w="1180" w:type="dxa"/>
            <w:vAlign w:val="bottom"/>
            <w:tcBorders>
              <w:bottom w:val="single" w:sz="8" w:color="auto"/>
            </w:tcBorders>
            <w:shd w:val="clear" w:color="auto" w:fill="E0DBEA"/>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Todman, Michael A.</w:t>
            </w: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19,710</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19,710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420" w:type="dxa"/>
            <w:vAlign w:val="bottom"/>
            <w:tcBorders>
              <w:bottom w:val="single" w:sz="8" w:color="auto"/>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Named Executive Officers:</w:t>
            </w:r>
          </w:p>
        </w:tc>
        <w:tc>
          <w:tcPr>
            <w:tcW w:w="1420" w:type="dxa"/>
            <w:vAlign w:val="bottom"/>
            <w:tcBorders>
              <w:bottom w:val="single" w:sz="8" w:color="auto"/>
            </w:tcBorders>
            <w:shd w:val="clear" w:color="auto" w:fill="E0DBEA"/>
          </w:tcPr>
          <w:p>
            <w:pPr>
              <w:spacing w:after="0"/>
              <w:rPr>
                <w:sz w:val="18"/>
                <w:szCs w:val="18"/>
                <w:color w:val="auto"/>
              </w:rPr>
            </w:pPr>
          </w:p>
        </w:tc>
        <w:tc>
          <w:tcPr>
            <w:tcW w:w="1120" w:type="dxa"/>
            <w:vAlign w:val="bottom"/>
            <w:tcBorders>
              <w:bottom w:val="single" w:sz="8" w:color="auto"/>
            </w:tcBorders>
            <w:shd w:val="clear" w:color="auto" w:fill="E0DBEA"/>
          </w:tcPr>
          <w:p>
            <w:pPr>
              <w:spacing w:after="0"/>
              <w:rPr>
                <w:sz w:val="18"/>
                <w:szCs w:val="18"/>
                <w:color w:val="auto"/>
              </w:rPr>
            </w:pPr>
          </w:p>
        </w:tc>
        <w:tc>
          <w:tcPr>
            <w:tcW w:w="900" w:type="dxa"/>
            <w:vAlign w:val="bottom"/>
            <w:tcBorders>
              <w:bottom w:val="single" w:sz="8" w:color="auto"/>
            </w:tcBorders>
            <w:shd w:val="clear" w:color="auto" w:fill="E0DBEA"/>
          </w:tcPr>
          <w:p>
            <w:pPr>
              <w:spacing w:after="0"/>
              <w:rPr>
                <w:sz w:val="18"/>
                <w:szCs w:val="18"/>
                <w:color w:val="auto"/>
              </w:rPr>
            </w:pPr>
          </w:p>
        </w:tc>
        <w:tc>
          <w:tcPr>
            <w:tcW w:w="1180" w:type="dxa"/>
            <w:vAlign w:val="bottom"/>
            <w:tcBorders>
              <w:bottom w:val="single" w:sz="8" w:color="auto"/>
            </w:tcBorders>
            <w:shd w:val="clear" w:color="auto" w:fill="E0DBEA"/>
          </w:tcPr>
          <w:p>
            <w:pPr>
              <w:spacing w:after="0"/>
              <w:rPr>
                <w:sz w:val="18"/>
                <w:szCs w:val="18"/>
                <w:color w:val="auto"/>
              </w:rPr>
            </w:pPr>
          </w:p>
        </w:tc>
      </w:tr>
      <w:tr>
        <w:trPr>
          <w:trHeight w:val="210"/>
        </w:trPr>
        <w:tc>
          <w:tcPr>
            <w:tcW w:w="4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Kuhn, Volker</w:t>
            </w: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29,815</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25,910</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55,725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420" w:type="dxa"/>
            <w:vAlign w:val="bottom"/>
            <w:tcBorders>
              <w:bottom w:val="single" w:sz="8" w:color="auto"/>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Renaud, Martin</w:t>
            </w:r>
          </w:p>
        </w:tc>
        <w:tc>
          <w:tcPr>
            <w:tcW w:w="1420" w:type="dxa"/>
            <w:vAlign w:val="bottom"/>
            <w:tcBorders>
              <w:bottom w:val="single" w:sz="8" w:color="auto"/>
            </w:tcBorders>
            <w:shd w:val="clear" w:color="auto" w:fill="E0DBEA"/>
          </w:tcPr>
          <w:p>
            <w:pPr>
              <w:jc w:val="right"/>
              <w:ind w:right="88"/>
              <w:spacing w:after="0"/>
              <w:rPr>
                <w:sz w:val="20"/>
                <w:szCs w:val="20"/>
                <w:color w:val="auto"/>
              </w:rPr>
            </w:pPr>
            <w:r>
              <w:rPr>
                <w:rFonts w:ascii="Arial" w:cs="Arial" w:eastAsia="Arial" w:hAnsi="Arial"/>
                <w:sz w:val="14"/>
                <w:szCs w:val="14"/>
                <w:color w:val="auto"/>
              </w:rPr>
              <w:t>303,716</w:t>
            </w:r>
          </w:p>
        </w:tc>
        <w:tc>
          <w:tcPr>
            <w:tcW w:w="1120" w:type="dxa"/>
            <w:vAlign w:val="bottom"/>
            <w:tcBorders>
              <w:bottom w:val="single" w:sz="8" w:color="auto"/>
            </w:tcBorders>
            <w:shd w:val="clear" w:color="auto" w:fill="E0DBEA"/>
          </w:tcPr>
          <w:p>
            <w:pPr>
              <w:jc w:val="right"/>
              <w:ind w:right="68"/>
              <w:spacing w:after="0"/>
              <w:rPr>
                <w:sz w:val="20"/>
                <w:szCs w:val="20"/>
                <w:color w:val="auto"/>
              </w:rPr>
            </w:pPr>
            <w:r>
              <w:rPr>
                <w:rFonts w:ascii="Arial" w:cs="Arial" w:eastAsia="Arial" w:hAnsi="Arial"/>
                <w:sz w:val="14"/>
                <w:szCs w:val="14"/>
                <w:color w:val="auto"/>
              </w:rPr>
              <w:t>14,440</w:t>
            </w:r>
          </w:p>
        </w:tc>
        <w:tc>
          <w:tcPr>
            <w:tcW w:w="900" w:type="dxa"/>
            <w:vAlign w:val="bottom"/>
            <w:tcBorders>
              <w:bottom w:val="single" w:sz="8" w:color="auto"/>
            </w:tcBorders>
            <w:shd w:val="clear" w:color="auto" w:fill="E0DBEA"/>
          </w:tcPr>
          <w:p>
            <w:pPr>
              <w:jc w:val="right"/>
              <w:ind w:right="68"/>
              <w:spacing w:after="0"/>
              <w:rPr>
                <w:sz w:val="20"/>
                <w:szCs w:val="20"/>
                <w:color w:val="auto"/>
              </w:rPr>
            </w:pPr>
            <w:r>
              <w:rPr>
                <w:rFonts w:ascii="Arial" w:cs="Arial" w:eastAsia="Arial" w:hAnsi="Arial"/>
                <w:sz w:val="14"/>
                <w:szCs w:val="14"/>
                <w:color w:val="auto"/>
              </w:rPr>
              <w:t>318,156</w:t>
            </w:r>
          </w:p>
        </w:tc>
        <w:tc>
          <w:tcPr>
            <w:tcW w:w="1180" w:type="dxa"/>
            <w:vAlign w:val="bottom"/>
            <w:tcBorders>
              <w:bottom w:val="single" w:sz="8" w:color="auto"/>
            </w:tcBorders>
            <w:shd w:val="clear" w:color="auto" w:fill="E0DBEA"/>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Valle, Gustavo</w:t>
            </w: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292,313</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22,310</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314,623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420" w:type="dxa"/>
            <w:vAlign w:val="bottom"/>
            <w:tcBorders>
              <w:bottom w:val="single" w:sz="8" w:color="auto"/>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Van de Put, Dirk</w:t>
            </w:r>
          </w:p>
        </w:tc>
        <w:tc>
          <w:tcPr>
            <w:tcW w:w="1420" w:type="dxa"/>
            <w:vAlign w:val="bottom"/>
            <w:tcBorders>
              <w:bottom w:val="single" w:sz="8" w:color="auto"/>
            </w:tcBorders>
            <w:shd w:val="clear" w:color="auto" w:fill="E0DBEA"/>
          </w:tcPr>
          <w:p>
            <w:pPr>
              <w:jc w:val="right"/>
              <w:ind w:right="88"/>
              <w:spacing w:after="0"/>
              <w:rPr>
                <w:sz w:val="20"/>
                <w:szCs w:val="20"/>
                <w:color w:val="auto"/>
              </w:rPr>
            </w:pPr>
            <w:r>
              <w:rPr>
                <w:rFonts w:ascii="Arial" w:cs="Arial" w:eastAsia="Arial" w:hAnsi="Arial"/>
                <w:sz w:val="14"/>
                <w:szCs w:val="14"/>
                <w:color w:val="auto"/>
              </w:rPr>
              <w:t>3,194,788</w:t>
            </w:r>
          </w:p>
        </w:tc>
        <w:tc>
          <w:tcPr>
            <w:tcW w:w="1120" w:type="dxa"/>
            <w:vAlign w:val="bottom"/>
            <w:tcBorders>
              <w:bottom w:val="single" w:sz="8" w:color="auto"/>
            </w:tcBorders>
            <w:shd w:val="clear" w:color="auto" w:fill="E0DBEA"/>
          </w:tcPr>
          <w:p>
            <w:pPr>
              <w:jc w:val="right"/>
              <w:ind w:right="68"/>
              <w:spacing w:after="0"/>
              <w:rPr>
                <w:sz w:val="20"/>
                <w:szCs w:val="20"/>
                <w:color w:val="auto"/>
              </w:rPr>
            </w:pPr>
            <w:r>
              <w:rPr>
                <w:rFonts w:ascii="Arial" w:cs="Arial" w:eastAsia="Arial" w:hAnsi="Arial"/>
                <w:sz w:val="14"/>
                <w:szCs w:val="14"/>
                <w:color w:val="auto"/>
              </w:rPr>
              <w:t>81,340</w:t>
            </w:r>
          </w:p>
        </w:tc>
        <w:tc>
          <w:tcPr>
            <w:tcW w:w="900" w:type="dxa"/>
            <w:vAlign w:val="bottom"/>
            <w:tcBorders>
              <w:bottom w:val="single" w:sz="8" w:color="auto"/>
            </w:tcBorders>
            <w:shd w:val="clear" w:color="auto" w:fill="E0DBEA"/>
          </w:tcPr>
          <w:p>
            <w:pPr>
              <w:jc w:val="right"/>
              <w:ind w:right="68"/>
              <w:spacing w:after="0"/>
              <w:rPr>
                <w:sz w:val="20"/>
                <w:szCs w:val="20"/>
                <w:color w:val="auto"/>
              </w:rPr>
            </w:pPr>
            <w:r>
              <w:rPr>
                <w:rFonts w:ascii="Arial" w:cs="Arial" w:eastAsia="Arial" w:hAnsi="Arial"/>
                <w:sz w:val="14"/>
                <w:szCs w:val="14"/>
                <w:color w:val="auto"/>
              </w:rPr>
              <w:t>3,276,128</w:t>
            </w:r>
          </w:p>
        </w:tc>
        <w:tc>
          <w:tcPr>
            <w:tcW w:w="1180" w:type="dxa"/>
            <w:vAlign w:val="bottom"/>
            <w:tcBorders>
              <w:bottom w:val="single" w:sz="8" w:color="auto"/>
            </w:tcBorders>
            <w:shd w:val="clear" w:color="auto" w:fill="E0DBEA"/>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Zaramella, Luca</w:t>
            </w: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936,480</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37,920</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974,400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420" w:type="dxa"/>
            <w:vAlign w:val="bottom"/>
            <w:tcBorders>
              <w:bottom w:val="single" w:sz="8" w:color="auto"/>
            </w:tcBorders>
            <w:shd w:val="clear" w:color="auto" w:fill="E0DBEA"/>
          </w:tcPr>
          <w:p>
            <w:pPr>
              <w:ind w:left="60"/>
              <w:spacing w:after="0"/>
              <w:rPr>
                <w:sz w:val="20"/>
                <w:szCs w:val="20"/>
                <w:color w:val="auto"/>
              </w:rPr>
            </w:pPr>
            <w:r>
              <w:rPr>
                <w:rFonts w:ascii="Arial" w:cs="Arial" w:eastAsia="Arial" w:hAnsi="Arial"/>
                <w:sz w:val="14"/>
                <w:szCs w:val="14"/>
                <w:color w:val="auto"/>
              </w:rPr>
              <w:t>All directors and executive officers as a group (18 persons)</w:t>
            </w:r>
            <w:r>
              <w:rPr>
                <w:rFonts w:ascii="Arial" w:cs="Arial" w:eastAsia="Arial" w:hAnsi="Arial"/>
                <w:sz w:val="18"/>
                <w:szCs w:val="18"/>
                <w:color w:val="auto"/>
                <w:vertAlign w:val="superscript"/>
              </w:rPr>
              <w:t>(4)</w:t>
            </w:r>
          </w:p>
        </w:tc>
        <w:tc>
          <w:tcPr>
            <w:tcW w:w="1420" w:type="dxa"/>
            <w:vAlign w:val="bottom"/>
            <w:tcBorders>
              <w:bottom w:val="single" w:sz="8" w:color="auto"/>
            </w:tcBorders>
            <w:shd w:val="clear" w:color="auto" w:fill="E0DBEA"/>
          </w:tcPr>
          <w:p>
            <w:pPr>
              <w:jc w:val="right"/>
              <w:ind w:right="88"/>
              <w:spacing w:after="0"/>
              <w:rPr>
                <w:sz w:val="20"/>
                <w:szCs w:val="20"/>
                <w:color w:val="auto"/>
              </w:rPr>
            </w:pPr>
            <w:r>
              <w:rPr>
                <w:rFonts w:ascii="Arial" w:cs="Arial" w:eastAsia="Arial" w:hAnsi="Arial"/>
                <w:sz w:val="14"/>
                <w:szCs w:val="14"/>
                <w:color w:val="auto"/>
              </w:rPr>
              <w:t>5,347,780</w:t>
            </w:r>
          </w:p>
        </w:tc>
        <w:tc>
          <w:tcPr>
            <w:tcW w:w="1120" w:type="dxa"/>
            <w:vAlign w:val="bottom"/>
            <w:tcBorders>
              <w:bottom w:val="single" w:sz="8" w:color="auto"/>
            </w:tcBorders>
            <w:shd w:val="clear" w:color="auto" w:fill="E0DBEA"/>
          </w:tcPr>
          <w:p>
            <w:pPr>
              <w:jc w:val="right"/>
              <w:ind w:right="68"/>
              <w:spacing w:after="0"/>
              <w:rPr>
                <w:sz w:val="20"/>
                <w:szCs w:val="20"/>
                <w:color w:val="auto"/>
              </w:rPr>
            </w:pPr>
            <w:r>
              <w:rPr>
                <w:rFonts w:ascii="Arial" w:cs="Arial" w:eastAsia="Arial" w:hAnsi="Arial"/>
                <w:sz w:val="14"/>
                <w:szCs w:val="14"/>
                <w:color w:val="auto"/>
              </w:rPr>
              <w:t>428,774</w:t>
            </w:r>
          </w:p>
        </w:tc>
        <w:tc>
          <w:tcPr>
            <w:tcW w:w="900" w:type="dxa"/>
            <w:vAlign w:val="bottom"/>
            <w:tcBorders>
              <w:bottom w:val="single" w:sz="8" w:color="auto"/>
            </w:tcBorders>
            <w:shd w:val="clear" w:color="auto" w:fill="E0DBEA"/>
          </w:tcPr>
          <w:p>
            <w:pPr>
              <w:jc w:val="right"/>
              <w:ind w:right="68"/>
              <w:spacing w:after="0"/>
              <w:rPr>
                <w:sz w:val="20"/>
                <w:szCs w:val="20"/>
                <w:color w:val="auto"/>
              </w:rPr>
            </w:pPr>
            <w:r>
              <w:rPr>
                <w:rFonts w:ascii="Arial" w:cs="Arial" w:eastAsia="Arial" w:hAnsi="Arial"/>
                <w:sz w:val="14"/>
                <w:szCs w:val="14"/>
                <w:color w:val="auto"/>
              </w:rPr>
              <w:t>5,776,554</w:t>
            </w:r>
          </w:p>
        </w:tc>
        <w:tc>
          <w:tcPr>
            <w:tcW w:w="1180" w:type="dxa"/>
            <w:vAlign w:val="bottom"/>
            <w:tcBorders>
              <w:bottom w:val="single" w:sz="8" w:color="auto"/>
            </w:tcBorders>
            <w:shd w:val="clear" w:color="auto" w:fill="E0DBEA"/>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4420" w:type="dxa"/>
            <w:vAlign w:val="bottom"/>
          </w:tcPr>
          <w:p>
            <w:pPr>
              <w:spacing w:after="0"/>
              <w:rPr>
                <w:sz w:val="20"/>
                <w:szCs w:val="20"/>
                <w:color w:val="auto"/>
              </w:rPr>
            </w:pPr>
            <w:r>
              <w:rPr>
                <w:rFonts w:ascii="Arial" w:cs="Arial" w:eastAsia="Arial" w:hAnsi="Arial"/>
                <w:sz w:val="14"/>
                <w:szCs w:val="14"/>
                <w:color w:val="auto"/>
              </w:rPr>
              <w:t>*   Less than 1%.</w:t>
            </w:r>
          </w:p>
        </w:tc>
        <w:tc>
          <w:tcPr>
            <w:tcW w:w="1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spacing w:after="0" w:line="53" w:lineRule="exact"/>
        <w:rPr>
          <w:sz w:val="20"/>
          <w:szCs w:val="20"/>
          <w:color w:val="auto"/>
        </w:rPr>
      </w:pPr>
    </w:p>
    <w:p>
      <w:pPr>
        <w:ind w:left="260" w:hanging="253"/>
        <w:spacing w:after="0"/>
        <w:tabs>
          <w:tab w:leader="none" w:pos="2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Includes stock options that are exercisable or will become exercisable within 60 days after March 11, 2026, as follows:</w:t>
      </w:r>
    </w:p>
    <w:p>
      <w:pPr>
        <w:spacing w:after="0" w:line="29" w:lineRule="exact"/>
        <w:rPr>
          <w:rFonts w:ascii="Arial" w:cs="Arial" w:eastAsia="Arial" w:hAnsi="Arial"/>
          <w:sz w:val="14"/>
          <w:szCs w:val="14"/>
          <w:color w:val="auto"/>
        </w:rPr>
      </w:pPr>
    </w:p>
    <w:p>
      <w:pPr>
        <w:ind w:left="260" w:right="460"/>
        <w:spacing w:after="0" w:line="321" w:lineRule="auto"/>
        <w:rPr>
          <w:rFonts w:ascii="Arial" w:cs="Arial" w:eastAsia="Arial" w:hAnsi="Arial"/>
          <w:sz w:val="14"/>
          <w:szCs w:val="14"/>
          <w:color w:val="auto"/>
        </w:rPr>
      </w:pPr>
      <w:r>
        <w:rPr>
          <w:rFonts w:ascii="Arial" w:cs="Arial" w:eastAsia="Arial" w:hAnsi="Arial"/>
          <w:sz w:val="14"/>
          <w:szCs w:val="14"/>
          <w:color w:val="auto"/>
        </w:rPr>
        <w:t>Mr. Kuhn – 29,815; Mr. Renaud – 218,960; Mr. Valle – 215,027; Mr. Van de Put – 1,949,640; Mr. Zaramella – 574,262, and all other executive officers – 422,865.</w:t>
      </w:r>
    </w:p>
    <w:p>
      <w:pPr>
        <w:ind w:left="260" w:right="340" w:hanging="253"/>
        <w:spacing w:after="0" w:line="282" w:lineRule="auto"/>
        <w:tabs>
          <w:tab w:leader="none" w:pos="233"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Includes deferred stock units granted under our prior 2006 Stock Compensation Plan for Non-Employee Directors, 2005 Performance Incentive Plan, and the 2024 PIP.</w:t>
      </w:r>
    </w:p>
    <w:p>
      <w:pPr>
        <w:ind w:left="260" w:hanging="253"/>
        <w:spacing w:after="0"/>
        <w:tabs>
          <w:tab w:leader="none" w:pos="2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Based on 1,283,456,590 issued and outstanding shares of our Common Stock as of March 11, 2026.</w:t>
      </w:r>
    </w:p>
    <w:p>
      <w:pPr>
        <w:spacing w:after="0" w:line="67" w:lineRule="exact"/>
        <w:rPr>
          <w:rFonts w:ascii="Arial" w:cs="Arial" w:eastAsia="Arial" w:hAnsi="Arial"/>
          <w:sz w:val="14"/>
          <w:szCs w:val="14"/>
          <w:color w:val="auto"/>
        </w:rPr>
      </w:pPr>
    </w:p>
    <w:p>
      <w:pPr>
        <w:ind w:left="260" w:hanging="253"/>
        <w:spacing w:after="0"/>
        <w:tabs>
          <w:tab w:leader="none" w:pos="2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This group includes, in addition to the individuals named in the table, Deepak D. Iyer, Stephanie Lilak, Mariano Lozano, and Laura Stein.</w:t>
      </w:r>
    </w:p>
    <w:p>
      <w:pPr>
        <w:sectPr>
          <w:pgSz w:w="11900" w:h="16838" w:orient="portrait"/>
          <w:cols w:equalWidth="0" w:num="1">
            <w:col w:w="9040"/>
          </w:cols>
          <w:pgMar w:left="1420" w:top="179" w:right="1439" w:bottom="1051" w:gutter="0" w:footer="0" w:header="0"/>
        </w:sectPr>
      </w:pPr>
    </w:p>
    <w:bookmarkStart w:id="90" w:name="page91"/>
    <w:bookmarkEnd w:id="90"/>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2363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10375" cy="1236345"/>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4"/>
          <w:szCs w:val="14"/>
          <w:b w:val="1"/>
          <w:bCs w:val="1"/>
          <w:color w:val="582C83"/>
        </w:rPr>
        <w:t>2026 PROXY STATEMENT |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8677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0" w:num="1">
            <w:col w:w="9040"/>
          </w:cols>
          <w:pgMar w:left="1420" w:top="1440" w:right="1439" w:bottom="5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OWNERSHIP OF EQUITY SECURITIES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60"/>
        <w:spacing w:after="0" w:line="301" w:lineRule="auto"/>
        <w:rPr>
          <w:sz w:val="20"/>
          <w:szCs w:val="20"/>
          <w:color w:val="auto"/>
        </w:rPr>
      </w:pPr>
      <w:r>
        <w:rPr>
          <w:rFonts w:ascii="Arial" w:cs="Arial" w:eastAsia="Arial" w:hAnsi="Arial"/>
          <w:sz w:val="17"/>
          <w:szCs w:val="17"/>
          <w:color w:val="auto"/>
        </w:rPr>
        <w:t>The following table displays information about persons we know were the beneficial owners of more than 5% of the issued and outstanding Common Stock as of March 11, 2026.</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740" w:type="dxa"/>
            <w:vAlign w:val="bottom"/>
          </w:tcPr>
          <w:p>
            <w:pPr>
              <w:jc w:val="right"/>
              <w:spacing w:after="0"/>
              <w:rPr>
                <w:sz w:val="20"/>
                <w:szCs w:val="20"/>
                <w:color w:val="auto"/>
              </w:rPr>
            </w:pPr>
            <w:r>
              <w:rPr>
                <w:rFonts w:ascii="Arial" w:cs="Arial" w:eastAsia="Arial" w:hAnsi="Arial"/>
                <w:sz w:val="14"/>
                <w:szCs w:val="14"/>
                <w:b w:val="1"/>
                <w:bCs w:val="1"/>
                <w:color w:val="auto"/>
              </w:rPr>
              <w:t>Percent of Class Calculated Based on</w:t>
            </w:r>
          </w:p>
        </w:tc>
      </w:tr>
      <w:tr>
        <w:trPr>
          <w:trHeight w:val="175"/>
        </w:trPr>
        <w:tc>
          <w:tcPr>
            <w:tcW w:w="3720" w:type="dxa"/>
            <w:vAlign w:val="bottom"/>
          </w:tcPr>
          <w:p>
            <w:pPr>
              <w:spacing w:after="0"/>
              <w:rPr>
                <w:sz w:val="15"/>
                <w:szCs w:val="15"/>
                <w:color w:val="auto"/>
              </w:rPr>
            </w:pPr>
          </w:p>
        </w:tc>
        <w:tc>
          <w:tcPr>
            <w:tcW w:w="2580" w:type="dxa"/>
            <w:vAlign w:val="bottom"/>
          </w:tcPr>
          <w:p>
            <w:pPr>
              <w:jc w:val="right"/>
              <w:ind w:right="48"/>
              <w:spacing w:after="0"/>
              <w:rPr>
                <w:sz w:val="20"/>
                <w:szCs w:val="20"/>
                <w:color w:val="auto"/>
              </w:rPr>
            </w:pPr>
            <w:r>
              <w:rPr>
                <w:rFonts w:ascii="Arial" w:cs="Arial" w:eastAsia="Arial" w:hAnsi="Arial"/>
                <w:sz w:val="14"/>
                <w:szCs w:val="14"/>
                <w:b w:val="1"/>
                <w:bCs w:val="1"/>
                <w:color w:val="auto"/>
              </w:rPr>
              <w:t>Amount and Nature of</w:t>
            </w:r>
          </w:p>
        </w:tc>
        <w:tc>
          <w:tcPr>
            <w:tcW w:w="2740" w:type="dxa"/>
            <w:vAlign w:val="bottom"/>
          </w:tcPr>
          <w:p>
            <w:pPr>
              <w:jc w:val="right"/>
              <w:spacing w:after="0"/>
              <w:rPr>
                <w:sz w:val="20"/>
                <w:szCs w:val="20"/>
                <w:color w:val="auto"/>
              </w:rPr>
            </w:pPr>
            <w:r>
              <w:rPr>
                <w:rFonts w:ascii="Arial" w:cs="Arial" w:eastAsia="Arial" w:hAnsi="Arial"/>
                <w:sz w:val="14"/>
                <w:szCs w:val="14"/>
                <w:b w:val="1"/>
                <w:bCs w:val="1"/>
                <w:color w:val="auto"/>
              </w:rPr>
              <w:t>Shares of the Issued and Outstanding</w:t>
            </w:r>
          </w:p>
        </w:tc>
      </w:tr>
      <w:tr>
        <w:trPr>
          <w:trHeight w:val="165"/>
        </w:trPr>
        <w:tc>
          <w:tcPr>
            <w:tcW w:w="3720" w:type="dxa"/>
            <w:vAlign w:val="bottom"/>
            <w:tcBorders>
              <w:bottom w:val="single" w:sz="8" w:color="582C83"/>
            </w:tcBorders>
          </w:tcPr>
          <w:p>
            <w:pPr>
              <w:ind w:left="60"/>
              <w:spacing w:after="0" w:line="158" w:lineRule="exact"/>
              <w:rPr>
                <w:sz w:val="20"/>
                <w:szCs w:val="20"/>
                <w:color w:val="auto"/>
              </w:rPr>
            </w:pPr>
            <w:r>
              <w:rPr>
                <w:rFonts w:ascii="Arial" w:cs="Arial" w:eastAsia="Arial" w:hAnsi="Arial"/>
                <w:sz w:val="14"/>
                <w:szCs w:val="14"/>
                <w:b w:val="1"/>
                <w:bCs w:val="1"/>
                <w:color w:val="auto"/>
              </w:rPr>
              <w:t>Name and Address of Beneficial Owner</w:t>
            </w:r>
          </w:p>
        </w:tc>
        <w:tc>
          <w:tcPr>
            <w:tcW w:w="2580" w:type="dxa"/>
            <w:vAlign w:val="bottom"/>
            <w:tcBorders>
              <w:bottom w:val="single" w:sz="8" w:color="582C83"/>
            </w:tcBorders>
          </w:tcPr>
          <w:p>
            <w:pPr>
              <w:jc w:val="right"/>
              <w:ind w:right="48"/>
              <w:spacing w:after="0" w:line="158" w:lineRule="exact"/>
              <w:rPr>
                <w:sz w:val="20"/>
                <w:szCs w:val="20"/>
                <w:color w:val="auto"/>
              </w:rPr>
            </w:pPr>
            <w:r>
              <w:rPr>
                <w:rFonts w:ascii="Arial" w:cs="Arial" w:eastAsia="Arial" w:hAnsi="Arial"/>
                <w:sz w:val="14"/>
                <w:szCs w:val="14"/>
                <w:b w:val="1"/>
                <w:bCs w:val="1"/>
                <w:color w:val="auto"/>
              </w:rPr>
              <w:t>Beneficial Ownership</w:t>
            </w:r>
          </w:p>
        </w:tc>
        <w:tc>
          <w:tcPr>
            <w:tcW w:w="2740" w:type="dxa"/>
            <w:vAlign w:val="bottom"/>
            <w:tcBorders>
              <w:bottom w:val="single" w:sz="8" w:color="582C83"/>
            </w:tcBorders>
          </w:tcPr>
          <w:p>
            <w:pPr>
              <w:jc w:val="right"/>
              <w:spacing w:after="0" w:line="158" w:lineRule="exact"/>
              <w:rPr>
                <w:sz w:val="20"/>
                <w:szCs w:val="20"/>
                <w:color w:val="auto"/>
              </w:rPr>
            </w:pPr>
            <w:r>
              <w:rPr>
                <w:rFonts w:ascii="Arial" w:cs="Arial" w:eastAsia="Arial" w:hAnsi="Arial"/>
                <w:sz w:val="14"/>
                <w:szCs w:val="14"/>
                <w:b w:val="1"/>
                <w:bCs w:val="1"/>
                <w:color w:val="auto"/>
              </w:rPr>
              <w:t>Common Stock as of March 11, 2026</w:t>
            </w:r>
          </w:p>
        </w:tc>
      </w:tr>
      <w:tr>
        <w:trPr>
          <w:trHeight w:val="207"/>
        </w:trPr>
        <w:tc>
          <w:tcPr>
            <w:tcW w:w="3720" w:type="dxa"/>
            <w:vAlign w:val="bottom"/>
            <w:shd w:val="clear" w:color="auto" w:fill="E0DBEA"/>
          </w:tcPr>
          <w:p>
            <w:pPr>
              <w:ind w:left="60"/>
              <w:spacing w:after="0"/>
              <w:rPr>
                <w:sz w:val="20"/>
                <w:szCs w:val="20"/>
                <w:color w:val="auto"/>
              </w:rPr>
            </w:pPr>
            <w:r>
              <w:rPr>
                <w:rFonts w:ascii="Arial" w:cs="Arial" w:eastAsia="Arial" w:hAnsi="Arial"/>
                <w:sz w:val="14"/>
                <w:szCs w:val="14"/>
                <w:color w:val="auto"/>
              </w:rPr>
              <w:t>BlackRock, Inc.</w:t>
            </w:r>
            <w:r>
              <w:rPr>
                <w:rFonts w:ascii="Arial" w:cs="Arial" w:eastAsia="Arial" w:hAnsi="Arial"/>
                <w:sz w:val="18"/>
                <w:szCs w:val="18"/>
                <w:color w:val="auto"/>
                <w:vertAlign w:val="superscript"/>
              </w:rPr>
              <w:t>(1)</w:t>
            </w:r>
          </w:p>
        </w:tc>
        <w:tc>
          <w:tcPr>
            <w:tcW w:w="2580" w:type="dxa"/>
            <w:vAlign w:val="bottom"/>
            <w:shd w:val="clear" w:color="auto" w:fill="E0DBEA"/>
          </w:tcPr>
          <w:p>
            <w:pPr>
              <w:spacing w:after="0"/>
              <w:rPr>
                <w:sz w:val="17"/>
                <w:szCs w:val="17"/>
                <w:color w:val="auto"/>
              </w:rPr>
            </w:pPr>
          </w:p>
        </w:tc>
        <w:tc>
          <w:tcPr>
            <w:tcW w:w="2740" w:type="dxa"/>
            <w:vAlign w:val="bottom"/>
            <w:shd w:val="clear" w:color="auto" w:fill="E0DBEA"/>
          </w:tcPr>
          <w:p>
            <w:pPr>
              <w:spacing w:after="0"/>
              <w:rPr>
                <w:sz w:val="17"/>
                <w:szCs w:val="17"/>
                <w:color w:val="auto"/>
              </w:rPr>
            </w:pPr>
          </w:p>
        </w:tc>
      </w:tr>
      <w:tr>
        <w:trPr>
          <w:trHeight w:val="176"/>
        </w:trPr>
        <w:tc>
          <w:tcPr>
            <w:tcW w:w="3720" w:type="dxa"/>
            <w:vAlign w:val="bottom"/>
            <w:shd w:val="clear" w:color="auto" w:fill="E0DBEA"/>
          </w:tcPr>
          <w:p>
            <w:pPr>
              <w:ind w:left="100"/>
              <w:spacing w:after="0"/>
              <w:rPr>
                <w:sz w:val="20"/>
                <w:szCs w:val="20"/>
                <w:color w:val="auto"/>
              </w:rPr>
            </w:pPr>
            <w:r>
              <w:rPr>
                <w:rFonts w:ascii="Arial" w:cs="Arial" w:eastAsia="Arial" w:hAnsi="Arial"/>
                <w:sz w:val="14"/>
                <w:szCs w:val="14"/>
                <w:color w:val="auto"/>
              </w:rPr>
              <w:t>50 Hudson Yards</w:t>
            </w:r>
          </w:p>
        </w:tc>
        <w:tc>
          <w:tcPr>
            <w:tcW w:w="2580" w:type="dxa"/>
            <w:vAlign w:val="bottom"/>
            <w:shd w:val="clear" w:color="auto" w:fill="E0DBEA"/>
          </w:tcPr>
          <w:p>
            <w:pPr>
              <w:spacing w:after="0"/>
              <w:rPr>
                <w:sz w:val="15"/>
                <w:szCs w:val="15"/>
                <w:color w:val="auto"/>
              </w:rPr>
            </w:pPr>
          </w:p>
        </w:tc>
        <w:tc>
          <w:tcPr>
            <w:tcW w:w="2740" w:type="dxa"/>
            <w:vAlign w:val="bottom"/>
            <w:shd w:val="clear" w:color="auto" w:fill="E0DBEA"/>
          </w:tcPr>
          <w:p>
            <w:pPr>
              <w:spacing w:after="0"/>
              <w:rPr>
                <w:sz w:val="15"/>
                <w:szCs w:val="15"/>
                <w:color w:val="auto"/>
              </w:rPr>
            </w:pPr>
          </w:p>
        </w:tc>
      </w:tr>
      <w:tr>
        <w:trPr>
          <w:trHeight w:val="185"/>
        </w:trPr>
        <w:tc>
          <w:tcPr>
            <w:tcW w:w="372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color w:val="auto"/>
              </w:rPr>
              <w:t>New York, NY 10001</w:t>
            </w:r>
          </w:p>
        </w:tc>
        <w:tc>
          <w:tcPr>
            <w:tcW w:w="2580" w:type="dxa"/>
            <w:vAlign w:val="bottom"/>
            <w:tcBorders>
              <w:bottom w:val="single" w:sz="8" w:color="582C83"/>
            </w:tcBorders>
            <w:shd w:val="clear" w:color="auto" w:fill="E0DBEA"/>
          </w:tcPr>
          <w:p>
            <w:pPr>
              <w:jc w:val="right"/>
              <w:ind w:right="48"/>
              <w:spacing w:after="0"/>
              <w:rPr>
                <w:sz w:val="20"/>
                <w:szCs w:val="20"/>
                <w:color w:val="auto"/>
              </w:rPr>
            </w:pPr>
            <w:r>
              <w:rPr>
                <w:rFonts w:ascii="Arial" w:cs="Arial" w:eastAsia="Arial" w:hAnsi="Arial"/>
                <w:sz w:val="14"/>
                <w:szCs w:val="14"/>
                <w:color w:val="auto"/>
              </w:rPr>
              <w:t>99,059,304</w:t>
            </w:r>
          </w:p>
        </w:tc>
        <w:tc>
          <w:tcPr>
            <w:tcW w:w="27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7.7%</w:t>
            </w:r>
          </w:p>
        </w:tc>
      </w:tr>
      <w:tr>
        <w:trPr>
          <w:trHeight w:val="200"/>
        </w:trPr>
        <w:tc>
          <w:tcPr>
            <w:tcW w:w="3720" w:type="dxa"/>
            <w:vAlign w:val="bottom"/>
          </w:tcPr>
          <w:p>
            <w:pPr>
              <w:ind w:left="60"/>
              <w:spacing w:after="0" w:line="201" w:lineRule="exact"/>
              <w:rPr>
                <w:sz w:val="20"/>
                <w:szCs w:val="20"/>
                <w:color w:val="auto"/>
              </w:rPr>
            </w:pPr>
            <w:r>
              <w:rPr>
                <w:rFonts w:ascii="Arial" w:cs="Arial" w:eastAsia="Arial" w:hAnsi="Arial"/>
                <w:sz w:val="14"/>
                <w:szCs w:val="14"/>
                <w:color w:val="auto"/>
              </w:rPr>
              <w:t>Capital International Investors</w:t>
            </w:r>
            <w:r>
              <w:rPr>
                <w:rFonts w:ascii="Arial" w:cs="Arial" w:eastAsia="Arial" w:hAnsi="Arial"/>
                <w:sz w:val="18"/>
                <w:szCs w:val="18"/>
                <w:color w:val="auto"/>
                <w:vertAlign w:val="superscript"/>
              </w:rPr>
              <w:t>(2)</w:t>
            </w:r>
          </w:p>
        </w:tc>
        <w:tc>
          <w:tcPr>
            <w:tcW w:w="258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175"/>
        </w:trPr>
        <w:tc>
          <w:tcPr>
            <w:tcW w:w="3720" w:type="dxa"/>
            <w:vAlign w:val="bottom"/>
          </w:tcPr>
          <w:p>
            <w:pPr>
              <w:ind w:left="60"/>
              <w:spacing w:after="0"/>
              <w:rPr>
                <w:sz w:val="20"/>
                <w:szCs w:val="20"/>
                <w:color w:val="auto"/>
              </w:rPr>
            </w:pPr>
            <w:r>
              <w:rPr>
                <w:rFonts w:ascii="Arial" w:cs="Arial" w:eastAsia="Arial" w:hAnsi="Arial"/>
                <w:sz w:val="14"/>
                <w:szCs w:val="14"/>
                <w:color w:val="auto"/>
              </w:rPr>
              <w:t>333 South Hope Street, 55th Floor</w:t>
            </w:r>
          </w:p>
        </w:tc>
        <w:tc>
          <w:tcPr>
            <w:tcW w:w="258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185"/>
        </w:trPr>
        <w:tc>
          <w:tcPr>
            <w:tcW w:w="3720" w:type="dxa"/>
            <w:vAlign w:val="bottom"/>
            <w:tcBorders>
              <w:bottom w:val="single" w:sz="8" w:color="582C83"/>
            </w:tcBorders>
          </w:tcPr>
          <w:p>
            <w:pPr>
              <w:ind w:left="60"/>
              <w:spacing w:after="0"/>
              <w:rPr>
                <w:sz w:val="20"/>
                <w:szCs w:val="20"/>
                <w:color w:val="auto"/>
              </w:rPr>
            </w:pPr>
            <w:r>
              <w:rPr>
                <w:rFonts w:ascii="Arial" w:cs="Arial" w:eastAsia="Arial" w:hAnsi="Arial"/>
                <w:sz w:val="14"/>
                <w:szCs w:val="14"/>
                <w:color w:val="auto"/>
              </w:rPr>
              <w:t>Los Angeles, CA 90071</w:t>
            </w:r>
          </w:p>
        </w:tc>
        <w:tc>
          <w:tcPr>
            <w:tcW w:w="2580" w:type="dxa"/>
            <w:vAlign w:val="bottom"/>
            <w:tcBorders>
              <w:bottom w:val="single" w:sz="8" w:color="582C83"/>
            </w:tcBorders>
          </w:tcPr>
          <w:p>
            <w:pPr>
              <w:jc w:val="right"/>
              <w:ind w:right="48"/>
              <w:spacing w:after="0"/>
              <w:rPr>
                <w:sz w:val="20"/>
                <w:szCs w:val="20"/>
                <w:color w:val="auto"/>
              </w:rPr>
            </w:pPr>
            <w:r>
              <w:rPr>
                <w:rFonts w:ascii="Arial" w:cs="Arial" w:eastAsia="Arial" w:hAnsi="Arial"/>
                <w:sz w:val="14"/>
                <w:szCs w:val="14"/>
                <w:color w:val="auto"/>
              </w:rPr>
              <w:t>89,057,016</w:t>
            </w:r>
          </w:p>
        </w:tc>
        <w:tc>
          <w:tcPr>
            <w:tcW w:w="274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6.9%</w:t>
            </w:r>
          </w:p>
        </w:tc>
      </w:tr>
      <w:tr>
        <w:trPr>
          <w:trHeight w:val="200"/>
        </w:trPr>
        <w:tc>
          <w:tcPr>
            <w:tcW w:w="3720" w:type="dxa"/>
            <w:vAlign w:val="bottom"/>
            <w:shd w:val="clear" w:color="auto" w:fill="E0DBEA"/>
          </w:tcPr>
          <w:p>
            <w:pPr>
              <w:ind w:left="60"/>
              <w:spacing w:after="0" w:line="201" w:lineRule="exact"/>
              <w:rPr>
                <w:sz w:val="20"/>
                <w:szCs w:val="20"/>
                <w:color w:val="auto"/>
              </w:rPr>
            </w:pPr>
            <w:r>
              <w:rPr>
                <w:rFonts w:ascii="Arial" w:cs="Arial" w:eastAsia="Arial" w:hAnsi="Arial"/>
                <w:sz w:val="14"/>
                <w:szCs w:val="14"/>
                <w:color w:val="auto"/>
              </w:rPr>
              <w:t>The Vanguard Group</w:t>
            </w:r>
            <w:r>
              <w:rPr>
                <w:rFonts w:ascii="Arial" w:cs="Arial" w:eastAsia="Arial" w:hAnsi="Arial"/>
                <w:sz w:val="18"/>
                <w:szCs w:val="18"/>
                <w:color w:val="auto"/>
                <w:vertAlign w:val="superscript"/>
              </w:rPr>
              <w:t>(3)</w:t>
            </w:r>
          </w:p>
        </w:tc>
        <w:tc>
          <w:tcPr>
            <w:tcW w:w="2580" w:type="dxa"/>
            <w:vAlign w:val="bottom"/>
            <w:shd w:val="clear" w:color="auto" w:fill="E0DBEA"/>
          </w:tcPr>
          <w:p>
            <w:pPr>
              <w:spacing w:after="0"/>
              <w:rPr>
                <w:sz w:val="17"/>
                <w:szCs w:val="17"/>
                <w:color w:val="auto"/>
              </w:rPr>
            </w:pPr>
          </w:p>
        </w:tc>
        <w:tc>
          <w:tcPr>
            <w:tcW w:w="2740" w:type="dxa"/>
            <w:vAlign w:val="bottom"/>
            <w:shd w:val="clear" w:color="auto" w:fill="E0DBEA"/>
          </w:tcPr>
          <w:p>
            <w:pPr>
              <w:spacing w:after="0"/>
              <w:rPr>
                <w:sz w:val="17"/>
                <w:szCs w:val="17"/>
                <w:color w:val="auto"/>
              </w:rPr>
            </w:pPr>
          </w:p>
        </w:tc>
      </w:tr>
      <w:tr>
        <w:trPr>
          <w:trHeight w:val="176"/>
        </w:trPr>
        <w:tc>
          <w:tcPr>
            <w:tcW w:w="3720" w:type="dxa"/>
            <w:vAlign w:val="bottom"/>
            <w:shd w:val="clear" w:color="auto" w:fill="E0DBEA"/>
          </w:tcPr>
          <w:p>
            <w:pPr>
              <w:ind w:left="60"/>
              <w:spacing w:after="0"/>
              <w:rPr>
                <w:sz w:val="20"/>
                <w:szCs w:val="20"/>
                <w:color w:val="auto"/>
              </w:rPr>
            </w:pPr>
            <w:r>
              <w:rPr>
                <w:rFonts w:ascii="Arial" w:cs="Arial" w:eastAsia="Arial" w:hAnsi="Arial"/>
                <w:sz w:val="14"/>
                <w:szCs w:val="14"/>
                <w:color w:val="auto"/>
              </w:rPr>
              <w:t>100 Vanguard Blvd.</w:t>
            </w:r>
          </w:p>
        </w:tc>
        <w:tc>
          <w:tcPr>
            <w:tcW w:w="2580" w:type="dxa"/>
            <w:vAlign w:val="bottom"/>
            <w:shd w:val="clear" w:color="auto" w:fill="E0DBEA"/>
          </w:tcPr>
          <w:p>
            <w:pPr>
              <w:spacing w:after="0"/>
              <w:rPr>
                <w:sz w:val="15"/>
                <w:szCs w:val="15"/>
                <w:color w:val="auto"/>
              </w:rPr>
            </w:pPr>
          </w:p>
        </w:tc>
        <w:tc>
          <w:tcPr>
            <w:tcW w:w="2740" w:type="dxa"/>
            <w:vAlign w:val="bottom"/>
            <w:shd w:val="clear" w:color="auto" w:fill="E0DBEA"/>
          </w:tcPr>
          <w:p>
            <w:pPr>
              <w:spacing w:after="0"/>
              <w:rPr>
                <w:sz w:val="15"/>
                <w:szCs w:val="15"/>
                <w:color w:val="auto"/>
              </w:rPr>
            </w:pPr>
          </w:p>
        </w:tc>
      </w:tr>
      <w:tr>
        <w:trPr>
          <w:trHeight w:val="185"/>
        </w:trPr>
        <w:tc>
          <w:tcPr>
            <w:tcW w:w="372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color w:val="auto"/>
              </w:rPr>
              <w:t>Malvern, PA 19355</w:t>
            </w:r>
          </w:p>
        </w:tc>
        <w:tc>
          <w:tcPr>
            <w:tcW w:w="2580" w:type="dxa"/>
            <w:vAlign w:val="bottom"/>
            <w:tcBorders>
              <w:bottom w:val="single" w:sz="8" w:color="582C83"/>
            </w:tcBorders>
            <w:shd w:val="clear" w:color="auto" w:fill="E0DBEA"/>
          </w:tcPr>
          <w:p>
            <w:pPr>
              <w:jc w:val="right"/>
              <w:ind w:right="48"/>
              <w:spacing w:after="0"/>
              <w:rPr>
                <w:sz w:val="20"/>
                <w:szCs w:val="20"/>
                <w:color w:val="auto"/>
              </w:rPr>
            </w:pPr>
            <w:r>
              <w:rPr>
                <w:rFonts w:ascii="Arial" w:cs="Arial" w:eastAsia="Arial" w:hAnsi="Arial"/>
                <w:sz w:val="14"/>
                <w:szCs w:val="14"/>
                <w:color w:val="auto"/>
              </w:rPr>
              <w:t>133,926,151</w:t>
            </w:r>
          </w:p>
        </w:tc>
        <w:tc>
          <w:tcPr>
            <w:tcW w:w="27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color w:val="auto"/>
              </w:rPr>
              <w:t>10.4%</w:t>
            </w:r>
          </w:p>
        </w:tc>
      </w:tr>
    </w:tbl>
    <w:p>
      <w:pPr>
        <w:spacing w:after="0" w:line="50" w:lineRule="exact"/>
        <w:rPr>
          <w:sz w:val="20"/>
          <w:szCs w:val="20"/>
          <w:color w:val="auto"/>
        </w:rPr>
      </w:pPr>
    </w:p>
    <w:p>
      <w:pPr>
        <w:ind w:left="260" w:right="100" w:hanging="253"/>
        <w:spacing w:after="0" w:line="262" w:lineRule="auto"/>
        <w:tabs>
          <w:tab w:leader="none" w:pos="26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Based on the Schedule 13G/A filed by BlackRock on February 13, 2024, with the SEC. The Schedule 13G/A discloses that as of December 31, 2023, BlackRock, in its capacity as the parent holding company of certain subsidiaries, had sole voting power over 88,017,833 shares, sole dispositive power over 99,059,304 shares and shared voting and dispositive power over 0 shares.</w:t>
      </w:r>
    </w:p>
    <w:p>
      <w:pPr>
        <w:ind w:left="260" w:right="160" w:hanging="253"/>
        <w:spacing w:after="0" w:line="263" w:lineRule="auto"/>
        <w:tabs>
          <w:tab w:leader="none" w:pos="26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Based on the Schedule 13G/A filed by Capital International Investors on February 13, 2026, with the SEC. The Schedule 13G/A discloses that as of December 31, 2025, Capital International Investors, as a division of Capital Research and Management Company, as well as its investment management subsidiaries and affiliates, had sole voting power over 88,311,486 shares, sole dispositive power over 89,057,016 shares and shared voting and dispositive power over zero shares.</w:t>
      </w:r>
    </w:p>
    <w:p>
      <w:pPr>
        <w:spacing w:after="0" w:line="2" w:lineRule="exact"/>
        <w:rPr>
          <w:rFonts w:ascii="Arial" w:cs="Arial" w:eastAsia="Arial" w:hAnsi="Arial"/>
          <w:sz w:val="13"/>
          <w:szCs w:val="13"/>
          <w:color w:val="auto"/>
        </w:rPr>
      </w:pPr>
    </w:p>
    <w:p>
      <w:pPr>
        <w:ind w:left="260" w:right="40" w:hanging="253"/>
        <w:spacing w:after="0" w:line="291" w:lineRule="auto"/>
        <w:tabs>
          <w:tab w:leader="none" w:pos="26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Based on the Schedule 13G/A filed by The Vanguard Group on March 6, 2025, with the SEC. The Schedule 13G/A discloses that as of February 28, 2025, The Vanguard Group, as investment advisor, had sole voting power over zero shares, shared voting power over 1,611,192 shares, sole dispositive power over 127,503,492 shares and shared dispositive power over 6,422,659 shares. The Vanguard Group subsequently reported on a Schedule 13G/A filed on March 27, 2026, that due to an internal realignment it no longer has, or is deemed to have, beneficial ownership over Mondelēz International securities beneficially owned by various subsidiaries and/or business divisions. The Vanguard Group also reported that certain subsidiaries or business divisions that formerly had, or were deemed to have, beneficial ownership with The Vanguard Group will report beneficial ownership separately (on a disaggregated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104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2476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10375" cy="247650"/>
                    </a:xfrm>
                    <a:prstGeom prst="rect">
                      <a:avLst/>
                    </a:prstGeom>
                    <a:noFill/>
                  </pic:spPr>
                </pic:pic>
              </a:graphicData>
            </a:graphic>
          </wp:anchor>
        </w:drawing>
      </w:r>
    </w:p>
    <w:p>
      <w:pPr>
        <w:sectPr>
          <w:pgSz w:w="11900" w:h="16838" w:orient="portrait"/>
          <w:cols w:equalWidth="0" w:num="1">
            <w:col w:w="9040"/>
          </w:cols>
          <w:pgMar w:left="1420" w:top="1440" w:right="1439" w:bottom="511" w:gutter="0" w:footer="0" w:header="0"/>
          <w:type w:val="continuous"/>
        </w:sectPr>
      </w:pPr>
    </w:p>
    <w:bookmarkStart w:id="91" w:name="page92"/>
    <w:bookmarkEnd w:id="91"/>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6086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10375" cy="8608695"/>
                    </a:xfrm>
                    <a:prstGeom prst="rect">
                      <a:avLst/>
                    </a:prstGeom>
                    <a:noFill/>
                  </pic:spPr>
                </pic:pic>
              </a:graphicData>
            </a:graphic>
          </wp:anchor>
        </w:drawing>
      </w:r>
    </w:p>
    <w:p>
      <w:pPr>
        <w:ind w:right="600"/>
        <w:spacing w:after="0" w:line="310" w:lineRule="auto"/>
        <w:rPr>
          <w:sz w:val="20"/>
          <w:szCs w:val="20"/>
          <w:color w:val="auto"/>
        </w:rPr>
      </w:pPr>
      <w:r>
        <w:rPr>
          <w:rFonts w:ascii="Arial" w:cs="Arial" w:eastAsia="Arial" w:hAnsi="Arial"/>
          <w:sz w:val="44"/>
          <w:szCs w:val="44"/>
          <w:b w:val="1"/>
          <w:bCs w:val="1"/>
          <w:color w:val="582C83"/>
        </w:rPr>
        <w:t>ITEM 2. ADVISORY VOTE TO APPROVE EXECUTIVE COMPENSATION</w:t>
      </w:r>
    </w:p>
    <w:p>
      <w:pPr>
        <w:spacing w:after="0" w:line="200" w:lineRule="exact"/>
        <w:rPr>
          <w:sz w:val="20"/>
          <w:szCs w:val="20"/>
          <w:color w:val="auto"/>
        </w:rPr>
      </w:pPr>
    </w:p>
    <w:p>
      <w:pPr>
        <w:spacing w:after="0" w:line="382" w:lineRule="exact"/>
        <w:rPr>
          <w:sz w:val="20"/>
          <w:szCs w:val="20"/>
          <w:color w:val="auto"/>
        </w:rPr>
      </w:pPr>
    </w:p>
    <w:p>
      <w:pPr>
        <w:ind w:right="60"/>
        <w:spacing w:after="0" w:line="224" w:lineRule="exact"/>
        <w:rPr>
          <w:sz w:val="20"/>
          <w:szCs w:val="20"/>
          <w:color w:val="auto"/>
        </w:rPr>
      </w:pPr>
      <w:r>
        <w:rPr>
          <w:rFonts w:ascii="Arial" w:cs="Arial" w:eastAsia="Arial" w:hAnsi="Arial"/>
          <w:sz w:val="17"/>
          <w:szCs w:val="17"/>
          <w:color w:val="auto"/>
        </w:rPr>
        <w:t>Our executives – including our NEOs – are critical to our success, and we design our executive compensation programs to attract, retain, and motivate superior executive talent. At the same time, we expect our executives to deliver strong results, and we structure our executive compensation practices to focus on shareholders’ interests by incenting superior sustainable long</w:t>
      </w:r>
      <w:r>
        <w:rPr>
          <w:rFonts w:ascii="MS PGothic" w:cs="MS PGothic" w:eastAsia="MS PGothic" w:hAnsi="MS PGothic"/>
          <w:sz w:val="17"/>
          <w:szCs w:val="17"/>
          <w:color w:val="auto"/>
        </w:rPr>
        <w:t>‑</w:t>
      </w:r>
      <w:r>
        <w:rPr>
          <w:rFonts w:ascii="Arial" w:cs="Arial" w:eastAsia="Arial" w:hAnsi="Arial"/>
          <w:sz w:val="17"/>
          <w:szCs w:val="17"/>
          <w:color w:val="auto"/>
        </w:rPr>
        <w:t>term performance. In so doing, we align pay and performance by making a significant portion of our NEOs’ compensation contingent on reaching specific annual and long</w:t>
      </w:r>
      <w:r>
        <w:rPr>
          <w:rFonts w:ascii="MS PGothic" w:cs="MS PGothic" w:eastAsia="MS PGothic" w:hAnsi="MS PGothic"/>
          <w:sz w:val="17"/>
          <w:szCs w:val="17"/>
          <w:color w:val="auto"/>
        </w:rPr>
        <w:t>‑</w:t>
      </w:r>
      <w:r>
        <w:rPr>
          <w:rFonts w:ascii="Arial" w:cs="Arial" w:eastAsia="Arial" w:hAnsi="Arial"/>
          <w:sz w:val="17"/>
          <w:szCs w:val="17"/>
          <w:color w:val="auto"/>
        </w:rPr>
        <w:t>term performance goals and increasing shareholder value.</w:t>
      </w:r>
    </w:p>
    <w:p>
      <w:pPr>
        <w:spacing w:after="0" w:line="63" w:lineRule="exact"/>
        <w:rPr>
          <w:sz w:val="20"/>
          <w:szCs w:val="20"/>
          <w:color w:val="auto"/>
        </w:rPr>
      </w:pPr>
    </w:p>
    <w:p>
      <w:pPr>
        <w:ind w:right="60"/>
        <w:spacing w:after="0" w:line="231" w:lineRule="exact"/>
        <w:rPr>
          <w:sz w:val="20"/>
          <w:szCs w:val="20"/>
          <w:color w:val="auto"/>
        </w:rPr>
      </w:pPr>
      <w:r>
        <w:rPr>
          <w:rFonts w:ascii="Arial" w:cs="Arial" w:eastAsia="Arial" w:hAnsi="Arial"/>
          <w:sz w:val="17"/>
          <w:szCs w:val="17"/>
          <w:color w:val="auto"/>
        </w:rPr>
        <w:t>We have strong compensation</w:t>
      </w:r>
      <w:r>
        <w:rPr>
          <w:rFonts w:ascii="MS PGothic" w:cs="MS PGothic" w:eastAsia="MS PGothic" w:hAnsi="MS PGothic"/>
          <w:sz w:val="17"/>
          <w:szCs w:val="17"/>
          <w:color w:val="auto"/>
        </w:rPr>
        <w:t>‑</w:t>
      </w:r>
      <w:r>
        <w:rPr>
          <w:rFonts w:ascii="Arial" w:cs="Arial" w:eastAsia="Arial" w:hAnsi="Arial"/>
          <w:sz w:val="17"/>
          <w:szCs w:val="17"/>
          <w:color w:val="auto"/>
        </w:rPr>
        <w:t>related design and governance practices to protect our shareholders’ interests. Our independent PCC regularly assesses our executive compensation program to hold executives accountable for attaining performance targets and driving shareholder value. We encourage you to read the “Compensation Discussion and Analysis” beginning on page 63 and the “Executive Compensation Tables” beginning on page 85 to learn more about our executive compensation program and how our 2025 pay aligned with 2025 performance.</w:t>
      </w:r>
    </w:p>
    <w:p>
      <w:pPr>
        <w:spacing w:after="0" w:line="100" w:lineRule="exact"/>
        <w:rPr>
          <w:sz w:val="20"/>
          <w:szCs w:val="20"/>
          <w:color w:val="auto"/>
        </w:rPr>
      </w:pPr>
    </w:p>
    <w:p>
      <w:pPr>
        <w:ind w:right="80"/>
        <w:spacing w:after="0" w:line="225" w:lineRule="exact"/>
        <w:rPr>
          <w:sz w:val="20"/>
          <w:szCs w:val="20"/>
          <w:color w:val="auto"/>
        </w:rPr>
      </w:pPr>
      <w:r>
        <w:rPr>
          <w:rFonts w:ascii="Arial" w:cs="Arial" w:eastAsia="Arial" w:hAnsi="Arial"/>
          <w:sz w:val="17"/>
          <w:szCs w:val="17"/>
          <w:color w:val="auto"/>
        </w:rPr>
        <w:t>The PCC and the Board believe that our executive compensation program serves our shareholders’ interests by linking pay with performance, and we will continue to refine our compensation program to align compensation with the Company’s business and talent strategies as well as the long</w:t>
      </w:r>
      <w:r>
        <w:rPr>
          <w:rFonts w:ascii="MS PGothic" w:cs="MS PGothic" w:eastAsia="MS PGothic" w:hAnsi="MS PGothic"/>
          <w:sz w:val="17"/>
          <w:szCs w:val="17"/>
          <w:color w:val="auto"/>
        </w:rPr>
        <w:t>‑</w:t>
      </w:r>
      <w:r>
        <w:rPr>
          <w:rFonts w:ascii="Arial" w:cs="Arial" w:eastAsia="Arial" w:hAnsi="Arial"/>
          <w:sz w:val="17"/>
          <w:szCs w:val="17"/>
          <w:color w:val="auto"/>
        </w:rPr>
        <w:t>term interests of shareholders. Accordingly, and as required by Section 14A of the Exchange Act, we ask you to vote “FOR” the following resolution at the Annual Meeting:</w:t>
      </w:r>
    </w:p>
    <w:p>
      <w:pPr>
        <w:spacing w:after="0" w:line="100" w:lineRule="exact"/>
        <w:rPr>
          <w:sz w:val="20"/>
          <w:szCs w:val="20"/>
          <w:color w:val="auto"/>
        </w:rPr>
      </w:pPr>
    </w:p>
    <w:p>
      <w:pPr>
        <w:ind w:left="520" w:right="760"/>
        <w:spacing w:after="0" w:line="288" w:lineRule="auto"/>
        <w:rPr>
          <w:sz w:val="20"/>
          <w:szCs w:val="20"/>
          <w:color w:val="auto"/>
        </w:rPr>
      </w:pPr>
      <w:r>
        <w:rPr>
          <w:rFonts w:ascii="Arial" w:cs="Arial" w:eastAsia="Arial" w:hAnsi="Arial"/>
          <w:sz w:val="17"/>
          <w:szCs w:val="17"/>
          <w:color w:val="auto"/>
        </w:rPr>
        <w:t>“RESOLVED, that Mondelēz International’s shareholders approve, on an advisory basis, the compensation paid to Mondelēz International’s NEOs, as disclosed in this Proxy Statement pursuant to the SEC’s compensation disclosure rules, including the Compensation Discussion and Analysis, the Executive Compensation Tables, and related narrative discussion.”</w:t>
      </w:r>
    </w:p>
    <w:p>
      <w:pPr>
        <w:spacing w:after="0" w:line="23" w:lineRule="exact"/>
        <w:rPr>
          <w:sz w:val="20"/>
          <w:szCs w:val="20"/>
          <w:color w:val="auto"/>
        </w:rPr>
      </w:pPr>
    </w:p>
    <w:p>
      <w:pPr>
        <w:spacing w:after="0" w:line="231" w:lineRule="exact"/>
        <w:rPr>
          <w:sz w:val="20"/>
          <w:szCs w:val="20"/>
          <w:color w:val="auto"/>
        </w:rPr>
      </w:pPr>
      <w:r>
        <w:rPr>
          <w:rFonts w:ascii="Arial" w:cs="Arial" w:eastAsia="Arial" w:hAnsi="Arial"/>
          <w:sz w:val="17"/>
          <w:szCs w:val="17"/>
          <w:color w:val="auto"/>
        </w:rPr>
        <w:t>While the annual say</w:t>
      </w:r>
      <w:r>
        <w:rPr>
          <w:rFonts w:ascii="MS PGothic" w:cs="MS PGothic" w:eastAsia="MS PGothic" w:hAnsi="MS PGothic"/>
          <w:sz w:val="17"/>
          <w:szCs w:val="17"/>
          <w:color w:val="auto"/>
        </w:rPr>
        <w:t>‑</w:t>
      </w:r>
      <w:r>
        <w:rPr>
          <w:rFonts w:ascii="Arial" w:cs="Arial" w:eastAsia="Arial" w:hAnsi="Arial"/>
          <w:sz w:val="17"/>
          <w:szCs w:val="17"/>
          <w:color w:val="auto"/>
        </w:rPr>
        <w:t>on</w:t>
      </w:r>
      <w:r>
        <w:rPr>
          <w:rFonts w:ascii="MS PGothic" w:cs="MS PGothic" w:eastAsia="MS PGothic" w:hAnsi="MS PGothic"/>
          <w:sz w:val="17"/>
          <w:szCs w:val="17"/>
          <w:color w:val="auto"/>
        </w:rPr>
        <w:t>‑</w:t>
      </w:r>
      <w:r>
        <w:rPr>
          <w:rFonts w:ascii="Arial" w:cs="Arial" w:eastAsia="Arial" w:hAnsi="Arial"/>
          <w:sz w:val="17"/>
          <w:szCs w:val="17"/>
          <w:color w:val="auto"/>
        </w:rPr>
        <w:t>pay vote is advisory and therefore not binding on Mondelēz International, the PCC, or the Board, we value the opinions of our shareholders. We carefully and thoughtfully consider our shareholders’ concerns and opinions in evaluating our executive compensation program. We believe the compensation paid to our NEOs for 2025 appropriately reflects and rewards their contribution to our performance. The next advisory say</w:t>
      </w:r>
      <w:r>
        <w:rPr>
          <w:rFonts w:ascii="MS PGothic" w:cs="MS PGothic" w:eastAsia="MS PGothic" w:hAnsi="MS PGothic"/>
          <w:sz w:val="17"/>
          <w:szCs w:val="17"/>
          <w:color w:val="auto"/>
        </w:rPr>
        <w:t>‑</w:t>
      </w:r>
      <w:r>
        <w:rPr>
          <w:rFonts w:ascii="Arial" w:cs="Arial" w:eastAsia="Arial" w:hAnsi="Arial"/>
          <w:sz w:val="17"/>
          <w:szCs w:val="17"/>
          <w:color w:val="auto"/>
        </w:rPr>
        <w:t>on</w:t>
      </w:r>
      <w:r>
        <w:rPr>
          <w:rFonts w:ascii="MS PGothic" w:cs="MS PGothic" w:eastAsia="MS PGothic" w:hAnsi="MS PGothic"/>
          <w:sz w:val="17"/>
          <w:szCs w:val="17"/>
          <w:color w:val="auto"/>
        </w:rPr>
        <w:t>‑</w:t>
      </w:r>
      <w:r>
        <w:rPr>
          <w:rFonts w:ascii="Arial" w:cs="Arial" w:eastAsia="Arial" w:hAnsi="Arial"/>
          <w:sz w:val="17"/>
          <w:szCs w:val="17"/>
          <w:color w:val="auto"/>
        </w:rPr>
        <w:t>pay vote will be held at our 2027 Annual Meeting of Shareholders.</w:t>
      </w:r>
    </w:p>
    <w:p>
      <w:pPr>
        <w:spacing w:after="0" w:line="293" w:lineRule="exact"/>
        <w:rPr>
          <w:sz w:val="20"/>
          <w:szCs w:val="20"/>
          <w:color w:val="auto"/>
        </w:rPr>
      </w:pPr>
    </w:p>
    <w:p>
      <w:pPr>
        <w:ind w:left="920" w:right="2340"/>
        <w:spacing w:after="0" w:line="312" w:lineRule="auto"/>
        <w:rPr>
          <w:sz w:val="20"/>
          <w:szCs w:val="20"/>
          <w:color w:val="auto"/>
        </w:rPr>
      </w:pPr>
      <w:r>
        <w:rPr>
          <w:rFonts w:ascii="Arial" w:cs="Arial" w:eastAsia="Arial" w:hAnsi="Arial"/>
          <w:sz w:val="18"/>
          <w:szCs w:val="18"/>
          <w:b w:val="1"/>
          <w:bCs w:val="1"/>
          <w:color w:val="FFFFFF"/>
        </w:rPr>
        <w:t>THE BOARD RECOMMENDS A VOTE FOR THE APPROVAL OF OUR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582C83"/>
        </w:rPr>
        <w:t>2026 PROXY STATEMENT |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18249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10375" cy="182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760"/>
        <w:spacing w:after="0" w:line="268" w:lineRule="auto"/>
        <w:rPr>
          <w:sz w:val="20"/>
          <w:szCs w:val="20"/>
          <w:color w:val="auto"/>
        </w:rPr>
      </w:pPr>
      <w:r>
        <w:rPr>
          <w:rFonts w:ascii="Arial" w:cs="Arial" w:eastAsia="Arial" w:hAnsi="Arial"/>
          <w:sz w:val="44"/>
          <w:szCs w:val="44"/>
          <w:b w:val="1"/>
          <w:bCs w:val="1"/>
          <w:color w:val="582C83"/>
        </w:rPr>
        <w:t>ITEM 3. RATIFICATION OF THE SELECTION OF INDEPENDENT REGISTERED PUBLIC ACCOUNTANTS FOR FISCAL YEAR 2026</w:t>
      </w:r>
    </w:p>
    <w:p>
      <w:pPr>
        <w:sectPr>
          <w:pgSz w:w="11900" w:h="17037" w:orient="portrait"/>
          <w:cols w:equalWidth="0" w:num="1">
            <w:col w:w="9060"/>
          </w:cols>
          <w:pgMar w:left="1420" w:top="483" w:right="1419" w:bottom="0" w:gutter="0" w:footer="0" w:header="0"/>
        </w:sectPr>
      </w:pPr>
    </w:p>
    <w:bookmarkStart w:id="92" w:name="page93"/>
    <w:bookmarkEnd w:id="92"/>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0313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10375" cy="7031355"/>
                    </a:xfrm>
                    <a:prstGeom prst="rect">
                      <a:avLst/>
                    </a:prstGeom>
                    <a:noFill/>
                  </pic:spPr>
                </pic:pic>
              </a:graphicData>
            </a:graphic>
          </wp:anchor>
        </w:drawing>
      </w:r>
    </w:p>
    <w:p>
      <w:pPr>
        <w:ind w:right="160"/>
        <w:spacing w:after="0" w:line="291" w:lineRule="auto"/>
        <w:rPr>
          <w:sz w:val="20"/>
          <w:szCs w:val="20"/>
          <w:color w:val="auto"/>
        </w:rPr>
      </w:pPr>
      <w:r>
        <w:rPr>
          <w:rFonts w:ascii="Arial" w:cs="Arial" w:eastAsia="Arial" w:hAnsi="Arial"/>
          <w:sz w:val="17"/>
          <w:szCs w:val="17"/>
          <w:color w:val="auto"/>
        </w:rPr>
        <w:t>The Audit Committee is directly responsible for the selection, appointment, compensation, retention, oversight, and termination of the independent registered public accountants. PricewaterhouseCoopers LLP has been the Company’s independent registered public accountants since 2001.</w:t>
      </w:r>
    </w:p>
    <w:p>
      <w:pPr>
        <w:spacing w:after="0" w:line="290" w:lineRule="exact"/>
        <w:rPr>
          <w:sz w:val="20"/>
          <w:szCs w:val="20"/>
          <w:color w:val="auto"/>
        </w:rPr>
      </w:pPr>
    </w:p>
    <w:p>
      <w:pPr>
        <w:ind w:left="440" w:right="1740" w:hanging="363"/>
        <w:spacing w:after="0"/>
        <w:rPr>
          <w:sz w:val="20"/>
          <w:szCs w:val="20"/>
          <w:color w:val="auto"/>
        </w:rPr>
      </w:pPr>
      <w:r>
        <w:rPr>
          <w:sz w:val="1"/>
          <w:szCs w:val="1"/>
          <w:color w:val="auto"/>
        </w:rPr>
        <w:drawing>
          <wp:inline distT="0" distB="0" distL="0" distR="0">
            <wp:extent cx="162560" cy="163195"/>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REVIEW OF INDEPENDENT REGISTERED PUBLIC ACCOUNTANTS</w:t>
      </w:r>
    </w:p>
    <w:p>
      <w:pPr>
        <w:spacing w:after="0" w:line="128"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color w:val="auto"/>
        </w:rPr>
        <w:t>The Audit Committee annually reviews the performance of the independent registered public accountants and considers whether to reappoint the firm for the following year or appoint a different firm. In determining which firm to appoint as the Company’s independent registered public accountants for 2026, the Audit Committee considered numerous factors, including:</w:t>
      </w:r>
    </w:p>
    <w:p>
      <w:pPr>
        <w:spacing w:after="0" w:line="80" w:lineRule="exact"/>
        <w:rPr>
          <w:sz w:val="20"/>
          <w:szCs w:val="20"/>
          <w:color w:val="auto"/>
        </w:rPr>
      </w:pPr>
    </w:p>
    <w:p>
      <w:pPr>
        <w:ind w:left="140" w:hanging="133"/>
        <w:spacing w:after="0"/>
        <w:tabs>
          <w:tab w:leader="none" w:pos="140" w:val="left"/>
        </w:tabs>
        <w:numPr>
          <w:ilvl w:val="0"/>
          <w:numId w:val="121"/>
        </w:numPr>
        <w:rPr>
          <w:rFonts w:ascii="Arial" w:cs="Arial" w:eastAsia="Arial" w:hAnsi="Arial"/>
          <w:sz w:val="17"/>
          <w:szCs w:val="17"/>
          <w:color w:val="582C83"/>
        </w:rPr>
      </w:pPr>
      <w:r>
        <w:rPr>
          <w:rFonts w:ascii="Arial" w:cs="Arial" w:eastAsia="Arial" w:hAnsi="Arial"/>
          <w:sz w:val="17"/>
          <w:szCs w:val="17"/>
          <w:color w:val="auto"/>
        </w:rPr>
        <w:t>firm capabilities, approach, and fees;</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121"/>
        </w:numPr>
        <w:rPr>
          <w:rFonts w:ascii="Arial" w:cs="Arial" w:eastAsia="Arial" w:hAnsi="Arial"/>
          <w:sz w:val="17"/>
          <w:szCs w:val="17"/>
          <w:color w:val="582C83"/>
        </w:rPr>
      </w:pPr>
      <w:r>
        <w:rPr>
          <w:rFonts w:ascii="Arial" w:cs="Arial" w:eastAsia="Arial" w:hAnsi="Arial"/>
          <w:sz w:val="17"/>
          <w:szCs w:val="17"/>
          <w:color w:val="auto"/>
        </w:rPr>
        <w:t>firm tenure as our independent registered public accountants;</w:t>
      </w:r>
    </w:p>
    <w:p>
      <w:pPr>
        <w:spacing w:after="0" w:line="61" w:lineRule="exact"/>
        <w:rPr>
          <w:rFonts w:ascii="Arial" w:cs="Arial" w:eastAsia="Arial" w:hAnsi="Arial"/>
          <w:sz w:val="17"/>
          <w:szCs w:val="17"/>
          <w:color w:val="582C83"/>
        </w:rPr>
      </w:pPr>
    </w:p>
    <w:p>
      <w:pPr>
        <w:ind w:left="140" w:right="860" w:hanging="133"/>
        <w:spacing w:after="0" w:line="290" w:lineRule="auto"/>
        <w:tabs>
          <w:tab w:leader="none" w:pos="140" w:val="left"/>
        </w:tabs>
        <w:numPr>
          <w:ilvl w:val="0"/>
          <w:numId w:val="121"/>
        </w:numPr>
        <w:rPr>
          <w:rFonts w:ascii="Arial" w:cs="Arial" w:eastAsia="Arial" w:hAnsi="Arial"/>
          <w:sz w:val="17"/>
          <w:szCs w:val="17"/>
          <w:color w:val="582C83"/>
        </w:rPr>
      </w:pPr>
      <w:r>
        <w:rPr>
          <w:rFonts w:ascii="Arial" w:cs="Arial" w:eastAsia="Arial" w:hAnsi="Arial"/>
          <w:sz w:val="17"/>
          <w:szCs w:val="17"/>
          <w:color w:val="auto"/>
        </w:rPr>
        <w:t>the quality of the work that PricewaterhouseCoopers LLP has performed for Mondelēz International and its communications with the Audit Committee and management;</w:t>
      </w:r>
    </w:p>
    <w:p>
      <w:pPr>
        <w:ind w:left="140" w:hanging="133"/>
        <w:spacing w:after="0"/>
        <w:tabs>
          <w:tab w:leader="none" w:pos="140" w:val="left"/>
        </w:tabs>
        <w:numPr>
          <w:ilvl w:val="0"/>
          <w:numId w:val="121"/>
        </w:numPr>
        <w:rPr>
          <w:rFonts w:ascii="Arial" w:cs="Arial" w:eastAsia="Arial" w:hAnsi="Arial"/>
          <w:sz w:val="17"/>
          <w:szCs w:val="17"/>
          <w:color w:val="582C83"/>
        </w:rPr>
      </w:pPr>
      <w:r>
        <w:rPr>
          <w:rFonts w:ascii="Arial" w:cs="Arial" w:eastAsia="Arial" w:hAnsi="Arial"/>
          <w:sz w:val="17"/>
          <w:szCs w:val="17"/>
          <w:color w:val="auto"/>
        </w:rPr>
        <w:t>PricewaterhouseCoopers LLP’s qualifications and experience auditing companies of comparable size and complexity;</w:t>
      </w:r>
    </w:p>
    <w:p>
      <w:pPr>
        <w:spacing w:after="0" w:line="74" w:lineRule="exact"/>
        <w:rPr>
          <w:rFonts w:ascii="Arial" w:cs="Arial" w:eastAsia="Arial" w:hAnsi="Arial"/>
          <w:sz w:val="17"/>
          <w:szCs w:val="17"/>
          <w:color w:val="582C83"/>
        </w:rPr>
      </w:pPr>
    </w:p>
    <w:p>
      <w:pPr>
        <w:ind w:left="140" w:right="40" w:hanging="133"/>
        <w:spacing w:after="0" w:line="290" w:lineRule="auto"/>
        <w:tabs>
          <w:tab w:leader="none" w:pos="140" w:val="left"/>
        </w:tabs>
        <w:numPr>
          <w:ilvl w:val="0"/>
          <w:numId w:val="121"/>
        </w:numPr>
        <w:rPr>
          <w:rFonts w:ascii="Arial" w:cs="Arial" w:eastAsia="Arial" w:hAnsi="Arial"/>
          <w:sz w:val="17"/>
          <w:szCs w:val="17"/>
          <w:color w:val="582C83"/>
        </w:rPr>
      </w:pPr>
      <w:r>
        <w:rPr>
          <w:rFonts w:ascii="Arial" w:cs="Arial" w:eastAsia="Arial" w:hAnsi="Arial"/>
          <w:sz w:val="17"/>
          <w:szCs w:val="17"/>
          <w:color w:val="auto"/>
        </w:rPr>
        <w:t>PricewaterhouseCoopers LLP’s familiarity with our global business and operations, accounting policies and practices, and internal control over financial reporting;</w:t>
      </w:r>
    </w:p>
    <w:p>
      <w:pPr>
        <w:ind w:left="140" w:right="240" w:hanging="133"/>
        <w:spacing w:after="0" w:line="287" w:lineRule="auto"/>
        <w:tabs>
          <w:tab w:leader="none" w:pos="140" w:val="left"/>
        </w:tabs>
        <w:numPr>
          <w:ilvl w:val="0"/>
          <w:numId w:val="121"/>
        </w:numPr>
        <w:rPr>
          <w:rFonts w:ascii="Arial" w:cs="Arial" w:eastAsia="Arial" w:hAnsi="Arial"/>
          <w:sz w:val="17"/>
          <w:szCs w:val="17"/>
          <w:color w:val="582C83"/>
        </w:rPr>
      </w:pPr>
      <w:r>
        <w:rPr>
          <w:rFonts w:ascii="Arial" w:cs="Arial" w:eastAsia="Arial" w:hAnsi="Arial"/>
          <w:sz w:val="17"/>
          <w:szCs w:val="17"/>
          <w:color w:val="auto"/>
        </w:rPr>
        <w:t>the potential impacts to Mondelēz International from selecting a different independent registered public accountant, including the significant time commitment and potential distraction of resources related to changing independent registered public accountants;</w:t>
      </w:r>
    </w:p>
    <w:p>
      <w:pPr>
        <w:ind w:left="140" w:hanging="133"/>
        <w:spacing w:after="0"/>
        <w:tabs>
          <w:tab w:leader="none" w:pos="140" w:val="left"/>
        </w:tabs>
        <w:numPr>
          <w:ilvl w:val="0"/>
          <w:numId w:val="121"/>
        </w:numPr>
        <w:rPr>
          <w:rFonts w:ascii="Arial" w:cs="Arial" w:eastAsia="Arial" w:hAnsi="Arial"/>
          <w:sz w:val="17"/>
          <w:szCs w:val="17"/>
          <w:color w:val="582C83"/>
        </w:rPr>
      </w:pPr>
      <w:r>
        <w:rPr>
          <w:rFonts w:ascii="Arial" w:cs="Arial" w:eastAsia="Arial" w:hAnsi="Arial"/>
          <w:sz w:val="17"/>
          <w:szCs w:val="17"/>
          <w:color w:val="auto"/>
        </w:rPr>
        <w:t>external data on audit quality and performance; and</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121"/>
        </w:numPr>
        <w:rPr>
          <w:rFonts w:ascii="Arial" w:cs="Arial" w:eastAsia="Arial" w:hAnsi="Arial"/>
          <w:sz w:val="17"/>
          <w:szCs w:val="17"/>
          <w:color w:val="582C83"/>
        </w:rPr>
      </w:pPr>
      <w:r>
        <w:rPr>
          <w:rFonts w:ascii="Arial" w:cs="Arial" w:eastAsia="Arial" w:hAnsi="Arial"/>
          <w:sz w:val="17"/>
          <w:szCs w:val="17"/>
          <w:color w:val="auto"/>
        </w:rPr>
        <w:t>firm independence.</w:t>
      </w:r>
    </w:p>
    <w:p>
      <w:pPr>
        <w:spacing w:after="0" w:line="142" w:lineRule="exact"/>
        <w:rPr>
          <w:sz w:val="20"/>
          <w:szCs w:val="20"/>
          <w:color w:val="auto"/>
        </w:rPr>
      </w:pPr>
    </w:p>
    <w:p>
      <w:pPr>
        <w:ind w:right="80"/>
        <w:spacing w:after="0" w:line="223" w:lineRule="exact"/>
        <w:rPr>
          <w:sz w:val="20"/>
          <w:szCs w:val="20"/>
          <w:color w:val="auto"/>
        </w:rPr>
      </w:pPr>
      <w:r>
        <w:rPr>
          <w:rFonts w:ascii="Arial" w:cs="Arial" w:eastAsia="Arial" w:hAnsi="Arial"/>
          <w:sz w:val="17"/>
          <w:szCs w:val="17"/>
          <w:color w:val="auto"/>
        </w:rPr>
        <w:t>In assessing the independence of the Company’s independent registered public accountants, the Audit Committee considered factors including the nature and amount of non</w:t>
      </w:r>
      <w:r>
        <w:rPr>
          <w:rFonts w:ascii="MS PGothic" w:cs="MS PGothic" w:eastAsia="MS PGothic" w:hAnsi="MS PGothic"/>
          <w:sz w:val="17"/>
          <w:szCs w:val="17"/>
          <w:color w:val="auto"/>
        </w:rPr>
        <w:t>‑</w:t>
      </w:r>
      <w:r>
        <w:rPr>
          <w:rFonts w:ascii="Arial" w:cs="Arial" w:eastAsia="Arial" w:hAnsi="Arial"/>
          <w:sz w:val="17"/>
          <w:szCs w:val="17"/>
          <w:color w:val="auto"/>
        </w:rPr>
        <w:t>audit fees and services that the firm provides to Mondelēz International. We believe the Audit Committee’s periodic consideration of whether there should be a change in our independent registered public accounting firm supports auditor independence. In conjunction with the required rotation of the auditing firm’s lead engagement partner at least every five years, the Audit Committee and its Chair are involved in the selection of the independent registered public accountants’ lead engagement partner through a process that includes candidate interviews.</w:t>
      </w:r>
    </w:p>
    <w:p>
      <w:pPr>
        <w:spacing w:after="0" w:line="10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Audit Committee discusses with the independent registered public accountants the scope of and plans for the audit and is also responsible for the audit fees associated with the retention of the independent registered public accountants. As part of determining what firm to appoint, the Audit Committee discussed audit fees and the audit process with PricewaterhouseCoopers LLP, including how to continue to increase efficiencies in the audit, leverage the benefits of PricewaterhouseCoopers LLP’s familiarity with Mondelēz International, and utilize PricewaterhouseCoopers LLP’s technological transformation and innovations.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106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34023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10375" cy="340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left="220" w:right="40"/>
        <w:spacing w:after="0" w:line="259" w:lineRule="auto"/>
        <w:rPr>
          <w:sz w:val="20"/>
          <w:szCs w:val="20"/>
          <w:color w:val="auto"/>
        </w:rPr>
      </w:pPr>
      <w:r>
        <w:rPr>
          <w:rFonts w:ascii="Arial" w:cs="Arial" w:eastAsia="Arial" w:hAnsi="Arial"/>
          <w:sz w:val="22"/>
          <w:szCs w:val="22"/>
          <w:b w:val="1"/>
          <w:bCs w:val="1"/>
          <w:color w:val="auto"/>
        </w:rPr>
        <w:t>ITEM 3. RATIFICATION OF THE SELECTION OF INDEPENDENT REGISTERED PUBLIC ACCOUNTANTS FOR FISCAL YEAR 2026</w:t>
      </w:r>
    </w:p>
    <w:p>
      <w:pPr>
        <w:ind w:left="5420"/>
        <w:spacing w:after="0"/>
        <w:rPr>
          <w:sz w:val="20"/>
          <w:szCs w:val="20"/>
          <w:color w:val="auto"/>
        </w:rPr>
      </w:pPr>
      <w:r>
        <w:rPr>
          <w:rFonts w:ascii="Arial" w:cs="Arial" w:eastAsia="Arial" w:hAnsi="Arial"/>
          <w:sz w:val="14"/>
          <w:szCs w:val="14"/>
          <w:color w:val="auto"/>
        </w:rPr>
        <w:t>Selection of Independent Registered Public Accountants</w:t>
      </w:r>
    </w:p>
    <w:p>
      <w:pPr>
        <w:spacing w:after="0" w:line="205" w:lineRule="exact"/>
        <w:rPr>
          <w:sz w:val="20"/>
          <w:szCs w:val="20"/>
          <w:color w:val="auto"/>
        </w:rPr>
      </w:pPr>
    </w:p>
    <w:p>
      <w:pPr>
        <w:ind w:left="440" w:right="1240" w:hanging="363"/>
        <w:spacing w:after="0"/>
        <w:rPr>
          <w:sz w:val="20"/>
          <w:szCs w:val="20"/>
          <w:color w:val="auto"/>
        </w:rPr>
      </w:pPr>
      <w:r>
        <w:rPr>
          <w:sz w:val="1"/>
          <w:szCs w:val="1"/>
          <w:color w:val="auto"/>
        </w:rPr>
        <w:drawing>
          <wp:inline distT="0" distB="0" distL="0" distR="0">
            <wp:extent cx="162560" cy="16256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9"/>
          <w:szCs w:val="29"/>
          <w:b w:val="1"/>
          <w:bCs w:val="1"/>
          <w:color w:val="auto"/>
        </w:rPr>
        <w:t xml:space="preserve"> SELECTION OF INDEPENDENT REGISTERED PUBLIC ACCOUNTANTS</w:t>
      </w:r>
    </w:p>
    <w:p>
      <w:pPr>
        <w:spacing w:after="0" w:line="128" w:lineRule="exact"/>
        <w:rPr>
          <w:sz w:val="20"/>
          <w:szCs w:val="20"/>
          <w:color w:val="auto"/>
        </w:rPr>
      </w:pPr>
    </w:p>
    <w:p>
      <w:pPr>
        <w:ind w:right="280"/>
        <w:spacing w:after="0" w:line="282" w:lineRule="auto"/>
        <w:rPr>
          <w:sz w:val="20"/>
          <w:szCs w:val="20"/>
          <w:color w:val="auto"/>
        </w:rPr>
      </w:pPr>
      <w:r>
        <w:rPr>
          <w:rFonts w:ascii="Arial" w:cs="Arial" w:eastAsia="Arial" w:hAnsi="Arial"/>
          <w:sz w:val="17"/>
          <w:szCs w:val="17"/>
          <w:color w:val="auto"/>
        </w:rPr>
        <w:t>Following its review and consideration of the potential benefits and costs of choosing a different auditor, the Audit Committee selected PricewaterhouseCoopers LLP as the Company’s independent registered public accountants for 2026. The Audit Committee and the Board believe the continued retention of PricewaterhouseCoopers LLP as the independent external auditor is in our and our shareholders’ best interests. The Board is requesting, as a matter of good corporate governance, that the shareholders ratify this selection.</w:t>
      </w:r>
    </w:p>
    <w:p>
      <w:pPr>
        <w:spacing w:after="0" w:line="6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Audit Committee and the Board are not required to take any action as a result of the outcome of the vote on this proposal. However, if our shareholders do not ratify the selection, the Audit Committee may investigate the reasons for our shareholders’ rejection and may consider whether to retain PricewaterhouseCoopers LLP or appoint another independent registered public accountant. Even if the selection is ratified, the Audit Committee may appoint a different independent registered public accountant if, in its discretion, it determines that such a change would be in Mondelēz International’s and our shareholders’ best interests.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We expect that a representative of PricewaterhouseCoopers LLP will be present at the Annual Meeting and will have an</w:t>
      </w:r>
    </w:p>
    <w:p>
      <w:pPr>
        <w:sectPr>
          <w:pgSz w:w="11900" w:h="16902" w:orient="portrait"/>
          <w:cols w:equalWidth="0" w:num="1">
            <w:col w:w="9040"/>
          </w:cols>
          <w:pgMar w:left="1420" w:top="941" w:right="1439" w:bottom="0" w:gutter="0" w:footer="0" w:header="0"/>
        </w:sectPr>
      </w:pPr>
    </w:p>
    <w:bookmarkStart w:id="93" w:name="page94"/>
    <w:bookmarkEnd w:id="9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4540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10375" cy="5454015"/>
                    </a:xfrm>
                    <a:prstGeom prst="rect">
                      <a:avLst/>
                    </a:prstGeom>
                    <a:noFill/>
                  </pic:spPr>
                </pic:pic>
              </a:graphicData>
            </a:graphic>
          </wp:anchor>
        </w:drawing>
        <w:t>opportunity to make a statement if desired and to respond to appropriate questions from shareholders.</w:t>
      </w:r>
    </w:p>
    <w:p>
      <w:pPr>
        <w:spacing w:after="0" w:line="375" w:lineRule="exact"/>
        <w:rPr>
          <w:sz w:val="20"/>
          <w:szCs w:val="20"/>
          <w:color w:val="auto"/>
        </w:rPr>
      </w:pPr>
    </w:p>
    <w:p>
      <w:pPr>
        <w:ind w:left="920" w:right="640"/>
        <w:spacing w:after="0" w:line="289" w:lineRule="auto"/>
        <w:rPr>
          <w:sz w:val="20"/>
          <w:szCs w:val="20"/>
          <w:color w:val="auto"/>
        </w:rPr>
      </w:pPr>
      <w:r>
        <w:rPr>
          <w:rFonts w:ascii="Arial" w:cs="Arial" w:eastAsia="Arial" w:hAnsi="Arial"/>
          <w:sz w:val="18"/>
          <w:szCs w:val="18"/>
          <w:b w:val="1"/>
          <w:bCs w:val="1"/>
          <w:color w:val="FFFFFF"/>
        </w:rPr>
        <w:t>THE BOARD RECOMMENDS A VOTE FOR RATIFICATION OF THE SELECTION OF PRICEWATERHOUSECOOPERS LLP AS MONDELĒZ INTERNATIONAL’S INDEPENDENT REGISTERED PUBLIC ACCOUNTANTS FOR FISCAL YEAR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582C83"/>
        </w:rPr>
        <w:t>2026 PROXY STATEMENT |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49796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10375" cy="4979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45"/>
          <w:szCs w:val="45"/>
          <w:b w:val="1"/>
          <w:bCs w:val="1"/>
          <w:color w:val="582C83"/>
        </w:rPr>
        <w:t>SHAREHOLDER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In accordance with SEC rules, we are including the following shareholder proposals (Items 4 and 5), along with the supporting statements of the respective shareholder proponents. Mondelēz International is not responsible for any inaccuracies in these proposals and supporting statements. We have put a box around materials provided by the proponents so that readers can easily distinguish between materials provided by the proponents and materials provided by the Company. Each shareholder proposal is required to be submitted to a vote at the Annual Meeting only if properly presented at the meeting.</w:t>
      </w:r>
    </w:p>
    <w:p>
      <w:pPr>
        <w:spacing w:after="0" w:line="66"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Below each proposal, we identify the shareholder who is the proponent as well as any representative appointed by the shareholder, and will promptly provide each shareholder proponent’s name, address, and, to our knowledge, share ownership upon a shareholder’s oral or written request to the Corporate Secretary of the Company at 905 West Fulton Market, Suite 200, Chicago, Illinois 60607.</w:t>
      </w:r>
    </w:p>
    <w:p>
      <w:pPr>
        <w:spacing w:after="0" w:line="61" w:lineRule="exact"/>
        <w:rPr>
          <w:sz w:val="20"/>
          <w:szCs w:val="20"/>
          <w:color w:val="auto"/>
        </w:rPr>
      </w:pPr>
    </w:p>
    <w:p>
      <w:pPr>
        <w:ind w:right="220"/>
        <w:spacing w:after="0" w:line="313" w:lineRule="auto"/>
        <w:rPr>
          <w:sz w:val="20"/>
          <w:szCs w:val="20"/>
          <w:color w:val="auto"/>
        </w:rPr>
      </w:pPr>
      <w:r>
        <w:rPr>
          <w:rFonts w:ascii="Arial" w:cs="Arial" w:eastAsia="Arial" w:hAnsi="Arial"/>
          <w:sz w:val="17"/>
          <w:szCs w:val="17"/>
          <w:b w:val="1"/>
          <w:bCs w:val="1"/>
          <w:color w:val="auto"/>
        </w:rPr>
        <w:t>The Board has carefully considered the two shareholder proposals and recommends that you vote AGAINST each proposal.</w:t>
      </w:r>
    </w:p>
    <w:p>
      <w:pPr>
        <w:spacing w:after="0" w:line="276" w:lineRule="exact"/>
        <w:rPr>
          <w:sz w:val="20"/>
          <w:szCs w:val="20"/>
          <w:color w:val="auto"/>
        </w:rPr>
      </w:pPr>
    </w:p>
    <w:p>
      <w:pPr>
        <w:ind w:left="920" w:right="980"/>
        <w:spacing w:after="0" w:line="289" w:lineRule="auto"/>
        <w:rPr>
          <w:sz w:val="20"/>
          <w:szCs w:val="20"/>
          <w:color w:val="auto"/>
        </w:rPr>
      </w:pPr>
      <w:r>
        <w:rPr>
          <w:rFonts w:ascii="Arial" w:cs="Arial" w:eastAsia="Arial" w:hAnsi="Arial"/>
          <w:sz w:val="18"/>
          <w:szCs w:val="18"/>
          <w:b w:val="1"/>
          <w:bCs w:val="1"/>
          <w:color w:val="FFFFFF"/>
        </w:rPr>
        <w:t>THE BOARD RECOMMENDS THAT YOU VOTE AGAINST THESE SHAREHOLDER PROPOSALS FOR THE REASONS SET FORTH IN THE STATEMENT IN OPPOSITION FOLLOWING EACH PROPOSAL.</w:t>
      </w:r>
    </w:p>
    <w:p>
      <w:pPr>
        <w:sectPr>
          <w:pgSz w:w="11900" w:h="16838" w:orient="portrait"/>
          <w:cols w:equalWidth="0" w:num="1">
            <w:col w:w="9040"/>
          </w:cols>
          <w:pgMar w:left="1420" w:top="144" w:right="1439" w:bottom="798"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8766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10375" cy="3876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108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65570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10375" cy="6557010"/>
                    </a:xfrm>
                    <a:prstGeom prst="rect">
                      <a:avLst/>
                    </a:prstGeom>
                    <a:noFill/>
                  </pic:spPr>
                </pic:pic>
              </a:graphicData>
            </a:graphic>
          </wp:anchor>
        </w:drawing>
      </w:r>
    </w:p>
    <w:p>
      <w:pPr>
        <w:sectPr>
          <w:pgSz w:w="11900" w:h="16838" w:orient="portrait"/>
          <w:cols w:equalWidth="0" w:num="1">
            <w:col w:w="9039"/>
          </w:cols>
          <w:pgMar w:left="142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45"/>
          <w:szCs w:val="45"/>
          <w:b w:val="1"/>
          <w:bCs w:val="1"/>
          <w:color w:val="582C83"/>
        </w:rPr>
        <w:t>ITEM 4.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0" w:right="1299" w:hanging="363"/>
        <w:spacing w:after="0"/>
        <w:rPr>
          <w:sz w:val="20"/>
          <w:szCs w:val="20"/>
          <w:color w:val="auto"/>
        </w:rPr>
      </w:pPr>
      <w:r>
        <w:rPr>
          <w:sz w:val="1"/>
          <w:szCs w:val="1"/>
          <w:color w:val="auto"/>
        </w:rPr>
        <w:drawing>
          <wp:inline distT="0" distB="0" distL="0" distR="0">
            <wp:extent cx="162560" cy="16319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REPORT ON OBJECTIVE EVALUATION OF PLASTICS PACKAGING POLICIES</w:t>
      </w:r>
    </w:p>
    <w:p>
      <w:pPr>
        <w:spacing w:after="0" w:line="142" w:lineRule="exact"/>
        <w:rPr>
          <w:sz w:val="20"/>
          <w:szCs w:val="20"/>
          <w:color w:val="auto"/>
        </w:rPr>
      </w:pPr>
    </w:p>
    <w:p>
      <w:pPr>
        <w:ind w:right="159"/>
        <w:spacing w:after="0" w:line="291" w:lineRule="auto"/>
        <w:rPr>
          <w:sz w:val="20"/>
          <w:szCs w:val="20"/>
          <w:color w:val="auto"/>
        </w:rPr>
      </w:pPr>
      <w:r>
        <w:rPr>
          <w:rFonts w:ascii="Arial" w:cs="Arial" w:eastAsia="Arial" w:hAnsi="Arial"/>
          <w:sz w:val="17"/>
          <w:szCs w:val="17"/>
          <w:color w:val="auto"/>
        </w:rPr>
        <w:t>National Legal and Policy Center, 107 Park Washington Court, Falls Church, VA 22046, beneficial owner of 83 shares of the Company’s Common Stock, is the proponent of the following shareholder proposal and has advised that a representative will present this proposal at the Annual Meeting.</w:t>
      </w:r>
    </w:p>
    <w:p>
      <w:pPr>
        <w:spacing w:after="0" w:line="288" w:lineRule="exact"/>
        <w:rPr>
          <w:sz w:val="20"/>
          <w:szCs w:val="20"/>
          <w:color w:val="auto"/>
        </w:rPr>
      </w:pPr>
    </w:p>
    <w:p>
      <w:pPr>
        <w:ind w:left="200" w:right="319"/>
        <w:spacing w:after="0" w:line="244"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In 2018 Mondelez International (“Mondelez” or “Company”) announced that it would “make all</w:t>
      </w:r>
      <w:r>
        <w:rPr>
          <w:rFonts w:ascii="Arial" w:cs="Arial" w:eastAsia="Arial" w:hAnsi="Arial"/>
          <w:sz w:val="17"/>
          <w:szCs w:val="17"/>
          <w:b w:val="1"/>
          <w:bCs w:val="1"/>
          <w:color w:val="auto"/>
        </w:rPr>
        <w:t xml:space="preserve"> </w:t>
      </w:r>
      <w:r>
        <w:rPr>
          <w:rFonts w:ascii="Arial" w:cs="Arial" w:eastAsia="Arial" w:hAnsi="Arial"/>
          <w:sz w:val="17"/>
          <w:szCs w:val="17"/>
          <w:color w:val="auto"/>
        </w:rPr>
        <w:t>packaging recyclable” by 2025, to “help deliver its long-term vision for zero-net waste packaging.”</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In 2021 the Company stated it would “[aim] for an at least 25% reduction in virgin plastic use in its rigid plastic packaging or a 5% reduction in virgin plastic use in its overall plastic packaging portfolio.”</w:t>
      </w:r>
      <w:r>
        <w:rPr>
          <w:rFonts w:ascii="Arial" w:cs="Arial" w:eastAsia="Arial" w:hAnsi="Arial"/>
          <w:sz w:val="22"/>
          <w:szCs w:val="22"/>
          <w:color w:val="auto"/>
          <w:vertAlign w:val="superscript"/>
        </w:rPr>
        <w:t>2</w:t>
      </w:r>
    </w:p>
    <w:p>
      <w:pPr>
        <w:spacing w:after="0" w:line="33" w:lineRule="exact"/>
        <w:rPr>
          <w:sz w:val="20"/>
          <w:szCs w:val="20"/>
          <w:color w:val="auto"/>
        </w:rPr>
      </w:pPr>
    </w:p>
    <w:p>
      <w:pPr>
        <w:ind w:left="200" w:right="159"/>
        <w:spacing w:after="0" w:line="242" w:lineRule="auto"/>
        <w:rPr>
          <w:sz w:val="20"/>
          <w:szCs w:val="20"/>
          <w:color w:val="auto"/>
        </w:rPr>
      </w:pPr>
      <w:r>
        <w:rPr>
          <w:rFonts w:ascii="Arial" w:cs="Arial" w:eastAsia="Arial" w:hAnsi="Arial"/>
          <w:sz w:val="17"/>
          <w:szCs w:val="17"/>
          <w:color w:val="auto"/>
        </w:rPr>
        <w:t>But by mid-2025 Mondelez “saw its rate of packaging that is recyclable stagnate, and virgin plastic reduction efforts falter.”</w:t>
      </w:r>
      <w:r>
        <w:rPr>
          <w:rFonts w:ascii="Arial" w:cs="Arial" w:eastAsia="Arial" w:hAnsi="Arial"/>
          <w:sz w:val="22"/>
          <w:szCs w:val="22"/>
          <w:color w:val="auto"/>
          <w:vertAlign w:val="superscript"/>
        </w:rPr>
        <w:t>3</w:t>
      </w:r>
      <w:r>
        <w:rPr>
          <w:rFonts w:ascii="Arial" w:cs="Arial" w:eastAsia="Arial" w:hAnsi="Arial"/>
          <w:sz w:val="17"/>
          <w:szCs w:val="17"/>
          <w:color w:val="auto"/>
        </w:rPr>
        <w:t xml:space="preserve"> Within months the Company left the U.S. Plastics Pact, under which it had committed to targets like “all plastic packaging is 100% reusable, recyclable, or compostable” by 2025.</w:t>
      </w:r>
      <w:r>
        <w:rPr>
          <w:rFonts w:ascii="Arial" w:cs="Arial" w:eastAsia="Arial" w:hAnsi="Arial"/>
          <w:sz w:val="22"/>
          <w:szCs w:val="22"/>
          <w:color w:val="auto"/>
          <w:vertAlign w:val="superscript"/>
        </w:rPr>
        <w:t>4</w:t>
      </w:r>
    </w:p>
    <w:p>
      <w:pPr>
        <w:spacing w:after="0" w:line="28" w:lineRule="exact"/>
        <w:rPr>
          <w:sz w:val="20"/>
          <w:szCs w:val="20"/>
          <w:color w:val="auto"/>
        </w:rPr>
      </w:pPr>
    </w:p>
    <w:p>
      <w:pPr>
        <w:ind w:left="200" w:right="499"/>
        <w:spacing w:after="0" w:line="225" w:lineRule="auto"/>
        <w:rPr>
          <w:sz w:val="20"/>
          <w:szCs w:val="20"/>
          <w:color w:val="auto"/>
        </w:rPr>
      </w:pPr>
      <w:r>
        <w:rPr>
          <w:rFonts w:ascii="Arial" w:cs="Arial" w:eastAsia="Arial" w:hAnsi="Arial"/>
          <w:sz w:val="17"/>
          <w:szCs w:val="17"/>
          <w:color w:val="auto"/>
        </w:rPr>
        <w:t>Unrealistic initiatives like Mondelez’s are driven by an alleged “plastics pollution crisis.”</w:t>
      </w:r>
      <w:r>
        <w:rPr>
          <w:rFonts w:ascii="Arial" w:cs="Arial" w:eastAsia="Arial" w:hAnsi="Arial"/>
          <w:sz w:val="22"/>
          <w:szCs w:val="22"/>
          <w:color w:val="auto"/>
          <w:vertAlign w:val="superscript"/>
        </w:rPr>
        <w:t>5</w:t>
      </w:r>
      <w:r>
        <w:rPr>
          <w:rFonts w:ascii="Arial" w:cs="Arial" w:eastAsia="Arial" w:hAnsi="Arial"/>
          <w:sz w:val="17"/>
          <w:szCs w:val="17"/>
          <w:color w:val="auto"/>
        </w:rPr>
        <w:t xml:space="preserve"> Yet objective evidence shows that plastic packaging in many ways offers net environmental and economic </w:t>
      </w:r>
      <w:r>
        <w:rPr>
          <w:rFonts w:ascii="Arial" w:cs="Arial" w:eastAsia="Arial" w:hAnsi="Arial"/>
          <w:sz w:val="17"/>
          <w:szCs w:val="17"/>
          <w:i w:val="1"/>
          <w:iCs w:val="1"/>
          <w:color w:val="auto"/>
        </w:rPr>
        <w:t>benefits</w:t>
      </w:r>
      <w:r>
        <w:rPr>
          <w:rFonts w:ascii="Arial" w:cs="Arial" w:eastAsia="Arial" w:hAnsi="Arial"/>
          <w:sz w:val="17"/>
          <w:szCs w:val="17"/>
          <w:color w:val="auto"/>
        </w:rPr>
        <w:t>,</w:t>
      </w:r>
      <w:r>
        <w:rPr>
          <w:rFonts w:ascii="Arial" w:cs="Arial" w:eastAsia="Arial" w:hAnsi="Arial"/>
          <w:sz w:val="22"/>
          <w:szCs w:val="22"/>
          <w:color w:val="auto"/>
          <w:vertAlign w:val="superscript"/>
        </w:rPr>
        <w:t>6</w:t>
      </w:r>
      <w:r>
        <w:rPr>
          <w:rFonts w:ascii="Arial" w:cs="Arial" w:eastAsia="Arial" w:hAnsi="Arial"/>
          <w:sz w:val="17"/>
          <w:szCs w:val="17"/>
          <w:color w:val="auto"/>
        </w:rPr>
        <w:t xml:space="preserve"> including lighter weight, durability, lower transportation costs, and reduced emissions compared to alternatives.</w:t>
      </w:r>
      <w:r>
        <w:rPr>
          <w:rFonts w:ascii="Arial" w:cs="Arial" w:eastAsia="Arial" w:hAnsi="Arial"/>
          <w:sz w:val="22"/>
          <w:szCs w:val="22"/>
          <w:color w:val="auto"/>
          <w:vertAlign w:val="superscript"/>
        </w:rPr>
        <w:t>7</w:t>
      </w:r>
    </w:p>
    <w:p>
      <w:pPr>
        <w:spacing w:after="0" w:line="38" w:lineRule="exact"/>
        <w:rPr>
          <w:sz w:val="20"/>
          <w:szCs w:val="20"/>
          <w:color w:val="auto"/>
        </w:rPr>
      </w:pPr>
    </w:p>
    <w:p>
      <w:pPr>
        <w:ind w:left="200" w:right="179"/>
        <w:spacing w:after="0" w:line="221" w:lineRule="auto"/>
        <w:rPr>
          <w:sz w:val="20"/>
          <w:szCs w:val="20"/>
          <w:color w:val="auto"/>
        </w:rPr>
      </w:pPr>
      <w:r>
        <w:rPr>
          <w:rFonts w:ascii="Arial" w:cs="Arial" w:eastAsia="Arial" w:hAnsi="Arial"/>
          <w:sz w:val="17"/>
          <w:szCs w:val="17"/>
          <w:color w:val="auto"/>
        </w:rPr>
        <w:t xml:space="preserve">Critics argue that to the degree there’s a problem, that it’s not plastic </w:t>
      </w:r>
      <w:r>
        <w:rPr>
          <w:rFonts w:ascii="Arial" w:cs="Arial" w:eastAsia="Arial" w:hAnsi="Arial"/>
          <w:sz w:val="17"/>
          <w:szCs w:val="17"/>
          <w:i w:val="1"/>
          <w:iCs w:val="1"/>
          <w:color w:val="auto"/>
        </w:rPr>
        <w:t>production</w:t>
      </w:r>
      <w:r>
        <w:rPr>
          <w:rFonts w:ascii="Arial" w:cs="Arial" w:eastAsia="Arial" w:hAnsi="Arial"/>
          <w:sz w:val="17"/>
          <w:szCs w:val="17"/>
          <w:color w:val="auto"/>
        </w:rPr>
        <w:t>, but inadequate waste management systems, particularly in developing economies.</w:t>
      </w:r>
      <w:r>
        <w:rPr>
          <w:rFonts w:ascii="Arial" w:cs="Arial" w:eastAsia="Arial" w:hAnsi="Arial"/>
          <w:sz w:val="22"/>
          <w:szCs w:val="22"/>
          <w:color w:val="auto"/>
          <w:vertAlign w:val="superscript"/>
        </w:rPr>
        <w:t>8</w:t>
      </w:r>
      <w:r>
        <w:rPr>
          <w:rFonts w:ascii="Arial" w:cs="Arial" w:eastAsia="Arial" w:hAnsi="Arial"/>
          <w:sz w:val="17"/>
          <w:szCs w:val="17"/>
          <w:color w:val="auto"/>
        </w:rPr>
        <w:t xml:space="preserve"> Advocacy campaigns for a “circular economy,” which rely on biased reports such as </w:t>
      </w:r>
      <w:r>
        <w:rPr>
          <w:rFonts w:ascii="Arial" w:cs="Arial" w:eastAsia="Arial" w:hAnsi="Arial"/>
          <w:sz w:val="17"/>
          <w:szCs w:val="17"/>
          <w:i w:val="1"/>
          <w:iCs w:val="1"/>
          <w:color w:val="auto"/>
        </w:rPr>
        <w:t>Breaking the Plastic Wave</w:t>
      </w:r>
      <w:r>
        <w:rPr>
          <w:rFonts w:ascii="Arial" w:cs="Arial" w:eastAsia="Arial" w:hAnsi="Arial"/>
          <w:sz w:val="22"/>
          <w:szCs w:val="22"/>
          <w:color w:val="auto"/>
          <w:vertAlign w:val="superscript"/>
        </w:rPr>
        <w:t>9</w:t>
      </w:r>
      <w:r>
        <w:rPr>
          <w:rFonts w:ascii="Arial" w:cs="Arial" w:eastAsia="Arial" w:hAnsi="Arial"/>
          <w:sz w:val="17"/>
          <w:szCs w:val="17"/>
          <w:color w:val="auto"/>
        </w:rPr>
        <w:t xml:space="preserve"> and </w:t>
      </w:r>
      <w:r>
        <w:rPr>
          <w:rFonts w:ascii="Arial" w:cs="Arial" w:eastAsia="Arial" w:hAnsi="Arial"/>
          <w:sz w:val="17"/>
          <w:szCs w:val="17"/>
          <w:i w:val="1"/>
          <w:iCs w:val="1"/>
          <w:color w:val="auto"/>
        </w:rPr>
        <w:t>Plastics: The Costs to Society, the Environment,</w:t>
      </w:r>
      <w:r>
        <w:rPr>
          <w:rFonts w:ascii="Arial" w:cs="Arial" w:eastAsia="Arial" w:hAnsi="Arial"/>
          <w:sz w:val="17"/>
          <w:szCs w:val="17"/>
          <w:color w:val="auto"/>
        </w:rPr>
        <w:t xml:space="preserve"> </w:t>
      </w:r>
      <w:r>
        <w:rPr>
          <w:rFonts w:ascii="Arial" w:cs="Arial" w:eastAsia="Arial" w:hAnsi="Arial"/>
          <w:sz w:val="17"/>
          <w:szCs w:val="17"/>
          <w:i w:val="1"/>
          <w:iCs w:val="1"/>
          <w:color w:val="auto"/>
        </w:rPr>
        <w:t>and the Economy</w:t>
      </w:r>
      <w:r>
        <w:rPr>
          <w:rFonts w:ascii="Arial" w:cs="Arial" w:eastAsia="Arial" w:hAnsi="Arial"/>
          <w:sz w:val="17"/>
          <w:szCs w:val="17"/>
          <w:color w:val="auto"/>
        </w:rPr>
        <w:t>,</w:t>
      </w:r>
      <w:r>
        <w:rPr>
          <w:rFonts w:ascii="Arial" w:cs="Arial" w:eastAsia="Arial" w:hAnsi="Arial"/>
          <w:sz w:val="22"/>
          <w:szCs w:val="22"/>
          <w:color w:val="auto"/>
          <w:vertAlign w:val="superscript"/>
        </w:rPr>
        <w:t>10</w:t>
      </w:r>
      <w:r>
        <w:rPr>
          <w:rFonts w:ascii="Arial" w:cs="Arial" w:eastAsia="Arial" w:hAnsi="Arial"/>
          <w:sz w:val="17"/>
          <w:szCs w:val="17"/>
          <w:i w:val="1"/>
          <w:iCs w:val="1"/>
          <w:color w:val="auto"/>
        </w:rPr>
        <w:t xml:space="preserve"> </w:t>
      </w:r>
      <w:r>
        <w:rPr>
          <w:rFonts w:ascii="Arial" w:cs="Arial" w:eastAsia="Arial" w:hAnsi="Arial"/>
          <w:sz w:val="17"/>
          <w:szCs w:val="17"/>
          <w:color w:val="auto"/>
        </w:rPr>
        <w:t>emphasize environmental “costs” while mostly ignoring the benefits of plastics and the trade-offs of substitutes.</w:t>
      </w:r>
    </w:p>
    <w:p>
      <w:pPr>
        <w:spacing w:after="0" w:line="81" w:lineRule="exact"/>
        <w:rPr>
          <w:sz w:val="20"/>
          <w:szCs w:val="20"/>
          <w:color w:val="auto"/>
        </w:rPr>
      </w:pPr>
    </w:p>
    <w:p>
      <w:pPr>
        <w:ind w:left="200" w:right="259"/>
        <w:spacing w:after="0" w:line="243" w:lineRule="auto"/>
        <w:rPr>
          <w:sz w:val="20"/>
          <w:szCs w:val="20"/>
          <w:color w:val="auto"/>
        </w:rPr>
      </w:pPr>
      <w:r>
        <w:rPr>
          <w:rFonts w:ascii="Arial" w:cs="Arial" w:eastAsia="Arial" w:hAnsi="Arial"/>
          <w:sz w:val="17"/>
          <w:szCs w:val="17"/>
          <w:b w:val="1"/>
          <w:bCs w:val="1"/>
          <w:color w:val="auto"/>
        </w:rPr>
        <w:t xml:space="preserve">MATERIALITY: </w:t>
      </w:r>
      <w:r>
        <w:rPr>
          <w:rFonts w:ascii="Arial" w:cs="Arial" w:eastAsia="Arial" w:hAnsi="Arial"/>
          <w:sz w:val="17"/>
          <w:szCs w:val="17"/>
          <w:color w:val="auto"/>
        </w:rPr>
        <w:t>Plastics accounted for 21% of Mondelez’s packaging materials in 2024.</w:t>
      </w:r>
      <w:r>
        <w:rPr>
          <w:rFonts w:ascii="Arial" w:cs="Arial" w:eastAsia="Arial" w:hAnsi="Arial"/>
          <w:sz w:val="22"/>
          <w:szCs w:val="22"/>
          <w:color w:val="auto"/>
          <w:vertAlign w:val="superscript"/>
        </w:rPr>
        <w:t>11</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consistently cites packaging as one of its most significant areas of environmental focus, a large share of supply chain costs.</w:t>
      </w:r>
      <w:r>
        <w:rPr>
          <w:rFonts w:ascii="Arial" w:cs="Arial" w:eastAsia="Arial" w:hAnsi="Arial"/>
          <w:sz w:val="22"/>
          <w:szCs w:val="22"/>
          <w:color w:val="auto"/>
          <w:vertAlign w:val="superscript"/>
        </w:rPr>
        <w:t>12</w:t>
      </w:r>
      <w:r>
        <w:rPr>
          <w:rFonts w:ascii="Arial" w:cs="Arial" w:eastAsia="Arial" w:hAnsi="Arial"/>
          <w:sz w:val="17"/>
          <w:szCs w:val="17"/>
          <w:color w:val="auto"/>
        </w:rPr>
        <w:t xml:space="preserve"> Packaging is one of the Company’s most visible and material operational issues, shaping brand reputation, investor expectations, and regulatory exposure. These percentages show that packaging costs — and especially plastics — influence a significant share of the Company’s economics. Accordingly, shareholders have a right to request assurance that these policies are based on factual data and outcomes, not activist rhetoric (like “zero net-waste packaging”) and “circular economy” fantasies.</w:t>
      </w:r>
    </w:p>
    <w:p>
      <w:pPr>
        <w:spacing w:after="0" w:line="99" w:lineRule="exact"/>
        <w:rPr>
          <w:sz w:val="20"/>
          <w:szCs w:val="20"/>
          <w:color w:val="auto"/>
        </w:rPr>
      </w:pPr>
    </w:p>
    <w:p>
      <w:pPr>
        <w:ind w:left="200" w:right="779"/>
        <w:spacing w:after="0" w:line="284" w:lineRule="auto"/>
        <w:rPr>
          <w:sz w:val="20"/>
          <w:szCs w:val="20"/>
          <w:color w:val="auto"/>
        </w:rPr>
      </w:pPr>
      <w:r>
        <w:rPr>
          <w:rFonts w:ascii="Arial" w:cs="Arial" w:eastAsia="Arial" w:hAnsi="Arial"/>
          <w:sz w:val="17"/>
          <w:szCs w:val="17"/>
          <w:b w:val="1"/>
          <w:bCs w:val="1"/>
          <w:color w:val="auto"/>
        </w:rPr>
        <w:t xml:space="preserve">SUPPORTING STATEMENT: </w:t>
      </w:r>
      <w:r>
        <w:rPr>
          <w:rFonts w:ascii="Arial" w:cs="Arial" w:eastAsia="Arial" w:hAnsi="Arial"/>
          <w:sz w:val="17"/>
          <w:szCs w:val="17"/>
          <w:color w:val="auto"/>
        </w:rPr>
        <w:t>Mondelez’s plastics strategy should be grounded in verifiable, scientific, and</w:t>
      </w:r>
      <w:r>
        <w:rPr>
          <w:rFonts w:ascii="Arial" w:cs="Arial" w:eastAsia="Arial" w:hAnsi="Arial"/>
          <w:sz w:val="17"/>
          <w:szCs w:val="17"/>
          <w:b w:val="1"/>
          <w:bCs w:val="1"/>
          <w:color w:val="auto"/>
        </w:rPr>
        <w:t xml:space="preserve"> </w:t>
      </w:r>
      <w:r>
        <w:rPr>
          <w:rFonts w:ascii="Arial" w:cs="Arial" w:eastAsia="Arial" w:hAnsi="Arial"/>
          <w:sz w:val="17"/>
          <w:szCs w:val="17"/>
          <w:color w:val="auto"/>
        </w:rPr>
        <w:t>economic cost-benefit analysis. An objective evaluation would:</w:t>
      </w:r>
    </w:p>
    <w:p>
      <w:pPr>
        <w:sectPr>
          <w:pgSz w:w="11900" w:h="16838" w:orient="portrait"/>
          <w:cols w:equalWidth="0" w:num="1">
            <w:col w:w="9039"/>
          </w:cols>
          <w:pgMar w:left="1420" w:top="1440" w:right="1440" w:bottom="0" w:gutter="0" w:footer="0" w:header="0"/>
          <w:type w:val="continuous"/>
        </w:sectPr>
      </w:pPr>
    </w:p>
    <w:bookmarkStart w:id="95" w:name="page96"/>
    <w:bookmarkEnd w:id="95"/>
    <w:p>
      <w:pPr>
        <w:ind w:left="460" w:right="960" w:hanging="262"/>
        <w:spacing w:after="0" w:line="229" w:lineRule="auto"/>
        <w:tabs>
          <w:tab w:leader="none" w:pos="460" w:val="left"/>
        </w:tabs>
        <w:numPr>
          <w:ilvl w:val="0"/>
          <w:numId w:val="122"/>
        </w:numPr>
        <w:rPr>
          <w:rFonts w:ascii="Arial" w:cs="Arial" w:eastAsia="Arial" w:hAnsi="Arial"/>
          <w:sz w:val="17"/>
          <w:szCs w:val="17"/>
          <w:b w:val="1"/>
          <w:bCs w:val="1"/>
          <w:color w:val="582C83"/>
        </w:rPr>
      </w:pPr>
      <w:r>
        <w:rPr>
          <w:rFonts w:ascii="Arial" w:cs="Arial" w:eastAsia="Arial" w:hAnsi="Arial"/>
          <w:sz w:val="17"/>
          <w:szCs w:val="17"/>
          <w:color w:val="auto"/>
        </w:rPr>
        <w:t>Comprehensively analyze the environmental impact of plastics versus alternatives, including lifecycle emissions, energy usage, and recyclability.</w:t>
      </w:r>
    </w:p>
    <w:p>
      <w:pPr>
        <w:spacing w:after="0" w:line="18" w:lineRule="exact"/>
        <w:rPr>
          <w:rFonts w:ascii="Arial" w:cs="Arial" w:eastAsia="Arial" w:hAnsi="Arial"/>
          <w:sz w:val="17"/>
          <w:szCs w:val="17"/>
          <w:b w:val="1"/>
          <w:bCs w:val="1"/>
          <w:color w:val="582C83"/>
        </w:rPr>
      </w:pPr>
    </w:p>
    <w:p>
      <w:pPr>
        <w:ind w:left="460" w:right="320" w:hanging="262"/>
        <w:spacing w:after="0" w:line="281" w:lineRule="auto"/>
        <w:tabs>
          <w:tab w:leader="none" w:pos="460" w:val="left"/>
        </w:tabs>
        <w:numPr>
          <w:ilvl w:val="0"/>
          <w:numId w:val="122"/>
        </w:numPr>
        <w:rPr>
          <w:rFonts w:ascii="Arial" w:cs="Arial" w:eastAsia="Arial" w:hAnsi="Arial"/>
          <w:sz w:val="17"/>
          <w:szCs w:val="17"/>
          <w:b w:val="1"/>
          <w:bCs w:val="1"/>
          <w:color w:val="582C83"/>
        </w:rPr>
      </w:pPr>
      <w:r>
        <w:rPr>
          <w:rFonts w:ascii="Arial" w:cs="Arial" w:eastAsia="Arial" w:hAnsi="Arial"/>
          <w:sz w:val="17"/>
          <w:szCs w:val="17"/>
          <w:color w:val="auto"/>
        </w:rPr>
        <w:t>Assess the economic costs of replacing single-use plastics with higher-cost or heavier materials with recycled content inputs, and the implications for Mondelez’s supply chain and shareholders.</w:t>
      </w:r>
    </w:p>
    <w:p>
      <w:pPr>
        <w:spacing w:after="0" w:line="1" w:lineRule="exact"/>
        <w:rPr>
          <w:rFonts w:ascii="Arial" w:cs="Arial" w:eastAsia="Arial" w:hAnsi="Arial"/>
          <w:sz w:val="17"/>
          <w:szCs w:val="17"/>
          <w:b w:val="1"/>
          <w:bCs w:val="1"/>
          <w:color w:val="582C83"/>
        </w:rPr>
      </w:pPr>
    </w:p>
    <w:p>
      <w:pPr>
        <w:ind w:left="460" w:right="380" w:hanging="262"/>
        <w:spacing w:after="0" w:line="301" w:lineRule="auto"/>
        <w:tabs>
          <w:tab w:leader="none" w:pos="460" w:val="left"/>
        </w:tabs>
        <w:numPr>
          <w:ilvl w:val="0"/>
          <w:numId w:val="122"/>
        </w:numPr>
        <w:rPr>
          <w:rFonts w:ascii="Arial" w:cs="Arial" w:eastAsia="Arial" w:hAnsi="Arial"/>
          <w:sz w:val="17"/>
          <w:szCs w:val="17"/>
          <w:b w:val="1"/>
          <w:bCs w:val="1"/>
          <w:color w:val="582C83"/>
        </w:rPr>
      </w:pPr>
      <w:r>
        <w:rPr>
          <w:rFonts w:ascii="Arial" w:cs="Arial" w:eastAsia="Arial" w:hAnsi="Arial"/>
          <w:sz w:val="17"/>
          <w:szCs w:val="17"/>
          <w:color w:val="auto"/>
        </w:rPr>
        <w:t>Examine whether corporate policy targets the true pollution culprit — poor waste management — rather than misrepresenting plastics’ positives and negatives as a packaging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-828040</wp:posOffset>
            </wp:positionV>
            <wp:extent cx="6810375" cy="22993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10375" cy="2299335"/>
                    </a:xfrm>
                    <a:prstGeom prst="rect">
                      <a:avLst/>
                    </a:prstGeom>
                    <a:noFill/>
                  </pic:spPr>
                </pic:pic>
              </a:graphicData>
            </a:graphic>
          </wp:anchor>
        </w:drawing>
      </w:r>
    </w:p>
    <w:p>
      <w:pPr>
        <w:spacing w:after="0" w:line="16" w:lineRule="exact"/>
        <w:rPr>
          <w:sz w:val="20"/>
          <w:szCs w:val="20"/>
          <w:color w:val="auto"/>
        </w:rPr>
      </w:pPr>
    </w:p>
    <w:p>
      <w:pPr>
        <w:ind w:left="200" w:right="220"/>
        <w:spacing w:after="0" w:line="270"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Shareholders request the Board of Directors to commission and publish, by March 31, 2027, at</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cost and omitting proprietary information, a report evaluating Mondelez’s plastics packaging policies. The report should assess these policies in light of non-biased, scientifically accurate, and economically rigorous research, and include a quantifiable analysis of potential policy changes versus current practices as they affect the Company’s financial position.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582C83"/>
        </w:rPr>
        <w:t>2026 PROXY STATEMENT |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134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10375" cy="813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SHAREHOLDER PROPOSAL</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Report on Objective Evaluation of Plastics Packaging Policies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0" w:hanging="262"/>
        <w:spacing w:after="0"/>
        <w:tabs>
          <w:tab w:leader="none" w:pos="46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https://ir.mondelezinternational.com/news-releases/news-release-details/mondelez-international-commits-making-all-packaging-recyclable</w:t>
      </w:r>
    </w:p>
    <w:p>
      <w:pPr>
        <w:spacing w:after="0" w:line="16" w:lineRule="exact"/>
        <w:rPr>
          <w:rFonts w:ascii="Arial" w:cs="Arial" w:eastAsia="Arial" w:hAnsi="Arial"/>
          <w:sz w:val="13"/>
          <w:szCs w:val="13"/>
          <w:color w:val="auto"/>
        </w:rPr>
      </w:pPr>
    </w:p>
    <w:p>
      <w:pPr>
        <w:ind w:left="460" w:right="100" w:hanging="262"/>
        <w:spacing w:after="0" w:line="260" w:lineRule="auto"/>
        <w:tabs>
          <w:tab w:leader="none" w:pos="46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https://www.globenewswire.com/news-release/2021/03/04/2187234/0/en/Mondel%C4%93z-International-Commits-to-Reduction-in-Virgin-Plastic-Use-to-Combat-Plastic-Pollution.html</w:t>
      </w:r>
    </w:p>
    <w:p>
      <w:pPr>
        <w:ind w:left="460" w:hanging="262"/>
        <w:spacing w:after="0"/>
        <w:tabs>
          <w:tab w:leader="none" w:pos="46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https://www.packagingdive.com/news/mondelez-sustainability-report-packaging-plastic/745741/</w:t>
      </w:r>
    </w:p>
    <w:p>
      <w:pPr>
        <w:spacing w:after="0" w:line="12" w:lineRule="exact"/>
        <w:rPr>
          <w:rFonts w:ascii="Arial" w:cs="Arial" w:eastAsia="Arial" w:hAnsi="Arial"/>
          <w:sz w:val="13"/>
          <w:szCs w:val="13"/>
          <w:color w:val="auto"/>
        </w:rPr>
      </w:pPr>
    </w:p>
    <w:p>
      <w:pPr>
        <w:ind w:left="460" w:hanging="262"/>
        <w:spacing w:after="0"/>
        <w:tabs>
          <w:tab w:leader="none" w:pos="46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https://www.fooddive.com/news/us-plastics-pact-member-departures-walmart-mondelez-mars-nestle/749468/</w:t>
      </w:r>
    </w:p>
    <w:p>
      <w:pPr>
        <w:spacing w:after="0" w:line="12" w:lineRule="exact"/>
        <w:rPr>
          <w:rFonts w:ascii="Arial" w:cs="Arial" w:eastAsia="Arial" w:hAnsi="Arial"/>
          <w:sz w:val="13"/>
          <w:szCs w:val="13"/>
          <w:color w:val="auto"/>
        </w:rPr>
      </w:pPr>
    </w:p>
    <w:p>
      <w:pPr>
        <w:ind w:left="460" w:hanging="262"/>
        <w:spacing w:after="0"/>
        <w:tabs>
          <w:tab w:leader="none" w:pos="46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https://www.unep.org/interactives/beat-plastic-pollution/</w:t>
      </w:r>
    </w:p>
    <w:p>
      <w:pPr>
        <w:spacing w:after="0" w:line="12" w:lineRule="exact"/>
        <w:rPr>
          <w:rFonts w:ascii="Arial" w:cs="Arial" w:eastAsia="Arial" w:hAnsi="Arial"/>
          <w:sz w:val="13"/>
          <w:szCs w:val="13"/>
          <w:color w:val="auto"/>
        </w:rPr>
      </w:pPr>
    </w:p>
    <w:p>
      <w:pPr>
        <w:ind w:left="460" w:hanging="262"/>
        <w:spacing w:after="0"/>
        <w:tabs>
          <w:tab w:leader="none" w:pos="46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https://www.bizpacreview.com/2021/11/15/hold-for-michele-the-great-pacific-garbage-patch-twice-the-size-of-texas-is-fake-1162875/</w:t>
      </w:r>
    </w:p>
    <w:p>
      <w:pPr>
        <w:spacing w:after="0" w:line="12" w:lineRule="exact"/>
        <w:rPr>
          <w:rFonts w:ascii="Arial" w:cs="Arial" w:eastAsia="Arial" w:hAnsi="Arial"/>
          <w:sz w:val="13"/>
          <w:szCs w:val="13"/>
          <w:color w:val="auto"/>
        </w:rPr>
      </w:pPr>
    </w:p>
    <w:p>
      <w:pPr>
        <w:ind w:left="460" w:hanging="262"/>
        <w:spacing w:after="0"/>
        <w:tabs>
          <w:tab w:leader="none" w:pos="46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https://plastics.americanchemistry.com/life-cycle-impacts-of-plastic-packaging-compared-to-alternatives</w:t>
      </w:r>
    </w:p>
    <w:p>
      <w:pPr>
        <w:spacing w:after="0" w:line="22" w:lineRule="exact"/>
        <w:rPr>
          <w:rFonts w:ascii="Arial" w:cs="Arial" w:eastAsia="Arial" w:hAnsi="Arial"/>
          <w:sz w:val="13"/>
          <w:szCs w:val="13"/>
          <w:color w:val="auto"/>
        </w:rPr>
      </w:pPr>
    </w:p>
    <w:p>
      <w:pPr>
        <w:ind w:left="460" w:hanging="262"/>
        <w:spacing w:after="0"/>
        <w:tabs>
          <w:tab w:leader="none" w:pos="46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https://www.science.org/doi/10.1126/science.1260352</w:t>
      </w:r>
    </w:p>
    <w:p>
      <w:pPr>
        <w:spacing w:after="0" w:line="16" w:lineRule="exact"/>
        <w:rPr>
          <w:rFonts w:ascii="Arial" w:cs="Arial" w:eastAsia="Arial" w:hAnsi="Arial"/>
          <w:sz w:val="13"/>
          <w:szCs w:val="13"/>
          <w:color w:val="auto"/>
        </w:rPr>
      </w:pPr>
    </w:p>
    <w:p>
      <w:pPr>
        <w:ind w:left="460" w:hanging="262"/>
        <w:spacing w:after="0"/>
        <w:tabs>
          <w:tab w:leader="none" w:pos="46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https://www.pewtrusts.org/en/research-and-analysis/reports/2020/07/breaking-the-plastic-wave</w:t>
      </w:r>
    </w:p>
    <w:p>
      <w:pPr>
        <w:spacing w:after="0" w:line="12" w:lineRule="exact"/>
        <w:rPr>
          <w:rFonts w:ascii="Arial" w:cs="Arial" w:eastAsia="Arial" w:hAnsi="Arial"/>
          <w:sz w:val="13"/>
          <w:szCs w:val="13"/>
          <w:color w:val="auto"/>
        </w:rPr>
      </w:pPr>
    </w:p>
    <w:p>
      <w:pPr>
        <w:ind w:left="460" w:hanging="262"/>
        <w:spacing w:after="0"/>
        <w:tabs>
          <w:tab w:leader="none" w:pos="46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https://wwfint.awsassets.panda.org/downloads/plastics_the_costs_to_society_the_environment_and_the_economy.pdf</w:t>
      </w:r>
    </w:p>
    <w:p>
      <w:pPr>
        <w:spacing w:after="0" w:line="12" w:lineRule="exact"/>
        <w:rPr>
          <w:rFonts w:ascii="Arial" w:cs="Arial" w:eastAsia="Arial" w:hAnsi="Arial"/>
          <w:sz w:val="13"/>
          <w:szCs w:val="13"/>
          <w:color w:val="auto"/>
        </w:rPr>
      </w:pPr>
    </w:p>
    <w:p>
      <w:pPr>
        <w:ind w:left="460" w:hanging="262"/>
        <w:spacing w:after="0"/>
        <w:tabs>
          <w:tab w:leader="none" w:pos="46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https://www.packagingdive.com/news/mondelez-sustainability-report-packaging-plastic/745741/</w:t>
      </w:r>
    </w:p>
    <w:p>
      <w:pPr>
        <w:spacing w:after="0" w:line="12" w:lineRule="exact"/>
        <w:rPr>
          <w:rFonts w:ascii="Arial" w:cs="Arial" w:eastAsia="Arial" w:hAnsi="Arial"/>
          <w:sz w:val="13"/>
          <w:szCs w:val="13"/>
          <w:color w:val="auto"/>
        </w:rPr>
      </w:pPr>
    </w:p>
    <w:p>
      <w:pPr>
        <w:ind w:left="460" w:hanging="262"/>
        <w:spacing w:after="0"/>
        <w:tabs>
          <w:tab w:leader="none" w:pos="46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https://www.mondelezinternational.com/assets/Snacking-Made-Right/SMR-Report/2024/2024-MDLZ-Snacking-Made-Right-ESG-Report.pdf</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STATEMENT IN OPPOSITION TO ITEM 4.</w:t>
      </w:r>
    </w:p>
    <w:p>
      <w:pPr>
        <w:spacing w:after="0" w:line="129"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 xml:space="preserve">Mondelēz International strives to continually improve our packaging by removing unnecessary packaging and simplifying packaging materials across the business, and we apply a multi-faceted approach that includes both self-driven initiatives and external investments. Packaging is also part of our sustainability strategy. We have provided detailed reporting on these efforts in our annual </w:t>
      </w:r>
      <w:r>
        <w:rPr>
          <w:rFonts w:ascii="Arial" w:cs="Arial" w:eastAsia="Arial" w:hAnsi="Arial"/>
          <w:sz w:val="17"/>
          <w:szCs w:val="17"/>
          <w:i w:val="1"/>
          <w:iCs w:val="1"/>
          <w:color w:val="auto"/>
        </w:rPr>
        <w:t>Snacking Made Right Report</w:t>
      </w:r>
      <w:r>
        <w:rPr>
          <w:rFonts w:ascii="Arial" w:cs="Arial" w:eastAsia="Arial" w:hAnsi="Arial"/>
          <w:sz w:val="17"/>
          <w:szCs w:val="17"/>
          <w:color w:val="auto"/>
        </w:rPr>
        <w:t>,</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which includes an overview of our packaging portfolio, details on our initiatives, and data on our progress toward our goals. As such, the report sought by the proposal would be unproductive and duplicative without providing our shareholders with helpful additional information on our packaging initiatives.</w:t>
      </w:r>
    </w:p>
    <w:p>
      <w:pPr>
        <w:spacing w:after="0" w:line="80"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color w:val="auto"/>
        </w:rPr>
        <w:t xml:space="preserve">Our Board oversees our broader strategy and our sustainability activities for the best interests of our shareholders. </w:t>
      </w:r>
      <w:r>
        <w:rPr>
          <w:rFonts w:ascii="Arial" w:cs="Arial" w:eastAsia="Arial" w:hAnsi="Arial"/>
          <w:sz w:val="17"/>
          <w:szCs w:val="17"/>
          <w:color w:val="auto"/>
        </w:rPr>
        <w:t>One of our Board’s key responsibilities is overseeing our strategy. With recommendations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Finance Committee, our Board oversees the alignment of our capital allocation priorities with our long-term strategy and reviews our capital deployment budget. Our Governance, Membership and Sustainability Committee is responsible for overseeing our sustainability-related policies, initiatives, strategy, and progress, and in doing so, seeks to consider and address the interests of and benefits to our shareholders. We believe our sustainability initiatives are pragmatic, focusing on priority topics that align with our global business strategies and support value creation. These initiatives are incorporated into our day-to-day operations, as appropriate, and aligned with our internal processes and procedures for capital investment and financial return. We believe that our existing oversight structure and strategy drives strong performance and consideration for the success of our business and return to shareholders.</w:t>
      </w:r>
    </w:p>
    <w:p>
      <w:pPr>
        <w:spacing w:after="0" w:line="7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color w:val="auto"/>
        </w:rPr>
        <w:t xml:space="preserve">Packaging is part of our comprehensive approach to advancing the resiliency of our business. </w:t>
      </w:r>
      <w:r>
        <w:rPr>
          <w:rFonts w:ascii="Arial" w:cs="Arial" w:eastAsia="Arial" w:hAnsi="Arial"/>
          <w:sz w:val="17"/>
          <w:szCs w:val="17"/>
          <w:color w:val="auto"/>
        </w:rPr>
        <w:t>We believe that</w:t>
      </w:r>
      <w:r>
        <w:rPr>
          <w:rFonts w:ascii="Arial" w:cs="Arial" w:eastAsia="Arial" w:hAnsi="Arial"/>
          <w:sz w:val="17"/>
          <w:szCs w:val="17"/>
          <w:b w:val="1"/>
          <w:bCs w:val="1"/>
          <w:color w:val="auto"/>
        </w:rPr>
        <w:t xml:space="preserve"> </w:t>
      </w:r>
      <w:r>
        <w:rPr>
          <w:rFonts w:ascii="Arial" w:cs="Arial" w:eastAsia="Arial" w:hAnsi="Arial"/>
          <w:sz w:val="17"/>
          <w:szCs w:val="17"/>
          <w:color w:val="auto"/>
        </w:rPr>
        <w:t>by enhancing our packaging and measuring our performance, we can progress our core business principles, including protecting product quality and safety, improving supply chain efficiency and resiliency, investing in consumer-centric innovation and complying with evolving laws, rules and regulations. We employ a focused strategy that aims to: (1) reduce packaging; (2) evolve packaging; and (3) improve systems. We have made significant progress integrating this strategy into our local business strategies and roadmaps. For example, we have been able to reduce our virgin plastic use since 2020 and are converting from plastic packaging to alternative materials where we believe it is beneficial.</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We are also working with suppliers to secure more packaging materials consistent with our strategy and planning to scale solutions across relevant markets.</w:t>
      </w:r>
    </w:p>
    <w:p>
      <w:pPr>
        <w:sectPr>
          <w:pgSz w:w="11900" w:h="16838" w:orient="portrait"/>
          <w:cols w:equalWidth="0" w:num="1">
            <w:col w:w="9040"/>
          </w:cols>
          <w:pgMar w:left="1420" w:top="104" w:right="1439" w:bottom="1440" w:gutter="0" w:footer="0" w:header="0"/>
        </w:sectPr>
      </w:pPr>
    </w:p>
    <w:bookmarkStart w:id="96" w:name="page97"/>
    <w:bookmarkEnd w:id="96"/>
    <w:p>
      <w:pPr>
        <w:ind w:left="60"/>
        <w:spacing w:after="0"/>
        <w:rPr>
          <w:sz w:val="20"/>
          <w:szCs w:val="20"/>
          <w:color w:val="auto"/>
        </w:rPr>
      </w:pPr>
      <w:r>
        <w:rPr>
          <w:rFonts w:ascii="Arial" w:cs="Arial" w:eastAsia="Arial" w:hAnsi="Arial"/>
          <w:sz w:val="14"/>
          <w:szCs w:val="14"/>
          <w:b w:val="1"/>
          <w:bCs w:val="1"/>
          <w:color w:val="582C83"/>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219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10375" cy="721995"/>
                    </a:xfrm>
                    <a:prstGeom prst="rect">
                      <a:avLst/>
                    </a:prstGeom>
                    <a:noFill/>
                  </pic:spPr>
                </pic:pic>
              </a:graphicData>
            </a:graphic>
          </wp:anchor>
        </w:drawing>
        <w:t>110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8677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0" w:num="1">
            <w:col w:w="9039"/>
          </w:cols>
          <w:pgMar w:left="1420" w:top="6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39"/>
        <w:spacing w:after="0"/>
        <w:rPr>
          <w:sz w:val="20"/>
          <w:szCs w:val="20"/>
          <w:color w:val="auto"/>
        </w:rPr>
      </w:pPr>
      <w:r>
        <w:rPr>
          <w:rFonts w:ascii="Arial" w:cs="Arial" w:eastAsia="Arial" w:hAnsi="Arial"/>
          <w:sz w:val="22"/>
          <w:szCs w:val="22"/>
          <w:b w:val="1"/>
          <w:bCs w:val="1"/>
          <w:color w:val="auto"/>
        </w:rPr>
        <w:t>ITEM 4. SHAREHOLDER PROPOSAL</w:t>
      </w:r>
    </w:p>
    <w:p>
      <w:pPr>
        <w:spacing w:after="0" w:line="37" w:lineRule="exact"/>
        <w:rPr>
          <w:sz w:val="20"/>
          <w:szCs w:val="20"/>
          <w:color w:val="auto"/>
        </w:rPr>
      </w:pPr>
    </w:p>
    <w:p>
      <w:pPr>
        <w:jc w:val="right"/>
        <w:ind w:right="39"/>
        <w:spacing w:after="0"/>
        <w:rPr>
          <w:sz w:val="20"/>
          <w:szCs w:val="20"/>
          <w:color w:val="auto"/>
        </w:rPr>
      </w:pPr>
      <w:r>
        <w:rPr>
          <w:rFonts w:ascii="Arial" w:cs="Arial" w:eastAsia="Arial" w:hAnsi="Arial"/>
          <w:sz w:val="14"/>
          <w:szCs w:val="14"/>
          <w:color w:val="auto"/>
        </w:rPr>
        <w:t>Report on Objective Evaluation of Plastics Packaging Policies</w:t>
      </w:r>
    </w:p>
    <w:p>
      <w:pPr>
        <w:spacing w:after="0" w:line="200" w:lineRule="exact"/>
        <w:rPr>
          <w:sz w:val="20"/>
          <w:szCs w:val="20"/>
          <w:color w:val="auto"/>
        </w:rPr>
      </w:pPr>
    </w:p>
    <w:p>
      <w:pPr>
        <w:spacing w:after="0" w:line="233" w:lineRule="exact"/>
        <w:rPr>
          <w:sz w:val="20"/>
          <w:szCs w:val="20"/>
          <w:color w:val="auto"/>
        </w:rPr>
      </w:pPr>
    </w:p>
    <w:p>
      <w:pPr>
        <w:ind w:right="299"/>
        <w:spacing w:after="0" w:line="264" w:lineRule="auto"/>
        <w:rPr>
          <w:sz w:val="20"/>
          <w:szCs w:val="20"/>
          <w:color w:val="auto"/>
        </w:rPr>
      </w:pPr>
      <w:r>
        <w:rPr>
          <w:rFonts w:ascii="Arial" w:cs="Arial" w:eastAsia="Arial" w:hAnsi="Arial"/>
          <w:sz w:val="17"/>
          <w:szCs w:val="17"/>
          <w:b w:val="1"/>
          <w:bCs w:val="1"/>
          <w:color w:val="auto"/>
        </w:rPr>
        <w:t xml:space="preserve">We actively engage in efforts to help address and mitigate plastic waste. </w:t>
      </w:r>
      <w:r>
        <w:rPr>
          <w:rFonts w:ascii="Arial" w:cs="Arial" w:eastAsia="Arial" w:hAnsi="Arial"/>
          <w:sz w:val="17"/>
          <w:szCs w:val="17"/>
          <w:color w:val="auto"/>
        </w:rPr>
        <w:t>We support the development of</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policy, infrastructure and capabilities that help increase packaging waste collection and recycling. We support Extended Producer Responsibility (“EPR”) policies that cover the development of systems supporting the collection of all types of plastic packaging.</w:t>
      </w:r>
      <w:r>
        <w:rPr>
          <w:rFonts w:ascii="Arial" w:cs="Arial" w:eastAsia="Arial" w:hAnsi="Arial"/>
          <w:sz w:val="22"/>
          <w:szCs w:val="22"/>
          <w:color w:val="auto"/>
          <w:vertAlign w:val="superscript"/>
        </w:rPr>
        <w:t>3</w:t>
      </w:r>
      <w:r>
        <w:rPr>
          <w:rFonts w:ascii="Arial" w:cs="Arial" w:eastAsia="Arial" w:hAnsi="Arial"/>
          <w:sz w:val="17"/>
          <w:szCs w:val="17"/>
          <w:color w:val="auto"/>
        </w:rPr>
        <w:t xml:space="preserve"> We engage closely with policymakers, investors and other companies to help advance systems focused on addressing plastic waste.</w:t>
      </w:r>
    </w:p>
    <w:p>
      <w:pPr>
        <w:spacing w:after="0" w:line="77" w:lineRule="exact"/>
        <w:rPr>
          <w:sz w:val="20"/>
          <w:szCs w:val="20"/>
          <w:color w:val="auto"/>
        </w:rPr>
      </w:pPr>
    </w:p>
    <w:p>
      <w:pPr>
        <w:ind w:right="99"/>
        <w:spacing w:after="0" w:line="250" w:lineRule="auto"/>
        <w:rPr>
          <w:sz w:val="20"/>
          <w:szCs w:val="20"/>
          <w:color w:val="auto"/>
        </w:rPr>
      </w:pPr>
      <w:r>
        <w:rPr>
          <w:rFonts w:ascii="Arial" w:cs="Arial" w:eastAsia="Arial" w:hAnsi="Arial"/>
          <w:sz w:val="17"/>
          <w:szCs w:val="17"/>
          <w:color w:val="auto"/>
        </w:rPr>
        <w:t xml:space="preserve">We partner with, and invest in, ventures focused on tackling plastic waste. For example, through our </w:t>
      </w:r>
      <w:r>
        <w:rPr>
          <w:rFonts w:ascii="Arial" w:cs="Arial" w:eastAsia="Arial" w:hAnsi="Arial"/>
          <w:sz w:val="17"/>
          <w:szCs w:val="17"/>
          <w:i w:val="1"/>
          <w:iCs w:val="1"/>
          <w:color w:val="auto"/>
        </w:rPr>
        <w:t>Sustainable</w:t>
      </w:r>
      <w:r>
        <w:rPr>
          <w:rFonts w:ascii="Arial" w:cs="Arial" w:eastAsia="Arial" w:hAnsi="Arial"/>
          <w:sz w:val="17"/>
          <w:szCs w:val="17"/>
          <w:color w:val="auto"/>
        </w:rPr>
        <w:t xml:space="preserve"> </w:t>
      </w:r>
      <w:r>
        <w:rPr>
          <w:rFonts w:ascii="Arial" w:cs="Arial" w:eastAsia="Arial" w:hAnsi="Arial"/>
          <w:sz w:val="17"/>
          <w:szCs w:val="17"/>
          <w:i w:val="1"/>
          <w:iCs w:val="1"/>
          <w:color w:val="auto"/>
        </w:rPr>
        <w:t>Futures</w:t>
      </w:r>
      <w:r>
        <w:rPr>
          <w:rFonts w:ascii="Arial" w:cs="Arial" w:eastAsia="Arial" w:hAnsi="Arial"/>
          <w:sz w:val="22"/>
          <w:szCs w:val="22"/>
          <w:color w:val="auto"/>
          <w:vertAlign w:val="superscript"/>
        </w:rPr>
        <w:t>4</w:t>
      </w:r>
      <w:r>
        <w:rPr>
          <w:rFonts w:ascii="Arial" w:cs="Arial" w:eastAsia="Arial" w:hAnsi="Arial"/>
          <w:sz w:val="17"/>
          <w:szCs w:val="17"/>
          <w:i w:val="1"/>
          <w:iCs w:val="1"/>
          <w:color w:val="auto"/>
        </w:rPr>
        <w:t xml:space="preserve"> </w:t>
      </w:r>
      <w:r>
        <w:rPr>
          <w:rFonts w:ascii="Arial" w:cs="Arial" w:eastAsia="Arial" w:hAnsi="Arial"/>
          <w:sz w:val="17"/>
          <w:szCs w:val="17"/>
          <w:color w:val="auto"/>
        </w:rPr>
        <w:t>impact investment initiative, launched in 2021, we have partnered with Circulate Capital to support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designed to help scale collection and recycling infrastructure in India, Southeast Asia, Latin America, and the Caribbean.</w:t>
      </w:r>
      <w:r>
        <w:rPr>
          <w:rFonts w:ascii="Arial" w:cs="Arial" w:eastAsia="Arial" w:hAnsi="Arial"/>
          <w:sz w:val="22"/>
          <w:szCs w:val="22"/>
          <w:color w:val="auto"/>
          <w:vertAlign w:val="superscript"/>
        </w:rPr>
        <w:t>5</w:t>
      </w:r>
      <w:r>
        <w:rPr>
          <w:rFonts w:ascii="Arial" w:cs="Arial" w:eastAsia="Arial" w:hAnsi="Arial"/>
          <w:sz w:val="17"/>
          <w:szCs w:val="17"/>
          <w:color w:val="auto"/>
        </w:rPr>
        <w:t xml:space="preserve"> We have also invested in Pack2Earth, an advanced materials company in Spain, focused on developing bio-based materials that provide more sustainable alternatives to single-use plastics, including flexible packaging. Through our second CoLab Tech accelerator program, we have been working with Outlander Materials, a Netherlands company that has created a technology that upcycles food industry waste into a flexible, lightweight packaging alternative to single-use plastics.</w:t>
      </w:r>
      <w:r>
        <w:rPr>
          <w:rFonts w:ascii="Arial" w:cs="Arial" w:eastAsia="Arial" w:hAnsi="Arial"/>
          <w:sz w:val="22"/>
          <w:szCs w:val="22"/>
          <w:color w:val="auto"/>
          <w:vertAlign w:val="superscript"/>
        </w:rPr>
        <w:t>6</w:t>
      </w:r>
      <w:r>
        <w:rPr>
          <w:rFonts w:ascii="Arial" w:cs="Arial" w:eastAsia="Arial" w:hAnsi="Arial"/>
          <w:sz w:val="17"/>
          <w:szCs w:val="17"/>
          <w:color w:val="auto"/>
        </w:rPr>
        <w:t xml:space="preserve"> We believe these investments and partnerships, along with our own internal initiatives, will help advance our work.</w:t>
      </w:r>
    </w:p>
    <w:p>
      <w:pPr>
        <w:spacing w:after="0" w:line="107" w:lineRule="exact"/>
        <w:rPr>
          <w:sz w:val="20"/>
          <w:szCs w:val="20"/>
          <w:color w:val="auto"/>
        </w:rPr>
      </w:pPr>
    </w:p>
    <w:p>
      <w:pPr>
        <w:ind w:right="19"/>
        <w:spacing w:after="0" w:line="276" w:lineRule="auto"/>
        <w:rPr>
          <w:sz w:val="20"/>
          <w:szCs w:val="20"/>
          <w:color w:val="auto"/>
        </w:rPr>
      </w:pPr>
      <w:r>
        <w:rPr>
          <w:rFonts w:ascii="Arial" w:cs="Arial" w:eastAsia="Arial" w:hAnsi="Arial"/>
          <w:sz w:val="17"/>
          <w:szCs w:val="17"/>
          <w:color w:val="auto"/>
        </w:rPr>
        <w:t xml:space="preserve">In summary, we have a thoughtful packaging strategy supported by our investments, our focus on leading practices and our work with third-party businesses, as well as our own cross-functional initiatives and subject matter expertise. This approach, as well as our other sustainability initiatives and broader corporate strategy, have been designed to help accelerate our growth and competitiveness. We regularly disclose the details of our progress toward our packaging and other goals in our annual </w:t>
      </w:r>
      <w:r>
        <w:rPr>
          <w:rFonts w:ascii="Arial" w:cs="Arial" w:eastAsia="Arial" w:hAnsi="Arial"/>
          <w:sz w:val="17"/>
          <w:szCs w:val="17"/>
          <w:i w:val="1"/>
          <w:iCs w:val="1"/>
          <w:color w:val="auto"/>
        </w:rPr>
        <w:t>Snacking Made Right Report</w:t>
      </w:r>
      <w:r>
        <w:rPr>
          <w:rFonts w:ascii="Arial" w:cs="Arial" w:eastAsia="Arial" w:hAnsi="Arial"/>
          <w:sz w:val="17"/>
          <w:szCs w:val="17"/>
          <w:color w:val="auto"/>
        </w:rPr>
        <w:t xml:space="preserve"> and on our website. Therefore, we believe that the report requested by the proposal would be costly, duplicative of current efforts, and fail to provide meaningful additional information for our shareholders.</w:t>
      </w:r>
    </w:p>
    <w:p>
      <w:pPr>
        <w:spacing w:after="0" w:line="91" w:lineRule="exact"/>
        <w:rPr>
          <w:sz w:val="20"/>
          <w:szCs w:val="20"/>
          <w:color w:val="auto"/>
        </w:rPr>
      </w:pPr>
    </w:p>
    <w:p>
      <w:pPr>
        <w:ind w:left="260" w:right="119" w:hanging="253"/>
        <w:spacing w:after="0" w:line="263" w:lineRule="auto"/>
        <w:tabs>
          <w:tab w:leader="none" w:pos="26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See Mondelēz International, Snacking Made Right Report 2024 (“Snacking Made Right Report”), p. 33, available at https://www.mondelezinternational.com/ assets/Snacking-Made-Right/SMR-Report/2024/2024-MDLZ-Snacking-Made-Right-ESG-Report.pdf</w:t>
      </w:r>
    </w:p>
    <w:p>
      <w:pPr>
        <w:ind w:left="260" w:hanging="253"/>
        <w:spacing w:after="0"/>
        <w:tabs>
          <w:tab w:leader="none" w:pos="260" w:val="left"/>
        </w:tabs>
        <w:numPr>
          <w:ilvl w:val="0"/>
          <w:numId w:val="124"/>
        </w:numPr>
        <w:rPr>
          <w:rFonts w:ascii="Arial" w:cs="Arial" w:eastAsia="Arial" w:hAnsi="Arial"/>
          <w:sz w:val="13"/>
          <w:szCs w:val="13"/>
          <w:color w:val="auto"/>
        </w:rPr>
      </w:pPr>
      <w:r>
        <w:rPr>
          <w:rFonts w:ascii="Arial" w:cs="Arial" w:eastAsia="Arial" w:hAnsi="Arial"/>
          <w:sz w:val="13"/>
          <w:szCs w:val="13"/>
          <w:i w:val="1"/>
          <w:iCs w:val="1"/>
          <w:color w:val="auto"/>
        </w:rPr>
        <w:t xml:space="preserve">Id. </w:t>
      </w:r>
      <w:r>
        <w:rPr>
          <w:rFonts w:ascii="Arial" w:cs="Arial" w:eastAsia="Arial" w:hAnsi="Arial"/>
          <w:sz w:val="13"/>
          <w:szCs w:val="13"/>
          <w:color w:val="auto"/>
        </w:rPr>
        <w:t>at 33-34.</w:t>
      </w:r>
    </w:p>
    <w:p>
      <w:pPr>
        <w:spacing w:after="0" w:line="12" w:lineRule="exact"/>
        <w:rPr>
          <w:rFonts w:ascii="Arial" w:cs="Arial" w:eastAsia="Arial" w:hAnsi="Arial"/>
          <w:sz w:val="13"/>
          <w:szCs w:val="13"/>
          <w:color w:val="auto"/>
        </w:rPr>
      </w:pPr>
    </w:p>
    <w:p>
      <w:pPr>
        <w:ind w:left="260" w:hanging="253"/>
        <w:spacing w:after="0"/>
        <w:tabs>
          <w:tab w:leader="none" w:pos="260" w:val="left"/>
        </w:tabs>
        <w:numPr>
          <w:ilvl w:val="0"/>
          <w:numId w:val="124"/>
        </w:numPr>
        <w:rPr>
          <w:rFonts w:ascii="Arial" w:cs="Arial" w:eastAsia="Arial" w:hAnsi="Arial"/>
          <w:sz w:val="13"/>
          <w:szCs w:val="13"/>
          <w:color w:val="auto"/>
        </w:rPr>
      </w:pPr>
      <w:r>
        <w:rPr>
          <w:rFonts w:ascii="Arial" w:cs="Arial" w:eastAsia="Arial" w:hAnsi="Arial"/>
          <w:sz w:val="13"/>
          <w:szCs w:val="13"/>
          <w:i w:val="1"/>
          <w:iCs w:val="1"/>
          <w:color w:val="auto"/>
        </w:rPr>
        <w:t xml:space="preserve">Id. </w:t>
      </w:r>
      <w:r>
        <w:rPr>
          <w:rFonts w:ascii="Arial" w:cs="Arial" w:eastAsia="Arial" w:hAnsi="Arial"/>
          <w:sz w:val="13"/>
          <w:szCs w:val="13"/>
          <w:color w:val="auto"/>
        </w:rPr>
        <w:t>at 33.</w:t>
      </w:r>
    </w:p>
    <w:p>
      <w:pPr>
        <w:spacing w:after="0" w:line="12" w:lineRule="exact"/>
        <w:rPr>
          <w:rFonts w:ascii="Arial" w:cs="Arial" w:eastAsia="Arial" w:hAnsi="Arial"/>
          <w:sz w:val="13"/>
          <w:szCs w:val="13"/>
          <w:color w:val="auto"/>
        </w:rPr>
      </w:pPr>
    </w:p>
    <w:p>
      <w:pPr>
        <w:ind w:left="260" w:hanging="253"/>
        <w:spacing w:after="0"/>
        <w:tabs>
          <w:tab w:leader="none" w:pos="260" w:val="left"/>
        </w:tabs>
        <w:numPr>
          <w:ilvl w:val="0"/>
          <w:numId w:val="124"/>
        </w:numPr>
        <w:rPr>
          <w:rFonts w:ascii="Arial" w:cs="Arial" w:eastAsia="Arial" w:hAnsi="Arial"/>
          <w:sz w:val="13"/>
          <w:szCs w:val="13"/>
          <w:color w:val="auto"/>
        </w:rPr>
      </w:pPr>
      <w:r>
        <w:rPr>
          <w:rFonts w:ascii="Arial" w:cs="Arial" w:eastAsia="Arial" w:hAnsi="Arial"/>
          <w:sz w:val="13"/>
          <w:szCs w:val="13"/>
          <w:i w:val="1"/>
          <w:iCs w:val="1"/>
          <w:color w:val="auto"/>
        </w:rPr>
        <w:t xml:space="preserve">See </w:t>
      </w:r>
      <w:r>
        <w:rPr>
          <w:rFonts w:ascii="Arial" w:cs="Arial" w:eastAsia="Arial" w:hAnsi="Arial"/>
          <w:sz w:val="13"/>
          <w:szCs w:val="13"/>
          <w:color w:val="auto"/>
        </w:rPr>
        <w:t>https://ir.mondelezinternational.com/news-releases/news-release-details/mondelez-international-launches-sustainable-futures-advance</w:t>
      </w:r>
    </w:p>
    <w:p>
      <w:pPr>
        <w:spacing w:after="0" w:line="12" w:lineRule="exact"/>
        <w:rPr>
          <w:rFonts w:ascii="Arial" w:cs="Arial" w:eastAsia="Arial" w:hAnsi="Arial"/>
          <w:sz w:val="13"/>
          <w:szCs w:val="13"/>
          <w:color w:val="auto"/>
        </w:rPr>
      </w:pPr>
    </w:p>
    <w:p>
      <w:pPr>
        <w:ind w:left="260" w:hanging="253"/>
        <w:spacing w:after="0"/>
        <w:tabs>
          <w:tab w:leader="none" w:pos="260" w:val="left"/>
        </w:tabs>
        <w:numPr>
          <w:ilvl w:val="0"/>
          <w:numId w:val="124"/>
        </w:numPr>
        <w:rPr>
          <w:rFonts w:ascii="Arial" w:cs="Arial" w:eastAsia="Arial" w:hAnsi="Arial"/>
          <w:sz w:val="13"/>
          <w:szCs w:val="13"/>
          <w:color w:val="auto"/>
        </w:rPr>
      </w:pPr>
      <w:r>
        <w:rPr>
          <w:rFonts w:ascii="Arial" w:cs="Arial" w:eastAsia="Arial" w:hAnsi="Arial"/>
          <w:sz w:val="13"/>
          <w:szCs w:val="13"/>
          <w:i w:val="1"/>
          <w:iCs w:val="1"/>
          <w:color w:val="auto"/>
        </w:rPr>
        <w:t xml:space="preserve">See </w:t>
      </w:r>
      <w:r>
        <w:rPr>
          <w:rFonts w:ascii="Arial" w:cs="Arial" w:eastAsia="Arial" w:hAnsi="Arial"/>
          <w:sz w:val="13"/>
          <w:szCs w:val="13"/>
          <w:color w:val="auto"/>
        </w:rPr>
        <w:t>https://www.mondelezinternational.com/news/joining-circulate-capital-in-latin-america/</w:t>
      </w:r>
    </w:p>
    <w:p>
      <w:pPr>
        <w:spacing w:after="0" w:line="22" w:lineRule="exact"/>
        <w:rPr>
          <w:rFonts w:ascii="Arial" w:cs="Arial" w:eastAsia="Arial" w:hAnsi="Arial"/>
          <w:sz w:val="13"/>
          <w:szCs w:val="13"/>
          <w:color w:val="auto"/>
        </w:rPr>
      </w:pPr>
    </w:p>
    <w:p>
      <w:pPr>
        <w:ind w:left="260" w:hanging="253"/>
        <w:spacing w:after="0"/>
        <w:tabs>
          <w:tab w:leader="none" w:pos="260" w:val="left"/>
        </w:tabs>
        <w:numPr>
          <w:ilvl w:val="0"/>
          <w:numId w:val="124"/>
        </w:numPr>
        <w:rPr>
          <w:rFonts w:ascii="Arial" w:cs="Arial" w:eastAsia="Arial" w:hAnsi="Arial"/>
          <w:sz w:val="13"/>
          <w:szCs w:val="13"/>
          <w:color w:val="auto"/>
        </w:rPr>
      </w:pPr>
      <w:r>
        <w:rPr>
          <w:rFonts w:ascii="Arial" w:cs="Arial" w:eastAsia="Arial" w:hAnsi="Arial"/>
          <w:sz w:val="13"/>
          <w:szCs w:val="13"/>
          <w:i w:val="1"/>
          <w:iCs w:val="1"/>
          <w:color w:val="auto"/>
        </w:rPr>
        <w:t xml:space="preserve">See </w:t>
      </w:r>
      <w:r>
        <w:rPr>
          <w:rFonts w:ascii="Arial" w:cs="Arial" w:eastAsia="Arial" w:hAnsi="Arial"/>
          <w:sz w:val="13"/>
          <w:szCs w:val="13"/>
          <w:color w:val="auto"/>
        </w:rPr>
        <w:t>https://ir.mondelezinternational.com/news-releases/news-release-details/mondelez-international-selects-10-start-ups-participate-second</w:t>
      </w:r>
    </w:p>
    <w:p>
      <w:pPr>
        <w:spacing w:after="0" w:line="309" w:lineRule="exact"/>
        <w:rPr>
          <w:sz w:val="20"/>
          <w:szCs w:val="20"/>
          <w:color w:val="auto"/>
        </w:rPr>
      </w:pPr>
    </w:p>
    <w:p>
      <w:pPr>
        <w:ind w:left="920" w:right="839"/>
        <w:spacing w:after="0" w:line="327" w:lineRule="auto"/>
        <w:rPr>
          <w:sz w:val="20"/>
          <w:szCs w:val="20"/>
          <w:color w:val="auto"/>
        </w:rPr>
      </w:pPr>
      <w:r>
        <w:rPr>
          <w:rFonts w:ascii="Arial" w:cs="Arial" w:eastAsia="Arial" w:hAnsi="Arial"/>
          <w:sz w:val="18"/>
          <w:szCs w:val="18"/>
          <w:b w:val="1"/>
          <w:bCs w:val="1"/>
          <w:color w:val="FFFFFF"/>
        </w:rPr>
        <w:t>THE BOARD HAS CAREFULLY CONSIDERED THIS SHAREHOLDER PROPOSAL AND RECOMMENDS THAT YOU VOTE AGAINST THE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582C83"/>
        </w:rPr>
        <w:t>2026 PROXY STATEMENT |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7620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10375" cy="762000"/>
                    </a:xfrm>
                    <a:prstGeom prst="rect">
                      <a:avLst/>
                    </a:prstGeom>
                    <a:noFill/>
                  </pic:spPr>
                </pic:pic>
              </a:graphicData>
            </a:graphic>
          </wp:anchor>
        </w:drawing>
      </w:r>
    </w:p>
    <w:p>
      <w:pPr>
        <w:sectPr>
          <w:pgSz w:w="11900" w:h="16838" w:orient="portrait"/>
          <w:cols w:equalWidth="0" w:num="1">
            <w:col w:w="9039"/>
          </w:cols>
          <w:pgMar w:left="1420" w:top="697" w:right="1440"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45"/>
          <w:szCs w:val="45"/>
          <w:b w:val="1"/>
          <w:bCs w:val="1"/>
          <w:color w:val="582C83"/>
        </w:rPr>
        <w:t>ITEM 5.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-279400</wp:posOffset>
            </wp:positionV>
            <wp:extent cx="6810375" cy="80943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10375" cy="809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ADOPT INDEPENDENT BOARD CHAIRMAN POLICY</w:t>
      </w:r>
    </w:p>
    <w:p>
      <w:pPr>
        <w:spacing w:after="0" w:line="191" w:lineRule="exact"/>
        <w:rPr>
          <w:sz w:val="20"/>
          <w:szCs w:val="20"/>
          <w:color w:val="auto"/>
        </w:rPr>
      </w:pPr>
    </w:p>
    <w:p>
      <w:pPr>
        <w:ind w:right="299"/>
        <w:spacing w:after="0" w:line="301" w:lineRule="auto"/>
        <w:rPr>
          <w:sz w:val="20"/>
          <w:szCs w:val="20"/>
          <w:color w:val="auto"/>
        </w:rPr>
      </w:pPr>
      <w:r>
        <w:rPr>
          <w:rFonts w:ascii="Arial" w:cs="Arial" w:eastAsia="Arial" w:hAnsi="Arial"/>
          <w:sz w:val="17"/>
          <w:szCs w:val="17"/>
          <w:color w:val="auto"/>
        </w:rPr>
        <w:t>John Chevedden, 2215 Nelson Avenue, No. 205, Redondo Beach, CA 90278, beneficial owner of 100 shares of the Company’s Common Stock, is the proponent of the following shareholder proposal.</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Proposal 5 — Independent Board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right="239"/>
        <w:spacing w:after="0" w:line="291" w:lineRule="auto"/>
        <w:rPr>
          <w:sz w:val="20"/>
          <w:szCs w:val="20"/>
          <w:color w:val="auto"/>
        </w:rPr>
      </w:pPr>
      <w:r>
        <w:rPr>
          <w:rFonts w:ascii="Arial" w:cs="Arial" w:eastAsia="Arial" w:hAnsi="Arial"/>
          <w:sz w:val="17"/>
          <w:szCs w:val="17"/>
          <w:color w:val="auto"/>
        </w:rPr>
        <w:t>Shareholders request that the Board of Directors adopt an enduring policy, and amend the governing documents as necessary including the Corporate Governance Guidelines in order that 2 separate people hold the office of the Chairman and the office of the CEO as soon as possible.</w:t>
      </w:r>
    </w:p>
    <w:p>
      <w:pPr>
        <w:spacing w:after="0" w:line="72" w:lineRule="exact"/>
        <w:rPr>
          <w:sz w:val="20"/>
          <w:szCs w:val="20"/>
          <w:color w:val="auto"/>
        </w:rPr>
      </w:pPr>
    </w:p>
    <w:p>
      <w:pPr>
        <w:ind w:left="200" w:right="59"/>
        <w:spacing w:after="0" w:line="301" w:lineRule="auto"/>
        <w:rPr>
          <w:sz w:val="20"/>
          <w:szCs w:val="20"/>
          <w:color w:val="auto"/>
        </w:rPr>
      </w:pPr>
      <w:r>
        <w:rPr>
          <w:rFonts w:ascii="Arial" w:cs="Arial" w:eastAsia="Arial" w:hAnsi="Arial"/>
          <w:sz w:val="17"/>
          <w:szCs w:val="17"/>
          <w:color w:val="auto"/>
        </w:rPr>
        <w:t>The Chairman of the Board shall be an Independent Director. An independent Lead Director shall not be a substitute for an independent Board Chairman.</w:t>
      </w:r>
    </w:p>
    <w:p>
      <w:pPr>
        <w:spacing w:after="0" w:line="63" w:lineRule="exact"/>
        <w:rPr>
          <w:sz w:val="20"/>
          <w:szCs w:val="20"/>
          <w:color w:val="auto"/>
        </w:rPr>
      </w:pPr>
    </w:p>
    <w:p>
      <w:pPr>
        <w:ind w:left="200" w:right="139"/>
        <w:spacing w:after="0" w:line="282" w:lineRule="auto"/>
        <w:rPr>
          <w:sz w:val="20"/>
          <w:szCs w:val="20"/>
          <w:color w:val="auto"/>
        </w:rPr>
      </w:pPr>
      <w:r>
        <w:rPr>
          <w:rFonts w:ascii="Arial" w:cs="Arial" w:eastAsia="Arial" w:hAnsi="Arial"/>
          <w:sz w:val="17"/>
          <w:szCs w:val="17"/>
          <w:color w:val="auto"/>
        </w:rPr>
        <w:t>The Board shall have the discretion to select an interim Chairman of the Board, who is not an Independent Director, to serve while the Board is required to seek an Independent Chairman of the Board on an accelerated basis. This policy could be phased in when there is a contract renewal for our current CEO or for the next CEO transition although it is better to adopt it now to obtain the maximum benefit.</w:t>
      </w:r>
    </w:p>
    <w:p>
      <w:pPr>
        <w:spacing w:after="0" w:line="80" w:lineRule="exact"/>
        <w:rPr>
          <w:sz w:val="20"/>
          <w:szCs w:val="20"/>
          <w:color w:val="auto"/>
        </w:rPr>
      </w:pPr>
    </w:p>
    <w:p>
      <w:pPr>
        <w:ind w:left="200" w:right="359"/>
        <w:spacing w:after="0" w:line="283" w:lineRule="auto"/>
        <w:rPr>
          <w:sz w:val="20"/>
          <w:szCs w:val="20"/>
          <w:color w:val="auto"/>
        </w:rPr>
      </w:pPr>
      <w:r>
        <w:rPr>
          <w:rFonts w:ascii="Arial" w:cs="Arial" w:eastAsia="Arial" w:hAnsi="Arial"/>
          <w:sz w:val="17"/>
          <w:szCs w:val="17"/>
          <w:color w:val="auto"/>
        </w:rPr>
        <w:t>An independent Board Chairman at all times improves corporate governance by bringing impartiality, objective oversight, and external expertise to board decisions, mitigating conflicts of interest, enhancing transparency, and boosting shareholder confidence.</w:t>
      </w:r>
    </w:p>
    <w:p>
      <w:pPr>
        <w:spacing w:after="0" w:line="78" w:lineRule="exact"/>
        <w:rPr>
          <w:sz w:val="20"/>
          <w:szCs w:val="20"/>
          <w:color w:val="auto"/>
        </w:rPr>
      </w:pPr>
    </w:p>
    <w:p>
      <w:pPr>
        <w:ind w:left="200" w:right="819"/>
        <w:spacing w:after="0" w:line="291" w:lineRule="auto"/>
        <w:rPr>
          <w:sz w:val="20"/>
          <w:szCs w:val="20"/>
          <w:color w:val="auto"/>
        </w:rPr>
      </w:pPr>
      <w:r>
        <w:rPr>
          <w:rFonts w:ascii="Arial" w:cs="Arial" w:eastAsia="Arial" w:hAnsi="Arial"/>
          <w:sz w:val="17"/>
          <w:szCs w:val="17"/>
          <w:color w:val="auto"/>
        </w:rPr>
        <w:t>This detached perspective allows the chairman to focus on shareholder interests, strengthen management accountability, and provide critical checks and balances, ultimately contributing to long-term sustainability and credibility.</w:t>
      </w:r>
    </w:p>
    <w:p>
      <w:pPr>
        <w:spacing w:after="0" w:line="58" w:lineRule="exact"/>
        <w:rPr>
          <w:sz w:val="20"/>
          <w:szCs w:val="20"/>
          <w:color w:val="auto"/>
        </w:rPr>
      </w:pPr>
    </w:p>
    <w:p>
      <w:pPr>
        <w:ind w:left="200" w:right="379"/>
        <w:spacing w:after="0" w:line="317" w:lineRule="auto"/>
        <w:rPr>
          <w:sz w:val="20"/>
          <w:szCs w:val="20"/>
          <w:color w:val="auto"/>
        </w:rPr>
      </w:pPr>
      <w:r>
        <w:rPr>
          <w:rFonts w:ascii="Arial" w:cs="Arial" w:eastAsia="Arial" w:hAnsi="Arial"/>
          <w:sz w:val="17"/>
          <w:szCs w:val="17"/>
          <w:color w:val="auto"/>
        </w:rPr>
        <w:t>An independent Board Chairman could also help Mondelez International (MDLZ) deal with future headwinds like those that emerged in 2025:</w:t>
      </w:r>
    </w:p>
    <w:p>
      <w:pPr>
        <w:spacing w:after="0" w:line="37" w:lineRule="exact"/>
        <w:rPr>
          <w:sz w:val="20"/>
          <w:szCs w:val="20"/>
          <w:color w:val="auto"/>
        </w:rPr>
      </w:pPr>
    </w:p>
    <w:p>
      <w:pPr>
        <w:ind w:left="200" w:right="119"/>
        <w:spacing w:after="0" w:line="291" w:lineRule="auto"/>
        <w:rPr>
          <w:sz w:val="20"/>
          <w:szCs w:val="20"/>
          <w:color w:val="auto"/>
        </w:rPr>
      </w:pPr>
      <w:r>
        <w:rPr>
          <w:rFonts w:ascii="Arial" w:cs="Arial" w:eastAsia="Arial" w:hAnsi="Arial"/>
          <w:sz w:val="17"/>
          <w:szCs w:val="17"/>
          <w:color w:val="auto"/>
        </w:rPr>
        <w:t>MDLZ faced significant pressure and criticism from British lawmakers and the B4Ukraine campaign for failing to exit the Russian market following the invasion of Ukraine. By continuing to operate and pay taxes in Russia, critics argued MDLZ was “in essence funding Russia’s war machine.”</w:t>
      </w:r>
    </w:p>
    <w:p>
      <w:pPr>
        <w:spacing w:after="0" w:line="72" w:lineRule="exact"/>
        <w:rPr>
          <w:sz w:val="20"/>
          <w:szCs w:val="20"/>
          <w:color w:val="auto"/>
        </w:rPr>
      </w:pPr>
    </w:p>
    <w:p>
      <w:pPr>
        <w:ind w:left="200" w:right="579"/>
        <w:spacing w:after="0" w:line="291" w:lineRule="auto"/>
        <w:rPr>
          <w:sz w:val="20"/>
          <w:szCs w:val="20"/>
          <w:color w:val="auto"/>
        </w:rPr>
      </w:pPr>
      <w:r>
        <w:rPr>
          <w:rFonts w:ascii="Arial" w:cs="Arial" w:eastAsia="Arial" w:hAnsi="Arial"/>
          <w:sz w:val="17"/>
          <w:szCs w:val="17"/>
          <w:color w:val="auto"/>
        </w:rPr>
        <w:t>The Rainforest Action Network (RAN) and other NGOs protested MDLZ at its May 2025 shareholder meeting, accusing MDLZ of continuing to profit from the destruction of critical forests and the violation of Indigenous communities’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112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23393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10375" cy="233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60"/>
        <w:spacing w:after="0"/>
        <w:rPr>
          <w:sz w:val="20"/>
          <w:szCs w:val="20"/>
          <w:color w:val="auto"/>
        </w:rPr>
      </w:pPr>
      <w:r>
        <w:rPr>
          <w:rFonts w:ascii="Arial" w:cs="Arial" w:eastAsia="Arial" w:hAnsi="Arial"/>
          <w:sz w:val="21"/>
          <w:szCs w:val="21"/>
          <w:b w:val="1"/>
          <w:bCs w:val="1"/>
          <w:color w:val="auto"/>
        </w:rPr>
        <w:t>ITEM 5. SHAREHOLDER PROPOSAL</w:t>
      </w:r>
    </w:p>
    <w:p>
      <w:pPr>
        <w:spacing w:after="0" w:line="48" w:lineRule="exact"/>
        <w:rPr>
          <w:sz w:val="20"/>
          <w:szCs w:val="20"/>
          <w:color w:val="auto"/>
        </w:rPr>
      </w:pPr>
    </w:p>
    <w:p>
      <w:pPr>
        <w:ind w:left="6280"/>
        <w:spacing w:after="0"/>
        <w:rPr>
          <w:sz w:val="20"/>
          <w:szCs w:val="20"/>
          <w:color w:val="auto"/>
        </w:rPr>
      </w:pPr>
      <w:r>
        <w:rPr>
          <w:rFonts w:ascii="Arial" w:cs="Arial" w:eastAsia="Arial" w:hAnsi="Arial"/>
          <w:sz w:val="14"/>
          <w:szCs w:val="14"/>
          <w:color w:val="auto"/>
        </w:rPr>
        <w:t>Adopt Independent Board Chairman Policy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 w:right="279"/>
        <w:spacing w:after="0" w:line="283" w:lineRule="auto"/>
        <w:rPr>
          <w:sz w:val="20"/>
          <w:szCs w:val="20"/>
          <w:color w:val="auto"/>
        </w:rPr>
      </w:pPr>
      <w:r>
        <w:rPr>
          <w:rFonts w:ascii="Arial" w:cs="Arial" w:eastAsia="Arial" w:hAnsi="Arial"/>
          <w:sz w:val="17"/>
          <w:szCs w:val="17"/>
          <w:color w:val="auto"/>
        </w:rPr>
        <w:t>MDLZ faced backlash from civil society groups for requesting a delay to the European Union Deforestation Regulation (EUDR), arguing the sector needed more time to prepare administratively. Campaigners argued that a delay would weaken the law’s effectiveness.</w:t>
      </w:r>
    </w:p>
    <w:p>
      <w:pPr>
        <w:spacing w:after="0" w:line="78" w:lineRule="exact"/>
        <w:rPr>
          <w:sz w:val="20"/>
          <w:szCs w:val="20"/>
          <w:color w:val="auto"/>
        </w:rPr>
      </w:pPr>
    </w:p>
    <w:p>
      <w:pPr>
        <w:ind w:left="200" w:right="259"/>
        <w:spacing w:after="0" w:line="282" w:lineRule="auto"/>
        <w:rPr>
          <w:sz w:val="20"/>
          <w:szCs w:val="20"/>
          <w:color w:val="auto"/>
        </w:rPr>
      </w:pPr>
      <w:r>
        <w:rPr>
          <w:rFonts w:ascii="Arial" w:cs="Arial" w:eastAsia="Arial" w:hAnsi="Arial"/>
          <w:sz w:val="17"/>
          <w:szCs w:val="17"/>
          <w:color w:val="auto"/>
        </w:rPr>
        <w:t>The San Francisco City Attorney filed a first-of-its-kind lawsuit against MDLZ and other major food manufacturers, alleging they engineered and marketed “addictive and harmful” ultra-processed foods, thereby creating a public health crisis. The suit seeks to stop deceptive marketing and obtain financial penalties to address associated healthcare costs.</w:t>
      </w:r>
    </w:p>
    <w:p>
      <w:pPr>
        <w:sectPr>
          <w:pgSz w:w="11900" w:h="16838" w:orient="portrait"/>
          <w:cols w:equalWidth="0" w:num="1">
            <w:col w:w="9039"/>
          </w:cols>
          <w:pgMar w:left="1420" w:top="64" w:right="1440" w:bottom="0" w:gutter="0" w:footer="0" w:header="0"/>
        </w:sectPr>
      </w:pPr>
    </w:p>
    <w:bookmarkStart w:id="98" w:name="page99"/>
    <w:bookmarkEnd w:id="98"/>
    <w:p>
      <w:pPr>
        <w:spacing w:after="0" w:line="10" w:lineRule="exact"/>
        <w:rPr>
          <w:sz w:val="20"/>
          <w:szCs w:val="20"/>
          <w:color w:val="auto"/>
        </w:rPr>
      </w:pPr>
    </w:p>
    <w:p>
      <w:pPr>
        <w:ind w:left="200" w:right="340"/>
        <w:spacing w:after="0" w:line="229" w:lineRule="auto"/>
        <w:rPr>
          <w:sz w:val="20"/>
          <w:szCs w:val="20"/>
          <w:color w:val="auto"/>
        </w:rPr>
      </w:pPr>
      <w:r>
        <w:rPr>
          <w:rFonts w:ascii="Arial" w:cs="Arial" w:eastAsia="Arial" w:hAnsi="Arial"/>
          <w:sz w:val="17"/>
          <w:szCs w:val="17"/>
          <w:color w:val="auto"/>
        </w:rPr>
        <w:t>MDLZ faced criticism from financial analysts and investors after it cut its 2025 adjusted earnings per share (EPS) forecast twice during the year, citing high cocoa costs, general inflation, and softening consumer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-213360</wp:posOffset>
            </wp:positionV>
            <wp:extent cx="6810375" cy="65170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10375" cy="65170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7"/>
          <w:szCs w:val="17"/>
          <w:color w:val="auto"/>
        </w:rPr>
        <w:t>(especially in North America and Europe).</w:t>
      </w:r>
    </w:p>
    <w:p>
      <w:pPr>
        <w:spacing w:after="0" w:line="129" w:lineRule="exact"/>
        <w:rPr>
          <w:sz w:val="20"/>
          <w:szCs w:val="20"/>
          <w:color w:val="auto"/>
        </w:rPr>
      </w:pPr>
    </w:p>
    <w:p>
      <w:pPr>
        <w:ind w:left="200" w:right="580"/>
        <w:spacing w:after="0" w:line="317" w:lineRule="auto"/>
        <w:rPr>
          <w:sz w:val="20"/>
          <w:szCs w:val="20"/>
          <w:color w:val="auto"/>
        </w:rPr>
      </w:pPr>
      <w:r>
        <w:rPr>
          <w:rFonts w:ascii="Arial" w:cs="Arial" w:eastAsia="Arial" w:hAnsi="Arial"/>
          <w:sz w:val="17"/>
          <w:szCs w:val="17"/>
          <w:color w:val="auto"/>
        </w:rPr>
        <w:t>The cut in the profit outlook suggested MDLZ was struggling to pass on elevated input costs to price-sensitive consumers, leading to margin pressure and a decline in net income.</w:t>
      </w:r>
    </w:p>
    <w:p>
      <w:pPr>
        <w:spacing w:after="0" w:line="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Please vote yes:</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Independent Board Chairman — Proposal 5</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STATEMENT IN OPPOSITION TO ITEM 5 .</w:t>
      </w:r>
    </w:p>
    <w:p>
      <w:pPr>
        <w:spacing w:after="0" w:line="129"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Our Board has a fiduciary duty to act as it believes to be in the best interests of the Company and its shareholders, including determining the Board leadership structure that will best serve those interests. Forcing the Company to adopt an inflexible, one-size-fits-all approach to Board leadership would hamper the Board’s ability to effectively promote Company and shareholder interests.</w:t>
      </w:r>
    </w:p>
    <w:p>
      <w:pPr>
        <w:spacing w:after="0" w:line="61"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auto"/>
        </w:rPr>
        <w:t xml:space="preserve">Our current By-Laws provide the necessary flexibility for the Board to make thoughtful decisions about the appropriate leadership structure for the Company at a given time in light of the Company’s needs and circumstances. </w:t>
      </w:r>
      <w:r>
        <w:rPr>
          <w:rFonts w:ascii="Arial" w:cs="Arial" w:eastAsia="Arial" w:hAnsi="Arial"/>
          <w:sz w:val="17"/>
          <w:szCs w:val="17"/>
          <w:color w:val="auto"/>
        </w:rPr>
        <w:t>The Board takes several factors into account when considering which leadership structure will allow it</w:t>
      </w:r>
      <w:r>
        <w:rPr>
          <w:rFonts w:ascii="Arial" w:cs="Arial" w:eastAsia="Arial" w:hAnsi="Arial"/>
          <w:sz w:val="17"/>
          <w:szCs w:val="17"/>
          <w:b w:val="1"/>
          <w:bCs w:val="1"/>
          <w:color w:val="auto"/>
        </w:rPr>
        <w:t xml:space="preserve"> </w:t>
      </w:r>
      <w:r>
        <w:rPr>
          <w:rFonts w:ascii="Arial" w:cs="Arial" w:eastAsia="Arial" w:hAnsi="Arial"/>
          <w:sz w:val="17"/>
          <w:szCs w:val="17"/>
          <w:color w:val="auto"/>
        </w:rPr>
        <w:t>to carry out its responsibilities most effectively and best represent Company and shareholder interests. These factors include our specific business needs, our operating and financial performance, industry conditions, economic and regulatory environments, the results of Board and committee annual self-assessments, the advantages and disadvantages of alternative leadership structures based on circumstances at that time, shareholder input, and our corporate governance practices. Removing this flexibility would restrict the Board’s ability to adapt to circumstances and select a leadership structure that it believes to be in the best interests of the Company and its shareholders at the time. Furthermore, the Board annually reviews its leadership structure and evaluates what structure is appropriate for the Company and in shareholders’ best interests.</w:t>
      </w:r>
    </w:p>
    <w:p>
      <w:pPr>
        <w:spacing w:after="0" w:line="70"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At any time that the Board determines it is in the best interests of the Company and its shareholders to have a non-independent Chair, our Corporate Governance Guidelines require the Board to select an Independent Lead Director with substantive duties and responsibilities. The independent directors select the Independent Lead Director annually for a one-year term, and the Board considers the rotation of the Independent Lead Director at such intervals as the Board determines on the recommendation of the Governance Committee.</w:t>
      </w:r>
    </w:p>
    <w:p>
      <w:pPr>
        <w:spacing w:after="0" w:line="67"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color w:val="auto"/>
        </w:rPr>
        <w:t xml:space="preserve">We have a robust Independent Lead Director role with substantive leadership responsibilities. </w:t>
      </w:r>
      <w:r>
        <w:rPr>
          <w:rFonts w:ascii="Arial" w:cs="Arial" w:eastAsia="Arial" w:hAnsi="Arial"/>
          <w:sz w:val="17"/>
          <w:szCs w:val="17"/>
          <w:color w:val="auto"/>
        </w:rPr>
        <w:t>The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Lead Director duties and responsibilities are broad and have considerable overlap with those of an independent Board Chair, promoting strong management oversight and accountability. The Independent Lead Director engages in planning and approving meeting schedules and agendas, including the review of briefing materials, and has the power to call meetings of the independent directors or the Board as needed. As part of the Board’s regular agenda, the Independent Lead Director presides over executive sessions of the independent directors without the participation of the Chair and Chief Executive Officer. The Independent Lead Director also serves as a direct point of contact for shareholders, and during Fall/Winter2025, consistent with past practice, the Independent Lead Director led engagements with a number of</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582C83"/>
        </w:rPr>
        <w:t>2026 PROXY STATEMENT |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39166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10375" cy="3916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5. SHAREHOLDER PROPOSAL</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Adopt Independent Board Chairman Policy</w:t>
      </w:r>
    </w:p>
    <w:p>
      <w:pPr>
        <w:spacing w:after="0" w:line="200" w:lineRule="exact"/>
        <w:rPr>
          <w:sz w:val="20"/>
          <w:szCs w:val="20"/>
          <w:color w:val="auto"/>
        </w:rPr>
      </w:pPr>
    </w:p>
    <w:p>
      <w:pPr>
        <w:spacing w:after="0" w:line="233"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investors. The Independent Lead Director also frequently confers with the other independent directors on various Board and Company matters. Finally, the independent directors also may assign to the Independent Lead Director additional duties over and above these fixed, robust responsibilities as they deem appropriate.</w:t>
      </w:r>
    </w:p>
    <w:p>
      <w:pPr>
        <w:spacing w:after="0" w:line="5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color w:val="auto"/>
        </w:rPr>
        <w:t xml:space="preserve">Our corporate governance structures and processes are consistent with leading practices that promote effective oversight and accountability. </w:t>
      </w:r>
      <w:r>
        <w:rPr>
          <w:rFonts w:ascii="Arial" w:cs="Arial" w:eastAsia="Arial" w:hAnsi="Arial"/>
          <w:sz w:val="17"/>
          <w:szCs w:val="17"/>
          <w:color w:val="auto"/>
        </w:rPr>
        <w:t>Our corporate governance practices reinforce the Board’s alignment with, and</w:t>
      </w:r>
      <w:r>
        <w:rPr>
          <w:rFonts w:ascii="Arial" w:cs="Arial" w:eastAsia="Arial" w:hAnsi="Arial"/>
          <w:sz w:val="17"/>
          <w:szCs w:val="17"/>
          <w:b w:val="1"/>
          <w:bCs w:val="1"/>
          <w:color w:val="auto"/>
        </w:rPr>
        <w:t xml:space="preserve"> </w:t>
      </w:r>
      <w:r>
        <w:rPr>
          <w:rFonts w:ascii="Arial" w:cs="Arial" w:eastAsia="Arial" w:hAnsi="Arial"/>
          <w:sz w:val="17"/>
          <w:szCs w:val="17"/>
          <w:color w:val="auto"/>
        </w:rPr>
        <w:t>accountability to, shareholders, and promote effective Board oversight of management. In addition to the governance practices discussed above, all of our directors are elected annually by majority vote, directors and committees engage in an annual self-assessment process, shareholders have the right to call special meetings at which they can nominate director candidates or propose other business, and shareholders can communicate directly with the Board in addition to the Independent Lead Director. Every Board committee is comprised entirely of, and is chaired by, independent directors, and each committee has a clearly defined area of oversight regarding key risks and Company functions.</w:t>
      </w:r>
    </w:p>
    <w:p>
      <w:pPr>
        <w:spacing w:after="0" w:line="72"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color w:val="auto"/>
        </w:rPr>
        <w:t xml:space="preserve">Our view aligns with the majority of our shareholders, as expressed in recent engagements and past meetings. </w:t>
      </w:r>
      <w:r>
        <w:rPr>
          <w:rFonts w:ascii="Arial" w:cs="Arial" w:eastAsia="Arial" w:hAnsi="Arial"/>
          <w:sz w:val="17"/>
          <w:szCs w:val="17"/>
          <w:color w:val="auto"/>
        </w:rPr>
        <w:t>We regularly engage with our shareholders. Since the 2025 Annual Meeting of Shareholders, we reached out to shareholders representing approximately 57% of our outstanding shares and engaged with 23 different shareholders that collectively represented approximately 35% of our outstanding shares. During those engagements, shareholders were generally satisfied with MDLZ’s current board structure and its oversight capacity. Our shareholders have also been asked to vote on similar shareholder proposals requesting an independent board chairman at three of our four last annual meetings (in 2024, 2023, and 2022). Each time more than two-thirds of shareholders rejected the proposal.</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In summary, our Board believes it is in the best of interests of the Company and its shareholders for it to retain the</w:t>
      </w:r>
    </w:p>
    <w:p>
      <w:pPr>
        <w:sectPr>
          <w:pgSz w:w="11900" w:h="16848" w:orient="portrait"/>
          <w:cols w:equalWidth="0" w:num="1">
            <w:col w:w="9040"/>
          </w:cols>
          <w:pgMar w:left="1420" w:top="104" w:right="1439" w:bottom="0" w:gutter="0" w:footer="0" w:header="0"/>
        </w:sectPr>
      </w:pPr>
    </w:p>
    <w:bookmarkStart w:id="99" w:name="page100"/>
    <w:bookmarkEnd w:id="99"/>
    <w:p>
      <w:pPr>
        <w:ind w:right="39"/>
        <w:spacing w:after="0" w:line="282" w:lineRule="auto"/>
        <w:rPr>
          <w:sz w:val="20"/>
          <w:szCs w:val="20"/>
          <w:color w:val="auto"/>
        </w:rPr>
      </w:pPr>
      <w:r>
        <w:rPr>
          <w:rFonts w:ascii="Arial" w:cs="Arial" w:eastAsia="Arial" w:hAnsi="Arial"/>
          <w:sz w:val="17"/>
          <w:szCs w:val="17"/>
          <w:color w:val="auto"/>
        </w:rPr>
        <w:t>flexibility to select the leadership structure that is best suited to meet the needs of the Company and its shareholders at any given time. Adopting a rigid policy as requested by this proposal would impair the Board’s ability to structure its leadership in the manner it believes most effectively serves Company and shareholder interests. The proposal is unnecessary due to our strong governance practices, including our robust Independent Lead Director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-560070</wp:posOffset>
            </wp:positionV>
            <wp:extent cx="6810375" cy="49396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10375" cy="4939665"/>
                    </a:xfrm>
                    <a:prstGeom prst="rect">
                      <a:avLst/>
                    </a:prstGeom>
                    <a:noFill/>
                  </pic:spPr>
                </pic:pic>
              </a:graphicData>
            </a:graphic>
          </wp:anchor>
        </w:drawing>
      </w:r>
    </w:p>
    <w:p>
      <w:pPr>
        <w:spacing w:after="0" w:line="239" w:lineRule="exact"/>
        <w:rPr>
          <w:sz w:val="20"/>
          <w:szCs w:val="20"/>
          <w:color w:val="auto"/>
        </w:rPr>
      </w:pPr>
    </w:p>
    <w:p>
      <w:pPr>
        <w:ind w:left="920" w:right="839"/>
        <w:spacing w:after="0" w:line="327" w:lineRule="auto"/>
        <w:rPr>
          <w:sz w:val="20"/>
          <w:szCs w:val="20"/>
          <w:color w:val="auto"/>
        </w:rPr>
      </w:pPr>
      <w:r>
        <w:rPr>
          <w:rFonts w:ascii="Arial" w:cs="Arial" w:eastAsia="Arial" w:hAnsi="Arial"/>
          <w:sz w:val="18"/>
          <w:szCs w:val="18"/>
          <w:b w:val="1"/>
          <w:bCs w:val="1"/>
          <w:color w:val="FFFFFF"/>
        </w:rPr>
        <w:t>THE BOARD HAS CAREFULLY CONSIDERED THIS SHAREHOLDER PROPOSAL AND RECOMMENDS THAT YOU VOTE AGAINST THE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114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54940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10375" cy="549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59"/>
        <w:spacing w:after="0" w:line="310" w:lineRule="auto"/>
        <w:rPr>
          <w:sz w:val="20"/>
          <w:szCs w:val="20"/>
          <w:color w:val="auto"/>
        </w:rPr>
      </w:pPr>
      <w:r>
        <w:rPr>
          <w:rFonts w:ascii="Arial" w:cs="Arial" w:eastAsia="Arial" w:hAnsi="Arial"/>
          <w:sz w:val="44"/>
          <w:szCs w:val="44"/>
          <w:b w:val="1"/>
          <w:bCs w:val="1"/>
          <w:color w:val="582C83"/>
        </w:rPr>
        <w:t>OTHER MATTERS THAT MAY BE PRESENTED AT THE ANNUAL MEETING</w:t>
      </w:r>
    </w:p>
    <w:p>
      <w:pPr>
        <w:spacing w:after="0" w:line="200" w:lineRule="exact"/>
        <w:rPr>
          <w:sz w:val="20"/>
          <w:szCs w:val="20"/>
          <w:color w:val="auto"/>
        </w:rPr>
      </w:pPr>
    </w:p>
    <w:p>
      <w:pPr>
        <w:spacing w:after="0" w:line="382" w:lineRule="exact"/>
        <w:rPr>
          <w:sz w:val="20"/>
          <w:szCs w:val="20"/>
          <w:color w:val="auto"/>
        </w:rPr>
      </w:pPr>
    </w:p>
    <w:p>
      <w:pPr>
        <w:ind w:right="159"/>
        <w:spacing w:after="0" w:line="282" w:lineRule="auto"/>
        <w:rPr>
          <w:sz w:val="20"/>
          <w:szCs w:val="20"/>
          <w:color w:val="auto"/>
        </w:rPr>
      </w:pPr>
      <w:r>
        <w:rPr>
          <w:rFonts w:ascii="Arial" w:cs="Arial" w:eastAsia="Arial" w:hAnsi="Arial"/>
          <w:sz w:val="17"/>
          <w:szCs w:val="17"/>
          <w:color w:val="auto"/>
        </w:rPr>
        <w:t>Other than Items 1 through 5, we do not expect any matters to be presented for action at the Annual Meeting. The requirements for shareholders to properly submit proposals and nominations at the Annual Meeting were described in the proxy statement for the 2025 Annual Meeting of Shareholders. (They are similar to those described below under “2027 Annual Meeting of Shareholders”). The Chair of the Annual Meeting may refuse to allow the presentation of a proposal or a nomination for the Board at the Annual Meeting if it is not properly submitted.</w:t>
      </w:r>
    </w:p>
    <w:p>
      <w:pPr>
        <w:spacing w:after="0" w:line="80" w:lineRule="exact"/>
        <w:rPr>
          <w:sz w:val="20"/>
          <w:szCs w:val="20"/>
          <w:color w:val="auto"/>
        </w:rPr>
      </w:pPr>
    </w:p>
    <w:p>
      <w:pPr>
        <w:ind w:right="199"/>
        <w:spacing w:after="0" w:line="301" w:lineRule="auto"/>
        <w:rPr>
          <w:sz w:val="20"/>
          <w:szCs w:val="20"/>
          <w:color w:val="auto"/>
        </w:rPr>
      </w:pPr>
      <w:r>
        <w:rPr>
          <w:rFonts w:ascii="Arial" w:cs="Arial" w:eastAsia="Arial" w:hAnsi="Arial"/>
          <w:sz w:val="17"/>
          <w:szCs w:val="17"/>
          <w:color w:val="auto"/>
        </w:rPr>
        <w:t>If any other matters properly come before the Annual Meeting, your proxy gives authority to the designated proxies to vote on such matters in accordance with their best judgment.</w:t>
      </w:r>
    </w:p>
    <w:p>
      <w:pPr>
        <w:sectPr>
          <w:pgSz w:w="11900" w:h="16838" w:orient="portrait"/>
          <w:cols w:equalWidth="0" w:num="1">
            <w:col w:w="9039"/>
          </w:cols>
          <w:pgMar w:left="1420" w:top="104" w:right="1440"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3623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10375" cy="336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582C83"/>
        </w:rPr>
        <w:t>2026 PROXY STATEMENT |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70713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10375" cy="7071360"/>
                    </a:xfrm>
                    <a:prstGeom prst="rect">
                      <a:avLst/>
                    </a:prstGeom>
                    <a:noFill/>
                  </pic:spPr>
                </pic:pic>
              </a:graphicData>
            </a:graphic>
          </wp:anchor>
        </w:drawing>
      </w:r>
    </w:p>
    <w:p>
      <w:pPr>
        <w:sectPr>
          <w:pgSz w:w="11900" w:h="16838" w:orient="portrait"/>
          <w:cols w:equalWidth="0" w:num="1">
            <w:col w:w="9060"/>
          </w:cols>
          <w:pgMar w:left="1420" w:top="1440" w:right="1419" w:bottom="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560"/>
        <w:spacing w:after="0" w:line="274" w:lineRule="auto"/>
        <w:rPr>
          <w:sz w:val="20"/>
          <w:szCs w:val="20"/>
          <w:color w:val="auto"/>
        </w:rPr>
      </w:pPr>
      <w:r>
        <w:rPr>
          <w:rFonts w:ascii="Arial" w:cs="Arial" w:eastAsia="Arial" w:hAnsi="Arial"/>
          <w:sz w:val="45"/>
          <w:szCs w:val="45"/>
          <w:b w:val="1"/>
          <w:bCs w:val="1"/>
          <w:color w:val="582C83"/>
        </w:rPr>
        <w:t>FREQUENTLY ASKED QUESTIONS ABOUT THE ANNUAL MEETING AND VOTING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VOTING INSTRUCTIONS TO PROXIES</w:t>
      </w:r>
    </w:p>
    <w:p>
      <w:pPr>
        <w:spacing w:after="0" w:line="20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the Annual Meeting, the individuals named as proxies on each shareholder’s Proxy Card will vote the shares represented by the Proxy Card FOR or AGAINST or ABSTAIN from voting with respect to each of the nominees listed in Item 1 and with respect to Items 2, 3, 4, and 5, as indicated in the shareholder’s voting instructions. If a properly executed Proxy Card does not include voting instructions, proxies will vote FOR each of the director nominees listed in Item 1, FOR Items 2 and 3, and AGAINST Items 4 and 5, and in their discretion upon such other business as properly comes before the meeting.</w:t>
      </w:r>
    </w:p>
    <w:p>
      <w:pPr>
        <w:spacing w:after="0" w:line="312" w:lineRule="exact"/>
        <w:rPr>
          <w:sz w:val="20"/>
          <w:szCs w:val="20"/>
          <w:color w:val="auto"/>
        </w:rPr>
      </w:pPr>
    </w:p>
    <w:p>
      <w:pPr>
        <w:ind w:left="60"/>
        <w:spacing w:after="0"/>
        <w:rPr>
          <w:sz w:val="20"/>
          <w:szCs w:val="20"/>
          <w:color w:val="auto"/>
        </w:rPr>
      </w:pPr>
      <w:r>
        <w:rPr>
          <w:sz w:val="1"/>
          <w:szCs w:val="1"/>
          <w:color w:val="auto"/>
        </w:rPr>
        <w:drawing>
          <wp:inline distT="0" distB="0" distL="0" distR="0">
            <wp:extent cx="162560" cy="16319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ATTENDING AND VOTING AT THE ANNUAL MEETING</w:t>
      </w:r>
    </w:p>
    <w:p>
      <w:pPr>
        <w:spacing w:after="0" w:line="191"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 xml:space="preserve">The Annual Meeting will be held virtually. All shareholders of record, as of March 11, 2026, may attend, vote, and submit questions during the Annual Meeting by visiting </w:t>
      </w:r>
      <w:r>
        <w:rPr>
          <w:rFonts w:ascii="Arial" w:cs="Arial" w:eastAsia="Arial" w:hAnsi="Arial"/>
          <w:sz w:val="17"/>
          <w:szCs w:val="17"/>
          <w:b w:val="1"/>
          <w:bCs w:val="1"/>
          <w:i w:val="1"/>
          <w:iCs w:val="1"/>
          <w:color w:val="582C83"/>
        </w:rPr>
        <w:t>www.proxydocs.com/MDLZ</w:t>
      </w:r>
      <w:r>
        <w:rPr>
          <w:rFonts w:ascii="Arial" w:cs="Arial" w:eastAsia="Arial" w:hAnsi="Arial"/>
          <w:sz w:val="17"/>
          <w:szCs w:val="17"/>
          <w:color w:val="auto"/>
        </w:rPr>
        <w:t xml:space="preserve"> and using the control number that is shown on your Notice of Internet Availability of Proxy Materials (“Notice”), Proxy Card, or VIF. See Question 7 for detailed voting information. Registration is required online at </w:t>
      </w:r>
      <w:r>
        <w:rPr>
          <w:rFonts w:ascii="Arial" w:cs="Arial" w:eastAsia="Arial" w:hAnsi="Arial"/>
          <w:sz w:val="17"/>
          <w:szCs w:val="17"/>
          <w:b w:val="1"/>
          <w:bCs w:val="1"/>
          <w:i w:val="1"/>
          <w:iCs w:val="1"/>
          <w:color w:val="582C83"/>
        </w:rPr>
        <w:t>www.proxydocs.com/MDLZ</w:t>
      </w:r>
      <w:r>
        <w:rPr>
          <w:rFonts w:ascii="Arial" w:cs="Arial" w:eastAsia="Arial" w:hAnsi="Arial"/>
          <w:sz w:val="17"/>
          <w:szCs w:val="17"/>
          <w:color w:val="auto"/>
        </w:rPr>
        <w:t xml:space="preserve"> to attend the meeting.</w:t>
      </w:r>
    </w:p>
    <w:p>
      <w:pPr>
        <w:spacing w:after="0" w:line="265" w:lineRule="exact"/>
        <w:rPr>
          <w:sz w:val="20"/>
          <w:szCs w:val="20"/>
          <w:color w:val="auto"/>
        </w:rPr>
      </w:pPr>
    </w:p>
    <w:p>
      <w:pPr>
        <w:ind w:left="440" w:right="300" w:hanging="363"/>
        <w:spacing w:after="0"/>
        <w:rPr>
          <w:sz w:val="20"/>
          <w:szCs w:val="20"/>
          <w:color w:val="auto"/>
        </w:rPr>
      </w:pPr>
      <w:r>
        <w:rPr>
          <w:sz w:val="1"/>
          <w:szCs w:val="1"/>
          <w:color w:val="auto"/>
        </w:rPr>
        <w:drawing>
          <wp:inline distT="0" distB="0" distL="0" distR="0">
            <wp:extent cx="162560" cy="16256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9"/>
          <w:szCs w:val="29"/>
          <w:b w:val="1"/>
          <w:bCs w:val="1"/>
          <w:color w:val="auto"/>
        </w:rPr>
        <w:t xml:space="preserve"> GETTING INFORMATION AND ASKING QUESTIONS BEFORE AND DURING THE ANNUAL MEETING</w:t>
      </w:r>
    </w:p>
    <w:p>
      <w:pPr>
        <w:spacing w:after="0" w:line="128" w:lineRule="exact"/>
        <w:rPr>
          <w:sz w:val="20"/>
          <w:szCs w:val="20"/>
          <w:color w:val="auto"/>
        </w:rPr>
      </w:pPr>
    </w:p>
    <w:p>
      <w:pPr>
        <w:ind w:right="20"/>
        <w:spacing w:after="0" w:line="222" w:lineRule="exact"/>
        <w:rPr>
          <w:sz w:val="20"/>
          <w:szCs w:val="20"/>
          <w:color w:val="auto"/>
        </w:rPr>
      </w:pPr>
      <w:r>
        <w:rPr>
          <w:rFonts w:ascii="Arial" w:cs="Arial" w:eastAsia="Arial" w:hAnsi="Arial"/>
          <w:sz w:val="17"/>
          <w:szCs w:val="17"/>
          <w:color w:val="auto"/>
        </w:rPr>
        <w:t xml:space="preserve">On April 3, 2026, an online portal will be available to shareholders of record at </w:t>
      </w:r>
      <w:r>
        <w:rPr>
          <w:rFonts w:ascii="Arial" w:cs="Arial" w:eastAsia="Arial" w:hAnsi="Arial"/>
          <w:sz w:val="17"/>
          <w:szCs w:val="17"/>
          <w:b w:val="1"/>
          <w:bCs w:val="1"/>
          <w:i w:val="1"/>
          <w:iCs w:val="1"/>
          <w:color w:val="582C83"/>
        </w:rPr>
        <w:t>www.proxydocs.com/MDLZ</w:t>
      </w:r>
      <w:r>
        <w:rPr>
          <w:rFonts w:ascii="Arial" w:cs="Arial" w:eastAsia="Arial" w:hAnsi="Arial"/>
          <w:sz w:val="17"/>
          <w:szCs w:val="17"/>
          <w:color w:val="auto"/>
        </w:rPr>
        <w:t>, where you can view and download our Proxy Materials and 2025 Form 10</w:t>
      </w:r>
      <w:r>
        <w:rPr>
          <w:rFonts w:ascii="MS PGothic" w:cs="MS PGothic" w:eastAsia="MS PGothic" w:hAnsi="MS PGothic"/>
          <w:sz w:val="17"/>
          <w:szCs w:val="17"/>
          <w:color w:val="auto"/>
        </w:rPr>
        <w:t>‑</w:t>
      </w:r>
      <w:r>
        <w:rPr>
          <w:rFonts w:ascii="Arial" w:cs="Arial" w:eastAsia="Arial" w:hAnsi="Arial"/>
          <w:sz w:val="17"/>
          <w:szCs w:val="17"/>
          <w:color w:val="auto"/>
        </w:rPr>
        <w:t xml:space="preserve">K and vote your shares. On the day of and during the Annual Meeting, you can view our agenda and meeting procedures and you can submit questions before or during the meeting at </w:t>
      </w:r>
      <w:r>
        <w:rPr>
          <w:rFonts w:ascii="Arial" w:cs="Arial" w:eastAsia="Arial" w:hAnsi="Arial"/>
          <w:sz w:val="17"/>
          <w:szCs w:val="17"/>
          <w:b w:val="1"/>
          <w:bCs w:val="1"/>
          <w:i w:val="1"/>
          <w:iCs w:val="1"/>
          <w:color w:val="582C83"/>
        </w:rPr>
        <w:t>www.proxydocs.com/MDLZ</w:t>
      </w:r>
      <w:r>
        <w:rPr>
          <w:rFonts w:ascii="Arial" w:cs="Arial" w:eastAsia="Arial" w:hAnsi="Arial"/>
          <w:sz w:val="17"/>
          <w:szCs w:val="17"/>
          <w:color w:val="auto"/>
        </w:rPr>
        <w:t>. Shareholders will have an opportunity to raise questions about the items of business for the meeting. In addition, after the business portion of the Annual Meeting concludes and the meeting is adjourned, shareholders will have another opportunity to raise questions of a more general nature. We intend to answer all questions submitted during the Annual Meeting that are pertinent to the Company and the items being voted on by shareholders as time permits and in accordance with our meeting procedures. Answers to questions not addressed during the Annual Meeting will be posted following the meeting on the investor relations section of our website as soon as practicable. Questions and answers will be grouped by topic, and substantially similar questions will be answered only once. To promote fairness, efficiently use the Company’s resources and address all shareholder questions, we will respond to no more than three questions from any single shareholder.</w:t>
      </w:r>
    </w:p>
    <w:p>
      <w:pPr>
        <w:sectPr>
          <w:pgSz w:w="11900" w:h="16838" w:orient="portrait"/>
          <w:cols w:equalWidth="0" w:num="1">
            <w:col w:w="9060"/>
          </w:cols>
          <w:pgMar w:left="1420" w:top="1440" w:right="1419" w:bottom="52" w:gutter="0" w:footer="0" w:header="0"/>
          <w:type w:val="continuous"/>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784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10375" cy="1784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116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6487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10375" cy="8648700"/>
                    </a:xfrm>
                    <a:prstGeom prst="rect">
                      <a:avLst/>
                    </a:prstGeom>
                    <a:noFill/>
                  </pic:spPr>
                </pic:pic>
              </a:graphicData>
            </a:graphic>
          </wp:anchor>
        </w:drawing>
      </w:r>
    </w:p>
    <w:p>
      <w:pPr>
        <w:sectPr>
          <w:pgSz w:w="11900" w:h="16838" w:orient="portrait"/>
          <w:cols w:equalWidth="0" w:num="1">
            <w:col w:w="9040"/>
          </w:cols>
          <w:pgMar w:left="1420" w:top="1440" w:right="1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40"/>
        <w:spacing w:after="0"/>
        <w:rPr>
          <w:sz w:val="20"/>
          <w:szCs w:val="20"/>
          <w:color w:val="auto"/>
        </w:rPr>
      </w:pPr>
      <w:r>
        <w:rPr>
          <w:rFonts w:ascii="Arial" w:cs="Arial" w:eastAsia="Arial" w:hAnsi="Arial"/>
          <w:sz w:val="22"/>
          <w:szCs w:val="22"/>
          <w:b w:val="1"/>
          <w:bCs w:val="1"/>
          <w:color w:val="auto"/>
        </w:rPr>
        <w:t>FREQUENTLY ASKED QUESTIONS ABOUT THE ANNUAL MEETING AND VOTING</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Frequently Asked Questions About the Annual Meeting and Voting</w:t>
      </w:r>
    </w:p>
    <w:p>
      <w:pPr>
        <w:spacing w:after="0" w:line="200" w:lineRule="exact"/>
        <w:rPr>
          <w:sz w:val="20"/>
          <w:szCs w:val="20"/>
          <w:color w:val="auto"/>
        </w:rPr>
      </w:pPr>
    </w:p>
    <w:p>
      <w:pPr>
        <w:spacing w:after="0" w:line="275" w:lineRule="exact"/>
        <w:rPr>
          <w:sz w:val="20"/>
          <w:szCs w:val="20"/>
          <w:color w:val="auto"/>
        </w:rPr>
      </w:pPr>
    </w:p>
    <w:p>
      <w:pPr>
        <w:ind w:left="440" w:right="760" w:hanging="363"/>
        <w:spacing w:after="0"/>
        <w:rPr>
          <w:sz w:val="20"/>
          <w:szCs w:val="20"/>
          <w:color w:val="auto"/>
        </w:rPr>
      </w:pPr>
      <w:r>
        <w:rPr>
          <w:sz w:val="1"/>
          <w:szCs w:val="1"/>
          <w:color w:val="auto"/>
        </w:rPr>
        <w:drawing>
          <wp:inline distT="0" distB="0" distL="0" distR="0">
            <wp:extent cx="162560" cy="163195"/>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FREQUENTLY ASKED QUESTIONS ABOUT THE ANNUAL MEETING AND VOTING</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1. When and where is the Annual Meeting?</w:t>
      </w:r>
    </w:p>
    <w:p>
      <w:pPr>
        <w:spacing w:after="0" w:line="129"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color w:val="auto"/>
        </w:rPr>
        <w:t xml:space="preserve">The Board has determined we will hold a virtual Annual Meeting conducted via webcast. We will hold the Annual Meeting at 9:00 a.m. CDT on May 20, 2026. Shareholders may attend, vote, and submit questions by registering at </w:t>
      </w:r>
      <w:r>
        <w:rPr>
          <w:rFonts w:ascii="Arial" w:cs="Arial" w:eastAsia="Arial" w:hAnsi="Arial"/>
          <w:sz w:val="17"/>
          <w:szCs w:val="17"/>
          <w:b w:val="1"/>
          <w:bCs w:val="1"/>
          <w:i w:val="1"/>
          <w:iCs w:val="1"/>
          <w:color w:val="582C83"/>
        </w:rPr>
        <w:t xml:space="preserve">www.proxydocs.com/MDLZ </w:t>
      </w:r>
      <w:r>
        <w:rPr>
          <w:rFonts w:ascii="Arial" w:cs="Arial" w:eastAsia="Arial" w:hAnsi="Arial"/>
          <w:sz w:val="17"/>
          <w:szCs w:val="17"/>
          <w:color w:val="000000"/>
        </w:rPr>
        <w:t>and using the control number shown on your Notice, Proxy Card, or VIF.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2. Who is entitled to vote at the Annual Meeting?</w:t>
      </w:r>
    </w:p>
    <w:p>
      <w:pPr>
        <w:spacing w:after="0" w:line="129"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The Board established March 11, 2026, as the record date (the “Record Date”) for the Annual Meeting. Each shareholder (registered or beneficial) who held shares of Common Stock at the close of business on the Record Date is entitled to receive notice of the Annual Meeting, to attend the Annual Meeting, and to vote on all matters that properly come before the Annual Meeting.</w:t>
      </w:r>
    </w:p>
    <w:p>
      <w:pPr>
        <w:spacing w:after="0" w:line="70" w:lineRule="exact"/>
        <w:rPr>
          <w:sz w:val="20"/>
          <w:szCs w:val="20"/>
          <w:color w:val="auto"/>
        </w:rPr>
      </w:pPr>
    </w:p>
    <w:p>
      <w:pPr>
        <w:ind w:right="80"/>
        <w:spacing w:after="0" w:line="334" w:lineRule="auto"/>
        <w:rPr>
          <w:sz w:val="20"/>
          <w:szCs w:val="20"/>
          <w:color w:val="auto"/>
        </w:rPr>
      </w:pPr>
      <w:r>
        <w:rPr>
          <w:rFonts w:ascii="Arial" w:cs="Arial" w:eastAsia="Arial" w:hAnsi="Arial"/>
          <w:sz w:val="17"/>
          <w:szCs w:val="17"/>
          <w:color w:val="auto"/>
        </w:rPr>
        <w:t>At the close of business on the Record Date, 1,283,456,590 shares of Common Stock were outstanding and entitled to vote. Each share is entitled to one vote on each matter to be voted upon at the Annual Meeting.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3. Why did I receive these Proxy Materials?</w:t>
      </w:r>
    </w:p>
    <w:p>
      <w:pPr>
        <w:spacing w:after="0" w:line="129" w:lineRule="exact"/>
        <w:rPr>
          <w:sz w:val="20"/>
          <w:szCs w:val="20"/>
          <w:color w:val="auto"/>
        </w:rPr>
      </w:pPr>
    </w:p>
    <w:p>
      <w:pPr>
        <w:ind w:right="40"/>
        <w:spacing w:after="0" w:line="216" w:lineRule="exact"/>
        <w:rPr>
          <w:sz w:val="20"/>
          <w:szCs w:val="20"/>
          <w:color w:val="auto"/>
        </w:rPr>
      </w:pPr>
      <w:r>
        <w:rPr>
          <w:rFonts w:ascii="Arial" w:cs="Arial" w:eastAsia="Arial" w:hAnsi="Arial"/>
          <w:sz w:val="17"/>
          <w:szCs w:val="17"/>
          <w:color w:val="auto"/>
        </w:rPr>
        <w:t>You received these Proxy Materials because as of the Record Date you directly or indirectly held and had the right to vote, shares of Common Stock. In connection with the Board’s solicitation of proxies to be voted at the Annual Meeting, we are providing shareholders entitled to vote at the Annual Meeting with a Notice of Internet Availability (the “Notice”) or this Proxy Statement, the 2025 Form 10</w:t>
      </w:r>
      <w:r>
        <w:rPr>
          <w:rFonts w:ascii="MS PGothic" w:cs="MS PGothic" w:eastAsia="MS PGothic" w:hAnsi="MS PGothic"/>
          <w:sz w:val="17"/>
          <w:szCs w:val="17"/>
          <w:color w:val="auto"/>
        </w:rPr>
        <w:t>‑</w:t>
      </w:r>
      <w:r>
        <w:rPr>
          <w:rFonts w:ascii="Arial" w:cs="Arial" w:eastAsia="Arial" w:hAnsi="Arial"/>
          <w:sz w:val="17"/>
          <w:szCs w:val="17"/>
          <w:color w:val="auto"/>
        </w:rPr>
        <w:t>K, and a Proxy Card or VIF. We are providing your Notice, Proxy Card, or VIF in the form of a paper card or a unique control number that allows you to give your proxy voting instructions online or, for the Proxy Card or VIF, by phone. We refer to these materials collectively as the “Proxy Materials.” These materials provide important information about Mondelēz International and describe the voting procedures and the matters to be voted on at the Annual Meeting.</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4. What is the difference between registered shareholders and beneficial shareholders?</w:t>
      </w:r>
    </w:p>
    <w:p>
      <w:pPr>
        <w:spacing w:after="0" w:line="129"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color w:val="auto"/>
        </w:rPr>
        <w:t>Shareholders who hold Mondelēz International stock directly with our stock registrar and transfer agent, EQ Shareowner Services, are registered shareholders. If you are a registered shareholder, the proxy distributors will send the Proxy Materials directly to you, and your vote instructs the proxies how to vote your shares.</w:t>
      </w:r>
    </w:p>
    <w:p>
      <w:pPr>
        <w:spacing w:after="0" w:line="6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Shareholders who hold stock indirectly through an account with an institutional or other nominee holder of stock, such as a broker or bank, are referred to as beneficial shareholders or shareholders “in street name.” If you are a beneficial shareholder, your broker, bank, or other nominee delivers the Proxy Materials to you, and your vote instructs your nominee how to vote your shares; your nominee in turn instructs the proxies how to vote your shares.</w:t>
      </w:r>
    </w:p>
    <w:p>
      <w:pPr>
        <w:spacing w:after="0" w:line="76" w:lineRule="exact"/>
        <w:rPr>
          <w:sz w:val="20"/>
          <w:szCs w:val="20"/>
          <w:color w:val="auto"/>
        </w:rPr>
      </w:pPr>
    </w:p>
    <w:p>
      <w:pPr>
        <w:ind w:right="300"/>
        <w:spacing w:after="0" w:line="283" w:lineRule="auto"/>
        <w:rPr>
          <w:sz w:val="20"/>
          <w:szCs w:val="20"/>
          <w:color w:val="auto"/>
        </w:rPr>
      </w:pPr>
      <w:r>
        <w:rPr>
          <w:rFonts w:ascii="Arial" w:cs="Arial" w:eastAsia="Arial" w:hAnsi="Arial"/>
          <w:sz w:val="17"/>
          <w:szCs w:val="17"/>
          <w:color w:val="auto"/>
        </w:rPr>
        <w:t>If you hold your shares beneficially in an employee benefit plan, your shares are voted by the trustee of the plan per your instructions. If you do not give instructions, your shares will be voted in accordance with the plan’s governing documents and applicable law.</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5. How is Mondelēz International distributing Proxy Materials?</w:t>
      </w:r>
    </w:p>
    <w:p>
      <w:pPr>
        <w:spacing w:after="0" w:line="142" w:lineRule="exact"/>
        <w:rPr>
          <w:sz w:val="20"/>
          <w:szCs w:val="20"/>
          <w:color w:val="auto"/>
        </w:rPr>
      </w:pPr>
    </w:p>
    <w:p>
      <w:pPr>
        <w:jc w:val="both"/>
        <w:ind w:right="220"/>
        <w:spacing w:after="0" w:line="274" w:lineRule="auto"/>
        <w:rPr>
          <w:sz w:val="20"/>
          <w:szCs w:val="20"/>
          <w:color w:val="auto"/>
        </w:rPr>
      </w:pPr>
      <w:r>
        <w:rPr>
          <w:rFonts w:ascii="Arial" w:cs="Arial" w:eastAsia="Arial" w:hAnsi="Arial"/>
          <w:sz w:val="17"/>
          <w:szCs w:val="17"/>
          <w:color w:val="auto"/>
        </w:rPr>
        <w:t>We are furnishing Proxy Materials to our shareholders primarily via “Notice and Access” delivery. On or about April 3, 2026, we mailed to our shareholders (other than those who previously requested email or paper delivery) the Notice containing instructions on how to access the Proxy Materials electronically.</w:t>
      </w:r>
    </w:p>
    <w:p>
      <w:pPr>
        <w:spacing w:after="0" w:line="73"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If you receive the Notice by mail, you will not receive a printed copy of the Proxy Materials. Instead, the Notice instructs you how to access the Proxy Materials and vote by going to a secure website. However, if you received the Notice by mail and would like to receive paper copies of the Proxy Materials in the mail on a one</w:t>
      </w:r>
      <w:r>
        <w:rPr>
          <w:rFonts w:ascii="MS PGothic" w:cs="MS PGothic" w:eastAsia="MS PGothic" w:hAnsi="MS PGothic"/>
          <w:sz w:val="17"/>
          <w:szCs w:val="17"/>
          <w:color w:val="auto"/>
        </w:rPr>
        <w:t>‑</w:t>
      </w:r>
      <w:r>
        <w:rPr>
          <w:rFonts w:ascii="Arial" w:cs="Arial" w:eastAsia="Arial" w:hAnsi="Arial"/>
          <w:sz w:val="17"/>
          <w:szCs w:val="17"/>
          <w:color w:val="auto"/>
        </w:rPr>
        <w:t>time or ongoing basis, or if you would like to receive an electronic copy of the Proxy Materials by email on a one</w:t>
      </w:r>
      <w:r>
        <w:rPr>
          <w:rFonts w:ascii="MS PGothic" w:cs="MS PGothic" w:eastAsia="MS PGothic" w:hAnsi="MS PGothic"/>
          <w:sz w:val="17"/>
          <w:szCs w:val="17"/>
          <w:color w:val="auto"/>
        </w:rPr>
        <w:t>‑</w:t>
      </w:r>
      <w:r>
        <w:rPr>
          <w:rFonts w:ascii="Arial" w:cs="Arial" w:eastAsia="Arial" w:hAnsi="Arial"/>
          <w:sz w:val="17"/>
          <w:szCs w:val="17"/>
          <w:color w:val="auto"/>
        </w:rPr>
        <w:t>time or ongoing basis, follow the instructions in the Notice for making such a request.</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Notice is not a Proxy Card. You cannot use it to vote your shares.</w:t>
      </w:r>
    </w:p>
    <w:p>
      <w:pPr>
        <w:spacing w:after="0" w:line="200" w:lineRule="exact"/>
        <w:rPr>
          <w:sz w:val="20"/>
          <w:szCs w:val="20"/>
          <w:color w:val="auto"/>
        </w:rPr>
      </w:pPr>
    </w:p>
    <w:p>
      <w:pPr>
        <w:spacing w:after="0" w:line="346"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582C83"/>
        </w:rPr>
        <w:t>2026 PROXY STATEMENT | 117</w:t>
      </w:r>
    </w:p>
    <w:p>
      <w:pPr>
        <w:sectPr>
          <w:pgSz w:w="11900" w:h="16838" w:orient="portrait"/>
          <w:cols w:equalWidth="0" w:num="1">
            <w:col w:w="9040"/>
          </w:cols>
          <w:pgMar w:left="1420" w:top="1440" w:right="1439" w:bottom="0" w:gutter="0" w:footer="0" w:header="0"/>
          <w:type w:val="continuous"/>
        </w:sectPr>
      </w:pPr>
    </w:p>
    <w:bookmarkStart w:id="102" w:name="page103"/>
    <w:bookmarkEnd w:id="102"/>
    <w:p>
      <w:pPr>
        <w:ind w:left="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1573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10375" cy="9157335"/>
                    </a:xfrm>
                    <a:prstGeom prst="rect">
                      <a:avLst/>
                    </a:prstGeom>
                    <a:noFill/>
                  </pic:spPr>
                </pic:pic>
              </a:graphicData>
            </a:graphic>
          </wp:anchor>
        </w:drawing>
        <w:t>FREQUENTLY ASKED QUESTIONS ABOUT THE ANNUAL MEETING AND VOTING</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Frequently Asked Questions About the Annual Meeting and Voting</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6. How may I request printed copies of the Proxy Materials?</w:t>
      </w:r>
    </w:p>
    <w:p>
      <w:pPr>
        <w:spacing w:after="0" w:line="91" w:lineRule="exact"/>
        <w:rPr>
          <w:sz w:val="20"/>
          <w:szCs w:val="20"/>
          <w:color w:val="auto"/>
        </w:rPr>
      </w:pPr>
    </w:p>
    <w:p>
      <w:pPr>
        <w:ind w:right="500"/>
        <w:spacing w:after="0" w:line="230" w:lineRule="exact"/>
        <w:rPr>
          <w:sz w:val="20"/>
          <w:szCs w:val="20"/>
          <w:color w:val="auto"/>
        </w:rPr>
      </w:pPr>
      <w:r>
        <w:rPr>
          <w:rFonts w:ascii="Arial" w:cs="Arial" w:eastAsia="Arial" w:hAnsi="Arial"/>
          <w:sz w:val="17"/>
          <w:szCs w:val="17"/>
          <w:b w:val="1"/>
          <w:bCs w:val="1"/>
          <w:color w:val="auto"/>
        </w:rPr>
        <w:t>We will send printed paper copies of Proxy Materials, including the 2025 Form 10</w:t>
      </w:r>
      <w:r>
        <w:rPr>
          <w:rFonts w:ascii="MS PGothic" w:cs="MS PGothic" w:eastAsia="MS PGothic" w:hAnsi="MS PGothic"/>
          <w:sz w:val="17"/>
          <w:szCs w:val="17"/>
          <w:color w:val="auto"/>
          <w:strike w:val="1"/>
        </w:rPr>
        <w:t>‑</w:t>
      </w:r>
      <w:r>
        <w:rPr>
          <w:rFonts w:ascii="Arial" w:cs="Arial" w:eastAsia="Arial" w:hAnsi="Arial"/>
          <w:sz w:val="17"/>
          <w:szCs w:val="17"/>
          <w:b w:val="1"/>
          <w:bCs w:val="1"/>
          <w:color w:val="auto"/>
        </w:rPr>
        <w:t>K, free of charge to any shareholder who requests copies in writing to: Shep Dunlap, Senior Vice President, Investor Relations, Mondelēz International, Inc., 905 West Fulton Market, Suite 200, Chicago, Illinois 60607.</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Shareholders may also request copies of these materials using one of the following methods:</w:t>
      </w:r>
    </w:p>
    <w:p>
      <w:pPr>
        <w:spacing w:after="0" w:line="77" w:lineRule="exact"/>
        <w:rPr>
          <w:sz w:val="20"/>
          <w:szCs w:val="20"/>
          <w:color w:val="auto"/>
        </w:rPr>
      </w:pPr>
    </w:p>
    <w:p>
      <w:pPr>
        <w:ind w:left="140" w:hanging="133"/>
        <w:spacing w:after="0" w:line="196" w:lineRule="exact"/>
        <w:tabs>
          <w:tab w:leader="none" w:pos="140" w:val="left"/>
        </w:tabs>
        <w:numPr>
          <w:ilvl w:val="0"/>
          <w:numId w:val="125"/>
        </w:numPr>
        <w:rPr>
          <w:rFonts w:ascii="Arial" w:cs="Arial" w:eastAsia="Arial" w:hAnsi="Arial"/>
          <w:sz w:val="17"/>
          <w:szCs w:val="17"/>
          <w:color w:val="582C83"/>
        </w:rPr>
      </w:pPr>
      <w:r>
        <w:rPr>
          <w:rFonts w:ascii="Arial" w:cs="Arial" w:eastAsia="Arial" w:hAnsi="Arial"/>
          <w:sz w:val="17"/>
          <w:szCs w:val="17"/>
          <w:color w:val="auto"/>
        </w:rPr>
        <w:t>By telephone: Call, free of charge, 1</w:t>
      </w:r>
      <w:r>
        <w:rPr>
          <w:rFonts w:ascii="MS PGothic" w:cs="MS PGothic" w:eastAsia="MS PGothic" w:hAnsi="MS PGothic"/>
          <w:sz w:val="17"/>
          <w:szCs w:val="17"/>
          <w:color w:val="auto"/>
        </w:rPr>
        <w:t>‑</w:t>
      </w:r>
      <w:r>
        <w:rPr>
          <w:rFonts w:ascii="Arial" w:cs="Arial" w:eastAsia="Arial" w:hAnsi="Arial"/>
          <w:sz w:val="17"/>
          <w:szCs w:val="17"/>
          <w:color w:val="auto"/>
        </w:rPr>
        <w:t>866</w:t>
      </w:r>
      <w:r>
        <w:rPr>
          <w:rFonts w:ascii="MS PGothic" w:cs="MS PGothic" w:eastAsia="MS PGothic" w:hAnsi="MS PGothic"/>
          <w:sz w:val="17"/>
          <w:szCs w:val="17"/>
          <w:color w:val="auto"/>
        </w:rPr>
        <w:t>‑</w:t>
      </w:r>
      <w:r>
        <w:rPr>
          <w:rFonts w:ascii="Arial" w:cs="Arial" w:eastAsia="Arial" w:hAnsi="Arial"/>
          <w:sz w:val="17"/>
          <w:szCs w:val="17"/>
          <w:color w:val="auto"/>
        </w:rPr>
        <w:t>648</w:t>
      </w:r>
      <w:r>
        <w:rPr>
          <w:rFonts w:ascii="MS PGothic" w:cs="MS PGothic" w:eastAsia="MS PGothic" w:hAnsi="MS PGothic"/>
          <w:sz w:val="17"/>
          <w:szCs w:val="17"/>
          <w:color w:val="auto"/>
        </w:rPr>
        <w:t>‑</w:t>
      </w:r>
      <w:r>
        <w:rPr>
          <w:rFonts w:ascii="Arial" w:cs="Arial" w:eastAsia="Arial" w:hAnsi="Arial"/>
          <w:sz w:val="17"/>
          <w:szCs w:val="17"/>
          <w:color w:val="auto"/>
        </w:rPr>
        <w:t>8133 in the United States and Canada.</w:t>
      </w:r>
    </w:p>
    <w:p>
      <w:pPr>
        <w:spacing w:after="0" w:line="91" w:lineRule="exact"/>
        <w:rPr>
          <w:rFonts w:ascii="Arial" w:cs="Arial" w:eastAsia="Arial" w:hAnsi="Arial"/>
          <w:sz w:val="17"/>
          <w:szCs w:val="17"/>
          <w:color w:val="582C83"/>
        </w:rPr>
      </w:pPr>
    </w:p>
    <w:p>
      <w:pPr>
        <w:ind w:left="140" w:right="400" w:hanging="133"/>
        <w:spacing w:after="0" w:line="270" w:lineRule="auto"/>
        <w:tabs>
          <w:tab w:leader="none" w:pos="140" w:val="left"/>
        </w:tabs>
        <w:numPr>
          <w:ilvl w:val="0"/>
          <w:numId w:val="125"/>
        </w:numPr>
        <w:rPr>
          <w:rFonts w:ascii="Arial" w:cs="Arial" w:eastAsia="Arial" w:hAnsi="Arial"/>
          <w:sz w:val="17"/>
          <w:szCs w:val="17"/>
          <w:color w:val="582C83"/>
        </w:rPr>
      </w:pPr>
      <w:r>
        <w:rPr>
          <w:rFonts w:ascii="Arial" w:cs="Arial" w:eastAsia="Arial" w:hAnsi="Arial"/>
          <w:sz w:val="17"/>
          <w:szCs w:val="17"/>
          <w:color w:val="auto"/>
        </w:rPr>
        <w:t xml:space="preserve">Via the Internet: Access the Internet, go to </w:t>
      </w:r>
      <w:r>
        <w:rPr>
          <w:rFonts w:ascii="Arial" w:cs="Arial" w:eastAsia="Arial" w:hAnsi="Arial"/>
          <w:sz w:val="17"/>
          <w:szCs w:val="17"/>
          <w:b w:val="1"/>
          <w:bCs w:val="1"/>
          <w:i w:val="1"/>
          <w:iCs w:val="1"/>
          <w:color w:val="582C83"/>
        </w:rPr>
        <w:t>www.proxydocs.com/MDLZ</w:t>
      </w:r>
      <w:r>
        <w:rPr>
          <w:rFonts w:ascii="Arial" w:cs="Arial" w:eastAsia="Arial" w:hAnsi="Arial"/>
          <w:sz w:val="17"/>
          <w:szCs w:val="17"/>
          <w:color w:val="auto"/>
        </w:rPr>
        <w:t>, and follow the instructions to log in and order copies. You can select from the following:</w:t>
      </w:r>
    </w:p>
    <w:p>
      <w:pPr>
        <w:ind w:left="340" w:hanging="203"/>
        <w:spacing w:after="0"/>
        <w:tabs>
          <w:tab w:leader="none" w:pos="340" w:val="left"/>
        </w:tabs>
        <w:numPr>
          <w:ilvl w:val="1"/>
          <w:numId w:val="125"/>
        </w:numPr>
        <w:rPr>
          <w:rFonts w:ascii="Arial" w:cs="Arial" w:eastAsia="Arial" w:hAnsi="Arial"/>
          <w:sz w:val="17"/>
          <w:szCs w:val="17"/>
          <w:color w:val="582C83"/>
        </w:rPr>
      </w:pPr>
      <w:r>
        <w:rPr>
          <w:rFonts w:ascii="Arial" w:cs="Arial" w:eastAsia="Arial" w:hAnsi="Arial"/>
          <w:sz w:val="17"/>
          <w:szCs w:val="17"/>
          <w:color w:val="auto"/>
        </w:rPr>
        <w:t>your preference to receive (a) printed materials via mail or (b) an email with links to the electronic materials; and</w:t>
      </w:r>
    </w:p>
    <w:p>
      <w:pPr>
        <w:spacing w:after="0" w:line="47" w:lineRule="exact"/>
        <w:rPr>
          <w:rFonts w:ascii="Arial" w:cs="Arial" w:eastAsia="Arial" w:hAnsi="Arial"/>
          <w:sz w:val="17"/>
          <w:szCs w:val="17"/>
          <w:color w:val="582C83"/>
        </w:rPr>
      </w:pPr>
    </w:p>
    <w:p>
      <w:pPr>
        <w:ind w:left="340" w:hanging="203"/>
        <w:spacing w:after="0"/>
        <w:tabs>
          <w:tab w:leader="none" w:pos="340" w:val="left"/>
        </w:tabs>
        <w:numPr>
          <w:ilvl w:val="1"/>
          <w:numId w:val="125"/>
        </w:numPr>
        <w:rPr>
          <w:rFonts w:ascii="Arial" w:cs="Arial" w:eastAsia="Arial" w:hAnsi="Arial"/>
          <w:sz w:val="17"/>
          <w:szCs w:val="17"/>
          <w:color w:val="582C83"/>
        </w:rPr>
      </w:pPr>
      <w:r>
        <w:rPr>
          <w:rFonts w:ascii="Arial" w:cs="Arial" w:eastAsia="Arial" w:hAnsi="Arial"/>
          <w:sz w:val="17"/>
          <w:szCs w:val="17"/>
          <w:color w:val="auto"/>
        </w:rPr>
        <w:t>if you would like your election to apply to the delivery of materials for all future meetings.</w:t>
      </w:r>
    </w:p>
    <w:p>
      <w:pPr>
        <w:spacing w:after="0" w:line="142" w:lineRule="exact"/>
        <w:rPr>
          <w:rFonts w:ascii="Arial" w:cs="Arial" w:eastAsia="Arial" w:hAnsi="Arial"/>
          <w:sz w:val="17"/>
          <w:szCs w:val="17"/>
          <w:color w:val="582C83"/>
        </w:rPr>
      </w:pPr>
    </w:p>
    <w:p>
      <w:pPr>
        <w:ind w:left="140" w:right="300" w:hanging="133"/>
        <w:spacing w:after="0" w:line="284" w:lineRule="auto"/>
        <w:tabs>
          <w:tab w:leader="none" w:pos="140" w:val="left"/>
        </w:tabs>
        <w:numPr>
          <w:ilvl w:val="0"/>
          <w:numId w:val="125"/>
        </w:numPr>
        <w:rPr>
          <w:rFonts w:ascii="Arial" w:cs="Arial" w:eastAsia="Arial" w:hAnsi="Arial"/>
          <w:sz w:val="17"/>
          <w:szCs w:val="17"/>
          <w:color w:val="582C83"/>
        </w:rPr>
      </w:pPr>
      <w:r>
        <w:rPr>
          <w:rFonts w:ascii="Arial" w:cs="Arial" w:eastAsia="Arial" w:hAnsi="Arial"/>
          <w:sz w:val="17"/>
          <w:szCs w:val="17"/>
          <w:color w:val="auto"/>
        </w:rPr>
        <w:t xml:space="preserve">Via email: Please send a blank email to </w:t>
      </w:r>
      <w:r>
        <w:rPr>
          <w:rFonts w:ascii="Arial" w:cs="Arial" w:eastAsia="Arial" w:hAnsi="Arial"/>
          <w:sz w:val="17"/>
          <w:szCs w:val="17"/>
          <w:b w:val="1"/>
          <w:bCs w:val="1"/>
          <w:i w:val="1"/>
          <w:iCs w:val="1"/>
          <w:color w:val="582C83"/>
        </w:rPr>
        <w:t>paper@investorelections.com</w:t>
      </w:r>
      <w:r>
        <w:rPr>
          <w:rFonts w:ascii="Arial" w:cs="Arial" w:eastAsia="Arial" w:hAnsi="Arial"/>
          <w:sz w:val="17"/>
          <w:szCs w:val="17"/>
          <w:color w:val="auto"/>
        </w:rPr>
        <w:t xml:space="preserve"> with the control number that is printed on your Notice, Proxy Card, or VIF.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These materials are also available at </w:t>
      </w:r>
      <w:r>
        <w:rPr>
          <w:rFonts w:ascii="Arial" w:cs="Arial" w:eastAsia="Arial" w:hAnsi="Arial"/>
          <w:sz w:val="17"/>
          <w:szCs w:val="17"/>
          <w:b w:val="1"/>
          <w:bCs w:val="1"/>
          <w:i w:val="1"/>
          <w:iCs w:val="1"/>
          <w:color w:val="582C83"/>
        </w:rPr>
        <w:t>www.proxydocs.com/MDLZ</w:t>
      </w:r>
      <w:r>
        <w:rPr>
          <w:rFonts w:ascii="Arial" w:cs="Arial" w:eastAsia="Arial" w:hAnsi="Arial"/>
          <w:sz w:val="17"/>
          <w:szCs w:val="17"/>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7. How do I vote my shares?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you are a registered shareholder:</w:t>
      </w:r>
    </w:p>
    <w:p>
      <w:pPr>
        <w:spacing w:after="0" w:line="129"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you hold your shares in your own name as a holder of record with our transfer agent, EQ Shareowner Services; you may authorize that your shares be voted at the Annual Meeting in one of the following ways: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Borders>
              <w:top w:val="single" w:sz="8" w:color="582C83"/>
            </w:tcBorders>
            <w:shd w:val="clear" w:color="auto" w:fill="E0DBEA"/>
          </w:tcPr>
          <w:p>
            <w:pPr>
              <w:ind w:left="60"/>
              <w:spacing w:after="0"/>
              <w:rPr>
                <w:sz w:val="20"/>
                <w:szCs w:val="20"/>
                <w:color w:val="auto"/>
              </w:rPr>
            </w:pPr>
            <w:r>
              <w:rPr>
                <w:rFonts w:ascii="Arial" w:cs="Arial" w:eastAsia="Arial" w:hAnsi="Arial"/>
                <w:sz w:val="14"/>
                <w:szCs w:val="14"/>
                <w:color w:val="auto"/>
              </w:rPr>
              <w:t>By Internet</w:t>
            </w:r>
          </w:p>
        </w:tc>
        <w:tc>
          <w:tcPr>
            <w:tcW w:w="7500" w:type="dxa"/>
            <w:vAlign w:val="bottom"/>
            <w:tcBorders>
              <w:top w:val="single" w:sz="8" w:color="582C83"/>
            </w:tcBorders>
            <w:shd w:val="clear" w:color="auto" w:fill="E0DBEA"/>
          </w:tcPr>
          <w:p>
            <w:pPr>
              <w:ind w:left="320"/>
              <w:spacing w:after="0"/>
              <w:rPr>
                <w:sz w:val="20"/>
                <w:szCs w:val="20"/>
                <w:color w:val="auto"/>
              </w:rPr>
            </w:pPr>
            <w:r>
              <w:rPr>
                <w:rFonts w:ascii="Arial" w:cs="Arial" w:eastAsia="Arial" w:hAnsi="Arial"/>
                <w:sz w:val="14"/>
                <w:szCs w:val="14"/>
                <w:color w:val="auto"/>
              </w:rPr>
              <w:t>If you received the Notice or a printed copy of the Proxy Materials, follow the instructions in the Notice or on the</w:t>
            </w:r>
          </w:p>
        </w:tc>
      </w:tr>
      <w:tr>
        <w:trPr>
          <w:trHeight w:val="171"/>
        </w:trPr>
        <w:tc>
          <w:tcPr>
            <w:tcW w:w="1540" w:type="dxa"/>
            <w:vAlign w:val="bottom"/>
            <w:tcBorders>
              <w:bottom w:val="single" w:sz="8" w:color="582C83"/>
            </w:tcBorders>
            <w:shd w:val="clear" w:color="auto" w:fill="E0DBEA"/>
          </w:tcPr>
          <w:p>
            <w:pPr>
              <w:spacing w:after="0"/>
              <w:rPr>
                <w:sz w:val="14"/>
                <w:szCs w:val="14"/>
                <w:color w:val="auto"/>
              </w:rPr>
            </w:pPr>
          </w:p>
        </w:tc>
        <w:tc>
          <w:tcPr>
            <w:tcW w:w="7500" w:type="dxa"/>
            <w:vAlign w:val="bottom"/>
            <w:tcBorders>
              <w:bottom w:val="single" w:sz="8" w:color="582C83"/>
            </w:tcBorders>
            <w:shd w:val="clear" w:color="auto" w:fill="E0DBEA"/>
          </w:tcPr>
          <w:p>
            <w:pPr>
              <w:ind w:left="320"/>
              <w:spacing w:after="0"/>
              <w:rPr>
                <w:sz w:val="20"/>
                <w:szCs w:val="20"/>
                <w:color w:val="auto"/>
              </w:rPr>
            </w:pPr>
            <w:r>
              <w:rPr>
                <w:rFonts w:ascii="Arial" w:cs="Arial" w:eastAsia="Arial" w:hAnsi="Arial"/>
                <w:sz w:val="14"/>
                <w:szCs w:val="14"/>
                <w:color w:val="auto"/>
              </w:rPr>
              <w:t>proxy card.</w:t>
            </w:r>
          </w:p>
        </w:tc>
      </w:tr>
      <w:tr>
        <w:trPr>
          <w:trHeight w:val="184"/>
        </w:trPr>
        <w:tc>
          <w:tcPr>
            <w:tcW w:w="1540" w:type="dxa"/>
            <w:vAlign w:val="bottom"/>
          </w:tcPr>
          <w:p>
            <w:pPr>
              <w:ind w:left="60"/>
              <w:spacing w:after="0"/>
              <w:rPr>
                <w:sz w:val="20"/>
                <w:szCs w:val="20"/>
                <w:color w:val="auto"/>
              </w:rPr>
            </w:pPr>
            <w:r>
              <w:rPr>
                <w:rFonts w:ascii="Arial" w:cs="Arial" w:eastAsia="Arial" w:hAnsi="Arial"/>
                <w:sz w:val="14"/>
                <w:szCs w:val="14"/>
                <w:color w:val="auto"/>
              </w:rPr>
              <w:t>By Telephone</w:t>
            </w:r>
          </w:p>
        </w:tc>
        <w:tc>
          <w:tcPr>
            <w:tcW w:w="7500" w:type="dxa"/>
            <w:vAlign w:val="bottom"/>
          </w:tcPr>
          <w:p>
            <w:pPr>
              <w:ind w:left="320"/>
              <w:spacing w:after="0"/>
              <w:rPr>
                <w:sz w:val="20"/>
                <w:szCs w:val="20"/>
                <w:color w:val="auto"/>
              </w:rPr>
            </w:pPr>
            <w:r>
              <w:rPr>
                <w:rFonts w:ascii="Arial" w:cs="Arial" w:eastAsia="Arial" w:hAnsi="Arial"/>
                <w:sz w:val="14"/>
                <w:szCs w:val="14"/>
                <w:color w:val="auto"/>
              </w:rPr>
              <w:t>If you received a printed copy of the Proxy Materials, follow the instructions on the proxy card.</w:t>
            </w:r>
          </w:p>
        </w:tc>
      </w:tr>
      <w:tr>
        <w:trPr>
          <w:trHeight w:val="26"/>
        </w:trPr>
        <w:tc>
          <w:tcPr>
            <w:tcW w:w="1540" w:type="dxa"/>
            <w:vAlign w:val="bottom"/>
            <w:tcBorders>
              <w:bottom w:val="single" w:sz="8" w:color="582C83"/>
            </w:tcBorders>
          </w:tcPr>
          <w:p>
            <w:pPr>
              <w:spacing w:after="0"/>
              <w:rPr>
                <w:sz w:val="2"/>
                <w:szCs w:val="2"/>
                <w:color w:val="auto"/>
              </w:rPr>
            </w:pPr>
          </w:p>
        </w:tc>
        <w:tc>
          <w:tcPr>
            <w:tcW w:w="7500" w:type="dxa"/>
            <w:vAlign w:val="bottom"/>
            <w:tcBorders>
              <w:bottom w:val="single" w:sz="8" w:color="582C83"/>
            </w:tcBorders>
          </w:tcPr>
          <w:p>
            <w:pPr>
              <w:spacing w:after="0"/>
              <w:rPr>
                <w:sz w:val="2"/>
                <w:szCs w:val="2"/>
                <w:color w:val="auto"/>
              </w:rPr>
            </w:pPr>
          </w:p>
        </w:tc>
      </w:tr>
      <w:tr>
        <w:trPr>
          <w:trHeight w:val="128"/>
        </w:trPr>
        <w:tc>
          <w:tcPr>
            <w:tcW w:w="1540" w:type="dxa"/>
            <w:vAlign w:val="bottom"/>
            <w:shd w:val="clear" w:color="auto" w:fill="E0DBEA"/>
          </w:tcPr>
          <w:p>
            <w:pPr>
              <w:ind w:left="60"/>
              <w:spacing w:after="0" w:line="129" w:lineRule="exact"/>
              <w:rPr>
                <w:sz w:val="20"/>
                <w:szCs w:val="20"/>
                <w:color w:val="auto"/>
              </w:rPr>
            </w:pPr>
            <w:r>
              <w:rPr>
                <w:rFonts w:ascii="Arial" w:cs="Arial" w:eastAsia="Arial" w:hAnsi="Arial"/>
                <w:sz w:val="14"/>
                <w:szCs w:val="14"/>
                <w:color w:val="auto"/>
              </w:rPr>
              <w:t>By Mail</w:t>
            </w:r>
          </w:p>
        </w:tc>
        <w:tc>
          <w:tcPr>
            <w:tcW w:w="7500" w:type="dxa"/>
            <w:vAlign w:val="bottom"/>
            <w:shd w:val="clear" w:color="auto" w:fill="E0DBEA"/>
          </w:tcPr>
          <w:p>
            <w:pPr>
              <w:ind w:left="320"/>
              <w:spacing w:after="0" w:line="129" w:lineRule="exact"/>
              <w:rPr>
                <w:sz w:val="20"/>
                <w:szCs w:val="20"/>
                <w:color w:val="auto"/>
              </w:rPr>
            </w:pPr>
            <w:r>
              <w:rPr>
                <w:rFonts w:ascii="Arial" w:cs="Arial" w:eastAsia="Arial" w:hAnsi="Arial"/>
                <w:sz w:val="14"/>
                <w:szCs w:val="14"/>
                <w:color w:val="auto"/>
              </w:rPr>
              <w:t>If you received a printed copy of the Proxy Materials, complete, sign, date, and mail your proxy card in the</w:t>
            </w:r>
          </w:p>
        </w:tc>
      </w:tr>
      <w:tr>
        <w:trPr>
          <w:trHeight w:val="242"/>
        </w:trPr>
        <w:tc>
          <w:tcPr>
            <w:tcW w:w="1540" w:type="dxa"/>
            <w:vAlign w:val="bottom"/>
            <w:tcBorders>
              <w:bottom w:val="single" w:sz="8" w:color="582C83"/>
            </w:tcBorders>
            <w:shd w:val="clear" w:color="auto" w:fill="E0DBEA"/>
          </w:tcPr>
          <w:p>
            <w:pPr>
              <w:spacing w:after="0"/>
              <w:rPr>
                <w:sz w:val="21"/>
                <w:szCs w:val="21"/>
                <w:color w:val="auto"/>
              </w:rPr>
            </w:pPr>
          </w:p>
        </w:tc>
        <w:tc>
          <w:tcPr>
            <w:tcW w:w="7500" w:type="dxa"/>
            <w:vAlign w:val="bottom"/>
            <w:tcBorders>
              <w:bottom w:val="single" w:sz="8" w:color="582C83"/>
            </w:tcBorders>
            <w:shd w:val="clear" w:color="auto" w:fill="E0DBEA"/>
          </w:tcPr>
          <w:p>
            <w:pPr>
              <w:ind w:left="320"/>
              <w:spacing w:after="0" w:line="161" w:lineRule="exact"/>
              <w:rPr>
                <w:sz w:val="20"/>
                <w:szCs w:val="20"/>
                <w:color w:val="auto"/>
              </w:rPr>
            </w:pPr>
            <w:r>
              <w:rPr>
                <w:rFonts w:ascii="Arial" w:cs="Arial" w:eastAsia="Arial" w:hAnsi="Arial"/>
                <w:sz w:val="14"/>
                <w:szCs w:val="14"/>
                <w:color w:val="auto"/>
              </w:rPr>
              <w:t>enclosed, postage</w:t>
            </w:r>
            <w:r>
              <w:rPr>
                <w:rFonts w:ascii="MS PGothic" w:cs="MS PGothic" w:eastAsia="MS PGothic" w:hAnsi="MS PGothic"/>
                <w:sz w:val="14"/>
                <w:szCs w:val="14"/>
                <w:color w:val="auto"/>
              </w:rPr>
              <w:t>‑</w:t>
            </w:r>
            <w:r>
              <w:rPr>
                <w:rFonts w:ascii="Arial" w:cs="Arial" w:eastAsia="Arial" w:hAnsi="Arial"/>
                <w:sz w:val="14"/>
                <w:szCs w:val="14"/>
                <w:color w:val="auto"/>
              </w:rPr>
              <w:t>prepaid envelope.</w:t>
            </w:r>
          </w:p>
        </w:tc>
      </w:tr>
      <w:tr>
        <w:trPr>
          <w:trHeight w:val="201"/>
        </w:trPr>
        <w:tc>
          <w:tcPr>
            <w:tcW w:w="1540" w:type="dxa"/>
            <w:vAlign w:val="bottom"/>
          </w:tcPr>
          <w:p>
            <w:pPr>
              <w:ind w:left="60"/>
              <w:spacing w:after="0"/>
              <w:rPr>
                <w:sz w:val="20"/>
                <w:szCs w:val="20"/>
                <w:color w:val="auto"/>
              </w:rPr>
            </w:pPr>
            <w:r>
              <w:rPr>
                <w:rFonts w:ascii="Arial" w:cs="Arial" w:eastAsia="Arial" w:hAnsi="Arial"/>
                <w:sz w:val="14"/>
                <w:szCs w:val="14"/>
                <w:color w:val="auto"/>
              </w:rPr>
              <w:t>In Person (Virtual)</w:t>
            </w:r>
          </w:p>
        </w:tc>
        <w:tc>
          <w:tcPr>
            <w:tcW w:w="7500" w:type="dxa"/>
            <w:vAlign w:val="bottom"/>
          </w:tcPr>
          <w:p>
            <w:pPr>
              <w:ind w:left="320"/>
              <w:spacing w:after="0"/>
              <w:rPr>
                <w:sz w:val="20"/>
                <w:szCs w:val="20"/>
                <w:color w:val="auto"/>
              </w:rPr>
            </w:pPr>
            <w:r>
              <w:rPr>
                <w:rFonts w:ascii="Arial" w:cs="Arial" w:eastAsia="Arial" w:hAnsi="Arial"/>
                <w:sz w:val="14"/>
                <w:szCs w:val="14"/>
                <w:color w:val="auto"/>
              </w:rPr>
              <w:t xml:space="preserve">You may also vote in person virtually by attending the meeting through </w:t>
            </w:r>
            <w:r>
              <w:rPr>
                <w:rFonts w:ascii="Arial" w:cs="Arial" w:eastAsia="Arial" w:hAnsi="Arial"/>
                <w:sz w:val="17"/>
                <w:szCs w:val="17"/>
                <w:b w:val="1"/>
                <w:bCs w:val="1"/>
                <w:i w:val="1"/>
                <w:iCs w:val="1"/>
                <w:color w:val="582C83"/>
              </w:rPr>
              <w:t>www.proxydocs.com/MDLZ</w:t>
            </w:r>
            <w:r>
              <w:rPr>
                <w:rFonts w:ascii="Arial" w:cs="Arial" w:eastAsia="Arial" w:hAnsi="Arial"/>
                <w:sz w:val="14"/>
                <w:szCs w:val="14"/>
                <w:color w:val="auto"/>
              </w:rPr>
              <w:t>. To</w:t>
            </w:r>
          </w:p>
        </w:tc>
      </w:tr>
      <w:tr>
        <w:trPr>
          <w:trHeight w:val="162"/>
        </w:trPr>
        <w:tc>
          <w:tcPr>
            <w:tcW w:w="1540" w:type="dxa"/>
            <w:vAlign w:val="bottom"/>
          </w:tcPr>
          <w:p>
            <w:pPr>
              <w:spacing w:after="0"/>
              <w:rPr>
                <w:sz w:val="14"/>
                <w:szCs w:val="14"/>
                <w:color w:val="auto"/>
              </w:rPr>
            </w:pPr>
          </w:p>
        </w:tc>
        <w:tc>
          <w:tcPr>
            <w:tcW w:w="7500" w:type="dxa"/>
            <w:vAlign w:val="bottom"/>
          </w:tcPr>
          <w:p>
            <w:pPr>
              <w:ind w:left="320"/>
              <w:spacing w:after="0"/>
              <w:rPr>
                <w:sz w:val="20"/>
                <w:szCs w:val="20"/>
                <w:color w:val="auto"/>
              </w:rPr>
            </w:pPr>
            <w:r>
              <w:rPr>
                <w:rFonts w:ascii="Arial" w:cs="Arial" w:eastAsia="Arial" w:hAnsi="Arial"/>
                <w:sz w:val="14"/>
                <w:szCs w:val="14"/>
                <w:color w:val="auto"/>
              </w:rPr>
              <w:t>attend the Annual Meeting and vote your shares, you must register for the Annual Meeting and provide the</w:t>
            </w:r>
          </w:p>
        </w:tc>
      </w:tr>
      <w:tr>
        <w:trPr>
          <w:trHeight w:val="175"/>
        </w:trPr>
        <w:tc>
          <w:tcPr>
            <w:tcW w:w="1540" w:type="dxa"/>
            <w:vAlign w:val="bottom"/>
          </w:tcPr>
          <w:p>
            <w:pPr>
              <w:spacing w:after="0"/>
              <w:rPr>
                <w:sz w:val="15"/>
                <w:szCs w:val="15"/>
                <w:color w:val="auto"/>
              </w:rPr>
            </w:pPr>
          </w:p>
        </w:tc>
        <w:tc>
          <w:tcPr>
            <w:tcW w:w="7500" w:type="dxa"/>
            <w:vAlign w:val="bottom"/>
          </w:tcPr>
          <w:p>
            <w:pPr>
              <w:ind w:left="320"/>
              <w:spacing w:after="0"/>
              <w:rPr>
                <w:sz w:val="20"/>
                <w:szCs w:val="20"/>
                <w:color w:val="auto"/>
              </w:rPr>
            </w:pPr>
            <w:r>
              <w:rPr>
                <w:rFonts w:ascii="Arial" w:cs="Arial" w:eastAsia="Arial" w:hAnsi="Arial"/>
                <w:sz w:val="14"/>
                <w:szCs w:val="14"/>
                <w:color w:val="auto"/>
              </w:rPr>
              <w:t>control number located on your Notice or proxy card. See “Virtual Annual Meeting” above following the Notice of</w:t>
            </w:r>
          </w:p>
        </w:tc>
      </w:tr>
      <w:tr>
        <w:trPr>
          <w:trHeight w:val="185"/>
        </w:trPr>
        <w:tc>
          <w:tcPr>
            <w:tcW w:w="1540" w:type="dxa"/>
            <w:vAlign w:val="bottom"/>
            <w:tcBorders>
              <w:bottom w:val="single" w:sz="8" w:color="582C83"/>
            </w:tcBorders>
          </w:tcPr>
          <w:p>
            <w:pPr>
              <w:spacing w:after="0"/>
              <w:rPr>
                <w:sz w:val="16"/>
                <w:szCs w:val="16"/>
                <w:color w:val="auto"/>
              </w:rPr>
            </w:pPr>
          </w:p>
        </w:tc>
        <w:tc>
          <w:tcPr>
            <w:tcW w:w="7500" w:type="dxa"/>
            <w:vAlign w:val="bottom"/>
            <w:tcBorders>
              <w:bottom w:val="single" w:sz="8" w:color="582C83"/>
            </w:tcBorders>
          </w:tcPr>
          <w:p>
            <w:pPr>
              <w:ind w:left="320"/>
              <w:spacing w:after="0"/>
              <w:rPr>
                <w:sz w:val="20"/>
                <w:szCs w:val="20"/>
                <w:color w:val="auto"/>
              </w:rPr>
            </w:pPr>
            <w:r>
              <w:rPr>
                <w:rFonts w:ascii="Arial" w:cs="Arial" w:eastAsia="Arial" w:hAnsi="Arial"/>
                <w:sz w:val="14"/>
                <w:szCs w:val="14"/>
                <w:color w:val="auto"/>
              </w:rPr>
              <w:t>2026 Annual Meeting of Shareholders for further information.</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you are a beneficial shareholder:</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 xml:space="preserve">you hold your shares through a broker, bank, or other nominee (that is, in street name), you will receive instructions from your broker, bank, or nominee that you must follow in order to submit your voting instructions and have your shares voted at the Annual Meeting. If you want to vote in person, virtually at the Annual Meeting, you must register in advance at </w:t>
      </w:r>
      <w:r>
        <w:rPr>
          <w:rFonts w:ascii="Arial" w:cs="Arial" w:eastAsia="Arial" w:hAnsi="Arial"/>
          <w:sz w:val="17"/>
          <w:szCs w:val="17"/>
          <w:b w:val="1"/>
          <w:bCs w:val="1"/>
          <w:i w:val="1"/>
          <w:iCs w:val="1"/>
          <w:color w:val="582C83"/>
        </w:rPr>
        <w:t>www.proxydocs.com/MDLZ</w:t>
      </w:r>
      <w:r>
        <w:rPr>
          <w:rFonts w:ascii="Arial" w:cs="Arial" w:eastAsia="Arial" w:hAnsi="Arial"/>
          <w:sz w:val="17"/>
          <w:szCs w:val="17"/>
          <w:color w:val="auto"/>
        </w:rPr>
        <w:t>. You may be instructed to obtain a legal proxy from your broker, bank, or other nominee and to submit a copy in advance of the meeting. Further instructions will be provided to you as part of your registration process.</w:t>
      </w:r>
    </w:p>
    <w:p>
      <w:pPr>
        <w:spacing w:after="0" w:line="71" w:lineRule="exact"/>
        <w:rPr>
          <w:sz w:val="20"/>
          <w:szCs w:val="20"/>
          <w:color w:val="auto"/>
        </w:rPr>
      </w:pPr>
    </w:p>
    <w:p>
      <w:pPr>
        <w:ind w:left="260" w:right="120" w:hanging="253"/>
        <w:spacing w:after="0" w:line="296" w:lineRule="auto"/>
        <w:tabs>
          <w:tab w:leader="none" w:pos="260" w:val="left"/>
        </w:tabs>
        <w:numPr>
          <w:ilvl w:val="0"/>
          <w:numId w:val="126"/>
        </w:numPr>
        <w:rPr>
          <w:rFonts w:ascii="Arial" w:cs="Arial" w:eastAsia="Arial" w:hAnsi="Arial"/>
          <w:sz w:val="17"/>
          <w:szCs w:val="17"/>
          <w:b w:val="1"/>
          <w:bCs w:val="1"/>
          <w:color w:val="582C83"/>
        </w:rPr>
      </w:pPr>
      <w:r>
        <w:rPr>
          <w:rFonts w:ascii="Arial" w:cs="Arial" w:eastAsia="Arial" w:hAnsi="Arial"/>
          <w:sz w:val="17"/>
          <w:szCs w:val="17"/>
          <w:b w:val="1"/>
          <w:bCs w:val="1"/>
          <w:color w:val="582C83"/>
        </w:rPr>
        <w:t>I am a participant in The Molson Coors Employees Retirement &amp; Savings Plan and have investments in the Mondelēz International Stock Fund. Can I vote? If so, how do I vote?</w:t>
      </w:r>
    </w:p>
    <w:p>
      <w:pPr>
        <w:spacing w:after="0" w:line="3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Yes, you are entitled to vote. Your Proxy Card or control number for voting electronically includes all shares allocated to your Mondelēz International Stock Fund account. Your vote directs the plan trustee how to vote the shares allocated to you.</w:t>
      </w:r>
    </w:p>
    <w:p>
      <w:pPr>
        <w:spacing w:after="0" w:line="60"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In order to direct the plan trustee how to vote the shares held in your Mondelēz International Stock Fund account, you must vote these plan shares (whether by Internet, QR barcode, telephone, or mailed Proxy Card) by 11:59 p.m. EDT on May 15, 2026. If the trustee does not receive your voting instructions or Proxy Card by that time, the trustee will vote the shares allocated to your account in the same proportion as the plan shares for which the trustee timely received voting instructions, unless doing so would be contrary to the Employee Retirement Income Security Act of 1974. Please follow the instructions for registered shareholders described in Question 7 above to cast your vote. Note that although you may attend the Annual Meeting online, you may not vote shares held in your Mondelēz International Stock Fund account at the Annual Meeting.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118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127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10375" cy="127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0"/>
        <w:spacing w:after="0"/>
        <w:rPr>
          <w:sz w:val="20"/>
          <w:szCs w:val="20"/>
          <w:color w:val="auto"/>
        </w:rPr>
      </w:pPr>
      <w:r>
        <w:rPr>
          <w:rFonts w:ascii="Arial" w:cs="Arial" w:eastAsia="Arial" w:hAnsi="Arial"/>
          <w:sz w:val="22"/>
          <w:szCs w:val="22"/>
          <w:b w:val="1"/>
          <w:bCs w:val="1"/>
          <w:color w:val="auto"/>
        </w:rPr>
        <w:t>FREQUENTLY ASKED QUESTIONS ABOUT THE ANNUAL MEETING AND VOTING</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Frequently Asked Questions About the Annual Meeting and Voting</w:t>
      </w:r>
    </w:p>
    <w:p>
      <w:pPr>
        <w:sectPr>
          <w:pgSz w:w="11900" w:h="16838" w:orient="portrait"/>
          <w:cols w:equalWidth="0" w:num="1">
            <w:col w:w="9040"/>
          </w:cols>
          <w:pgMar w:left="1420" w:top="1312" w:right="1439" w:bottom="0" w:gutter="0" w:footer="0" w:header="0"/>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9. How do I vote if I participate in Mondelēz International’s Direct Purchase Plan?</w:t>
      </w:r>
    </w:p>
    <w:p>
      <w:pPr>
        <w:sectPr>
          <w:pgSz w:w="11900" w:h="16838" w:orient="portrait"/>
          <w:cols w:equalWidth="0" w:num="1">
            <w:col w:w="9040"/>
          </w:cols>
          <w:pgMar w:left="1420" w:top="1312" w:right="1439" w:bottom="0" w:gutter="0" w:footer="0" w:header="0"/>
          <w:type w:val="continuous"/>
        </w:sectPr>
      </w:pPr>
    </w:p>
    <w:bookmarkStart w:id="103" w:name="page104"/>
    <w:bookmarkEnd w:id="103"/>
    <w:p>
      <w:pPr>
        <w:ind w:right="40"/>
        <w:spacing w:after="0" w:line="229" w:lineRule="auto"/>
        <w:rPr>
          <w:sz w:val="20"/>
          <w:szCs w:val="20"/>
          <w:color w:val="auto"/>
        </w:rPr>
      </w:pPr>
      <w:r>
        <w:rPr>
          <w:rFonts w:ascii="Arial" w:cs="Arial" w:eastAsia="Arial" w:hAnsi="Arial"/>
          <w:sz w:val="17"/>
          <w:szCs w:val="17"/>
          <w:color w:val="auto"/>
        </w:rPr>
        <w:t>If you hold shares in the Direct Purchase Plan, follow the instructions for registered shareholders described in Question 7 above to vote your shares. When you vote those shares, you will be voting all the shares you hold at our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-213360</wp:posOffset>
            </wp:positionV>
            <wp:extent cx="6810375" cy="75799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10375" cy="757999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agent as a registered shareholder. If you do not vote your shares, they will not be voted. PLEASE VOTE.</w:t>
      </w:r>
    </w:p>
    <w:p>
      <w:pPr>
        <w:spacing w:after="0" w:line="133" w:lineRule="exact"/>
        <w:rPr>
          <w:sz w:val="20"/>
          <w:szCs w:val="20"/>
          <w:color w:val="auto"/>
        </w:rPr>
      </w:pPr>
    </w:p>
    <w:p>
      <w:pPr>
        <w:ind w:left="260" w:right="220" w:hanging="253"/>
        <w:spacing w:after="0" w:line="297" w:lineRule="auto"/>
        <w:tabs>
          <w:tab w:leader="none" w:pos="260" w:val="left"/>
        </w:tabs>
        <w:numPr>
          <w:ilvl w:val="0"/>
          <w:numId w:val="127"/>
        </w:numPr>
        <w:rPr>
          <w:rFonts w:ascii="Arial" w:cs="Arial" w:eastAsia="Arial" w:hAnsi="Arial"/>
          <w:sz w:val="17"/>
          <w:szCs w:val="17"/>
          <w:b w:val="1"/>
          <w:bCs w:val="1"/>
          <w:color w:val="582C83"/>
        </w:rPr>
      </w:pPr>
      <w:r>
        <w:rPr>
          <w:rFonts w:ascii="Arial" w:cs="Arial" w:eastAsia="Arial" w:hAnsi="Arial"/>
          <w:sz w:val="17"/>
          <w:szCs w:val="17"/>
          <w:b w:val="1"/>
          <w:bCs w:val="1"/>
          <w:color w:val="582C83"/>
        </w:rPr>
        <w:t>I hold CREST Depository Interests (“CDIs”) that represent entitlements to shares of Common Stock as a result of Mondelēz International’s acquisition of Cadbury in 2010. Can I vote the shares of Common Stock underlying my CDIs? If so, how do I vote?</w:t>
      </w:r>
    </w:p>
    <w:p>
      <w:pPr>
        <w:spacing w:after="0" w:line="4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Computershare Investor Services Plc (“Computershare”) will send all CREST Participants (including nominee companies and sponsored individuals) that hold CDIs a notice and Form of Proxy that allow these participants to vote prior to the Annual Meeting. If you hold your CDIs in CREST, you can vote the underlying shares by completing and sending the Form of Proxy to the Voting Agent, Computershare, or via CREST as detailed on the Form of Proxy. Computershare must receive your vote by 3:00 p.m. London time on May 15, 2026. Computershare will then notify the Registrar of the vote for the underlying shares and your vote will be included in the final tally for the Annual Meeting. If you wish to attend the meeting and/or vote at the Annual Meeting, you must notify Computershare 48 hours prior to the Annual Meeting in writing or email at </w:t>
      </w:r>
      <w:r>
        <w:rPr>
          <w:rFonts w:ascii="Arial" w:cs="Arial" w:eastAsia="Arial" w:hAnsi="Arial"/>
          <w:sz w:val="17"/>
          <w:szCs w:val="17"/>
          <w:b w:val="1"/>
          <w:bCs w:val="1"/>
          <w:i w:val="1"/>
          <w:iCs w:val="1"/>
          <w:color w:val="582C83"/>
        </w:rPr>
        <w:t>csnditeam@computershare.co.uk</w:t>
      </w:r>
      <w:r>
        <w:rPr>
          <w:rFonts w:ascii="Arial" w:cs="Arial" w:eastAsia="Arial" w:hAnsi="Arial"/>
          <w:sz w:val="17"/>
          <w:szCs w:val="17"/>
          <w:color w:val="auto"/>
        </w:rPr>
        <w:t xml:space="preserve"> to receive a pin number for the meeting.</w:t>
      </w:r>
    </w:p>
    <w:p>
      <w:pPr>
        <w:spacing w:after="0" w:line="7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 xml:space="preserve">If Computershare holds your CDIs on your behalf within Mondelēz International Corporate Sponsored Nominee Service, Computershare, as the international nominee for your CDIs, will send you a notice and Form of Direction. You may direct Computershare how to vote your underlying shares online or by returning your Form of Direction according to the instructions in the notice and Form of Direction by 3:00 p.m. London time on May 14, 2026. Computershare will then arrange to vote your underlying shares according to your instructions. If you wish to attend or vote at the Annual Meeting, please inform Computershare 48 hours prior to the meeting to receive a letter of representation with respect to your CDI holding that will contain the pin number that will enable you to attend, submit a question, or vote your underlying shares at the Annual Meeting on Computershare’s behalf. You can notify Computershare by emailing them at </w:t>
      </w:r>
      <w:r>
        <w:rPr>
          <w:rFonts w:ascii="Arial" w:cs="Arial" w:eastAsia="Arial" w:hAnsi="Arial"/>
          <w:sz w:val="17"/>
          <w:szCs w:val="17"/>
          <w:b w:val="1"/>
          <w:bCs w:val="1"/>
          <w:i w:val="1"/>
          <w:iCs w:val="1"/>
          <w:color w:val="582C83"/>
        </w:rPr>
        <w:t>csnditeam@computershare.co.uk</w:t>
      </w:r>
      <w:r>
        <w:rPr>
          <w:rFonts w:ascii="Arial" w:cs="Arial" w:eastAsia="Arial" w:hAnsi="Arial"/>
          <w:sz w:val="17"/>
          <w:szCs w:val="17"/>
          <w:color w:val="auto"/>
        </w:rPr>
        <w:t xml:space="preserve"> or by calling the helpline on 0344 472 6005.</w:t>
      </w:r>
    </w:p>
    <w:p>
      <w:pPr>
        <w:spacing w:after="0" w:line="76"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If another international nominee holds your CDIs on your behalf, your nominee may have its own arrangements in place to provide you with a separate notice of the Annual Meeting and proxy voting card with respect to your underlying shares. In that case, please follow your nominee’s voting instructions to direct your nominee how to vote your underlying shares. Please vote by the deadline stated on the nominee’s notice and proxy voting card.</w:t>
      </w:r>
    </w:p>
    <w:p>
      <w:pPr>
        <w:spacing w:after="0" w:line="80" w:lineRule="exact"/>
        <w:rPr>
          <w:sz w:val="20"/>
          <w:szCs w:val="20"/>
          <w:color w:val="auto"/>
        </w:rPr>
      </w:pPr>
    </w:p>
    <w:p>
      <w:pPr>
        <w:ind w:right="120"/>
        <w:spacing w:after="0" w:line="301" w:lineRule="auto"/>
        <w:rPr>
          <w:sz w:val="20"/>
          <w:szCs w:val="20"/>
          <w:color w:val="auto"/>
        </w:rPr>
      </w:pPr>
      <w:r>
        <w:rPr>
          <w:rFonts w:ascii="Arial" w:cs="Arial" w:eastAsia="Arial" w:hAnsi="Arial"/>
          <w:sz w:val="17"/>
          <w:szCs w:val="17"/>
          <w:color w:val="auto"/>
        </w:rPr>
        <w:t>If you hold CDIs and have questions about voting your shares of Common Stock underlying your CDIs, please contact Computershare at +44 (0)344 472 6005.</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11. May I change or revoke my vote?</w:t>
      </w:r>
    </w:p>
    <w:p>
      <w:pPr>
        <w:spacing w:after="0" w:line="129"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Yes. If you are a registered shareholder, any subsequent vote you cast will replace your earlier vote. This applies whether you vote by mailing a Proxy Card or via QR barcode, telephone, or the Internet. You may also revoke an earlier vote by voting online at the Annual Meeting before the polls close. Alternatively, you may revoke your proxy by submitting a written revocation to the Corporate Secretary at Mondelēz International, Inc., 905 West Fulton Market, Suite 200, Chicago, Illinois 60607.</w:t>
      </w:r>
    </w:p>
    <w:p>
      <w:pPr>
        <w:spacing w:after="0" w:line="80" w:lineRule="exact"/>
        <w:rPr>
          <w:sz w:val="20"/>
          <w:szCs w:val="20"/>
          <w:color w:val="auto"/>
        </w:rPr>
      </w:pPr>
    </w:p>
    <w:p>
      <w:pPr>
        <w:ind w:right="320"/>
        <w:spacing w:after="0" w:line="301" w:lineRule="auto"/>
        <w:rPr>
          <w:sz w:val="20"/>
          <w:szCs w:val="20"/>
          <w:color w:val="auto"/>
        </w:rPr>
      </w:pPr>
      <w:r>
        <w:rPr>
          <w:rFonts w:ascii="Arial" w:cs="Arial" w:eastAsia="Arial" w:hAnsi="Arial"/>
          <w:sz w:val="17"/>
          <w:szCs w:val="17"/>
          <w:color w:val="auto"/>
        </w:rPr>
        <w:t>If you are a beneficial shareholder, you must contact your broker, bank, or other nominee for specific instructions on how to change or revoke your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582C83"/>
        </w:rPr>
        <w:t>2026 PROXY STATEMENT |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28536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10375" cy="2853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FREQUENTLY ASKED QUESTIONS ABOUT THE ANNUAL MEETING AND VOTING</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Frequently Asked Questions About the Annual Meeting and Voting</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12. What is the quorum requirement for the Annual Meeting?</w:t>
      </w:r>
    </w:p>
    <w:p>
      <w:pPr>
        <w:spacing w:after="0" w:line="129" w:lineRule="exact"/>
        <w:rPr>
          <w:sz w:val="20"/>
          <w:szCs w:val="20"/>
          <w:color w:val="auto"/>
        </w:rPr>
      </w:pPr>
    </w:p>
    <w:p>
      <w:pPr>
        <w:jc w:val="both"/>
        <w:ind w:right="380"/>
        <w:spacing w:after="0" w:line="291" w:lineRule="auto"/>
        <w:rPr>
          <w:sz w:val="20"/>
          <w:szCs w:val="20"/>
          <w:color w:val="auto"/>
        </w:rPr>
      </w:pPr>
      <w:r>
        <w:rPr>
          <w:rFonts w:ascii="Arial" w:cs="Arial" w:eastAsia="Arial" w:hAnsi="Arial"/>
          <w:sz w:val="17"/>
          <w:szCs w:val="17"/>
          <w:color w:val="auto"/>
        </w:rPr>
        <w:t>We need a quorum of shareholders to validly hold the Annual Meeting. A quorum will be present if a majority of the outstanding shares of Common Stock entitled to vote as of the Record Date is represented at the Annual Meeting, either online or by proxy.</w:t>
      </w:r>
    </w:p>
    <w:p>
      <w:pPr>
        <w:spacing w:after="0" w:line="34" w:lineRule="exact"/>
        <w:rPr>
          <w:sz w:val="20"/>
          <w:szCs w:val="20"/>
          <w:color w:val="auto"/>
        </w:rPr>
      </w:pPr>
    </w:p>
    <w:p>
      <w:pPr>
        <w:ind w:right="420"/>
        <w:spacing w:after="0" w:line="239" w:lineRule="exact"/>
        <w:rPr>
          <w:sz w:val="20"/>
          <w:szCs w:val="20"/>
          <w:color w:val="auto"/>
        </w:rPr>
      </w:pPr>
      <w:r>
        <w:rPr>
          <w:rFonts w:ascii="Arial" w:cs="Arial" w:eastAsia="Arial" w:hAnsi="Arial"/>
          <w:sz w:val="17"/>
          <w:szCs w:val="17"/>
          <w:color w:val="auto"/>
        </w:rPr>
        <w:t>Abstentions and broker non</w:t>
      </w:r>
      <w:r>
        <w:rPr>
          <w:rFonts w:ascii="MS PGothic" w:cs="MS PGothic" w:eastAsia="MS PGothic" w:hAnsi="MS PGothic"/>
          <w:sz w:val="17"/>
          <w:szCs w:val="17"/>
          <w:color w:val="auto"/>
        </w:rPr>
        <w:t>‑</w:t>
      </w:r>
      <w:r>
        <w:rPr>
          <w:rFonts w:ascii="Arial" w:cs="Arial" w:eastAsia="Arial" w:hAnsi="Arial"/>
          <w:sz w:val="17"/>
          <w:szCs w:val="17"/>
          <w:color w:val="auto"/>
        </w:rPr>
        <w:t>votes (described in Question 15 below) will be counted for the purpose of determining whether a quorum is present for the Annual Meeting.</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13. What vote is needed to elect directors?</w:t>
      </w:r>
    </w:p>
    <w:p>
      <w:pPr>
        <w:spacing w:after="0" w:line="129" w:lineRule="exact"/>
        <w:rPr>
          <w:sz w:val="20"/>
          <w:szCs w:val="20"/>
          <w:color w:val="auto"/>
        </w:rPr>
      </w:pPr>
    </w:p>
    <w:p>
      <w:pPr>
        <w:ind w:right="60"/>
        <w:spacing w:after="0" w:line="224" w:lineRule="exact"/>
        <w:rPr>
          <w:sz w:val="20"/>
          <w:szCs w:val="20"/>
          <w:color w:val="auto"/>
        </w:rPr>
      </w:pPr>
      <w:r>
        <w:rPr>
          <w:rFonts w:ascii="Arial" w:cs="Arial" w:eastAsia="Arial" w:hAnsi="Arial"/>
          <w:sz w:val="17"/>
          <w:szCs w:val="17"/>
          <w:color w:val="auto"/>
        </w:rPr>
        <w:t>To be elected in an uncontested election, such as at this Annual Meeting, a director nominee must receive a majority of the votes cast — i.e., more votes FOR than AGAINST. Abstentions and broker non</w:t>
      </w:r>
      <w:r>
        <w:rPr>
          <w:rFonts w:ascii="MS PGothic" w:cs="MS PGothic" w:eastAsia="MS PGothic" w:hAnsi="MS PGothic"/>
          <w:sz w:val="17"/>
          <w:szCs w:val="17"/>
          <w:color w:val="auto"/>
        </w:rPr>
        <w:t>‑</w:t>
      </w:r>
      <w:r>
        <w:rPr>
          <w:rFonts w:ascii="Arial" w:cs="Arial" w:eastAsia="Arial" w:hAnsi="Arial"/>
          <w:sz w:val="17"/>
          <w:szCs w:val="17"/>
          <w:color w:val="auto"/>
        </w:rPr>
        <w:t>votes (described in Question 15 below) are not considered votes cast and will have no effect on the vote outcome for these matters.</w:t>
      </w:r>
    </w:p>
    <w:p>
      <w:pPr>
        <w:sectPr>
          <w:pgSz w:w="11900" w:h="16838" w:orient="portrait"/>
          <w:cols w:equalWidth="0" w:num="1">
            <w:col w:w="9040"/>
          </w:cols>
          <w:pgMar w:left="1420" w:top="104" w:right="1439" w:bottom="0" w:gutter="0" w:footer="0" w:header="0"/>
        </w:sectPr>
      </w:pPr>
    </w:p>
    <w:bookmarkStart w:id="104" w:name="page105"/>
    <w:bookmarkEnd w:id="104"/>
    <w:p>
      <w:pPr>
        <w:ind w:right="260"/>
        <w:spacing w:after="0" w:line="204" w:lineRule="auto"/>
        <w:rPr>
          <w:sz w:val="20"/>
          <w:szCs w:val="20"/>
          <w:color w:val="auto"/>
        </w:rPr>
      </w:pPr>
      <w:r>
        <w:rPr>
          <w:rFonts w:ascii="Arial" w:cs="Arial" w:eastAsia="Arial" w:hAnsi="Arial"/>
          <w:sz w:val="17"/>
          <w:szCs w:val="17"/>
          <w:color w:val="auto"/>
        </w:rPr>
        <w:t>In an uncontested election, if an incumbent director nominated for re-election receives a greater number of votes AGAINST than votes FOR, the director must tender a resignation to the Governance Committee for its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-187325</wp:posOffset>
            </wp:positionV>
            <wp:extent cx="6810375" cy="60026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10375" cy="6002655"/>
                    </a:xfrm>
                    <a:prstGeom prst="rect">
                      <a:avLst/>
                    </a:prstGeom>
                    <a:noFill/>
                  </pic:spPr>
                </pic:pic>
              </a:graphicData>
            </a:graphic>
          </wp:anchor>
        </w:drawing>
      </w:r>
    </w:p>
    <w:p>
      <w:pPr>
        <w:ind w:right="40"/>
        <w:spacing w:after="0" w:line="276" w:lineRule="auto"/>
        <w:rPr>
          <w:sz w:val="20"/>
          <w:szCs w:val="20"/>
          <w:color w:val="auto"/>
        </w:rPr>
      </w:pPr>
      <w:r>
        <w:rPr>
          <w:rFonts w:ascii="Arial" w:cs="Arial" w:eastAsia="Arial" w:hAnsi="Arial"/>
          <w:sz w:val="17"/>
          <w:szCs w:val="17"/>
          <w:color w:val="auto"/>
        </w:rPr>
        <w:t>following certification of the election results. The Governance Committee then will recommend to the Board whether to accept the resignation. The director will continue to serve until the Board decides whether to accept the resignation, but will not participate in the committee’s recommendation or the Board’s action regarding whether to accept the resignation offer. The Board considers all factors it deems relevant to the Company’s best interests and will publicly disclose its decision and rationale within 90 days after certification of the election results. If the Board does not accept the director’s resignation, the director will continue to serve until the next annual meeting of shareholders or until the director’s successor is duly elected and qualified.</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14. What vote is needed to approve the other proposals?</w:t>
      </w:r>
    </w:p>
    <w:p>
      <w:pPr>
        <w:spacing w:after="0" w:line="129" w:lineRule="exact"/>
        <w:rPr>
          <w:sz w:val="20"/>
          <w:szCs w:val="20"/>
          <w:color w:val="auto"/>
        </w:rPr>
      </w:pPr>
    </w:p>
    <w:p>
      <w:pPr>
        <w:jc w:val="both"/>
        <w:ind w:right="60"/>
        <w:spacing w:after="0" w:line="228" w:lineRule="exact"/>
        <w:rPr>
          <w:sz w:val="20"/>
          <w:szCs w:val="20"/>
          <w:color w:val="auto"/>
        </w:rPr>
      </w:pPr>
      <w:r>
        <w:rPr>
          <w:rFonts w:ascii="Arial" w:cs="Arial" w:eastAsia="Arial" w:hAnsi="Arial"/>
          <w:sz w:val="17"/>
          <w:szCs w:val="17"/>
          <w:color w:val="auto"/>
        </w:rPr>
        <w:t>Approval of each of Item 2 (Advisory Vote to Approve Executive Compensation), Item 3 (Ratification of the Selection of the Independent Registered Public Accountants), and Items 4 and 5 (Shareholder Proposals) also require a majority of votes cast — i.e., more votes FOR than AGAINST. Abstentions and broker non</w:t>
      </w:r>
      <w:r>
        <w:rPr>
          <w:rFonts w:ascii="MS PGothic" w:cs="MS PGothic" w:eastAsia="MS PGothic" w:hAnsi="MS PGothic"/>
          <w:sz w:val="17"/>
          <w:szCs w:val="17"/>
          <w:color w:val="auto"/>
        </w:rPr>
        <w:t>‑</w:t>
      </w:r>
      <w:r>
        <w:rPr>
          <w:rFonts w:ascii="Arial" w:cs="Arial" w:eastAsia="Arial" w:hAnsi="Arial"/>
          <w:sz w:val="17"/>
          <w:szCs w:val="17"/>
          <w:color w:val="auto"/>
        </w:rPr>
        <w:t>votes (described in Question 15 below) are not considered votes cast and will have no effect on the vote outcome for Items 2, 4, and 5. We do not expect that there will be any broker non</w:t>
      </w:r>
      <w:r>
        <w:rPr>
          <w:rFonts w:ascii="MS PGothic" w:cs="MS PGothic" w:eastAsia="MS PGothic" w:hAnsi="MS PGothic"/>
          <w:sz w:val="17"/>
          <w:szCs w:val="17"/>
          <w:color w:val="auto"/>
        </w:rPr>
        <w:t>‑</w:t>
      </w:r>
      <w:r>
        <w:rPr>
          <w:rFonts w:ascii="Arial" w:cs="Arial" w:eastAsia="Arial" w:hAnsi="Arial"/>
          <w:sz w:val="17"/>
          <w:szCs w:val="17"/>
          <w:color w:val="auto"/>
        </w:rPr>
        <w:t>votes with respect to Item 3.</w:t>
      </w:r>
    </w:p>
    <w:p>
      <w:pPr>
        <w:spacing w:after="0" w:line="54"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582C83"/>
        </w:rPr>
        <w:t>15. What are broker non</w:t>
      </w:r>
      <w:r>
        <w:rPr>
          <w:rFonts w:ascii="MS PGothic" w:cs="MS PGothic" w:eastAsia="MS PGothic" w:hAnsi="MS PGothic"/>
          <w:sz w:val="17"/>
          <w:szCs w:val="17"/>
          <w:color w:val="000000"/>
        </w:rPr>
        <w:t>‑</w:t>
      </w:r>
      <w:r>
        <w:rPr>
          <w:rFonts w:ascii="Arial" w:cs="Arial" w:eastAsia="Arial" w:hAnsi="Arial"/>
          <w:sz w:val="17"/>
          <w:szCs w:val="17"/>
          <w:b w:val="1"/>
          <w:bCs w:val="1"/>
          <w:color w:val="582C83"/>
        </w:rPr>
        <w:t>votes?</w:t>
      </w:r>
    </w:p>
    <w:p>
      <w:pPr>
        <w:spacing w:after="0" w:line="166" w:lineRule="exact"/>
        <w:rPr>
          <w:sz w:val="20"/>
          <w:szCs w:val="20"/>
          <w:color w:val="auto"/>
        </w:rPr>
      </w:pPr>
    </w:p>
    <w:p>
      <w:pPr>
        <w:ind w:right="20"/>
        <w:spacing w:after="0" w:line="223" w:lineRule="exact"/>
        <w:rPr>
          <w:sz w:val="20"/>
          <w:szCs w:val="20"/>
          <w:color w:val="auto"/>
        </w:rPr>
      </w:pPr>
      <w:r>
        <w:rPr>
          <w:rFonts w:ascii="Arial" w:cs="Arial" w:eastAsia="Arial" w:hAnsi="Arial"/>
          <w:sz w:val="17"/>
          <w:szCs w:val="17"/>
          <w:color w:val="auto"/>
        </w:rPr>
        <w:t>If you are a beneficial shareholder, your vote instructs your broker, bank, or other nominee, as the holder of record, how to vote your shares. If you do not provide voting instructions to your broker, bank, or other nominee, your nominee has discretion to vote your shares only on matters classified as “routine” under stock exchange rules. If you do not provide voting instructions to your broker or other nominee, your nominee may in some cases vote the shares in their discretion, but are not permitted to vote on certain proposals and may elect not to vote on any of the proposals unless you provide voting instructions. If you do not provide voting instructions and the broker elects to vote your shares on some but not all matters, it will result in a “broker non</w:t>
      </w:r>
      <w:r>
        <w:rPr>
          <w:rFonts w:ascii="MS PGothic" w:cs="MS PGothic" w:eastAsia="MS PGothic" w:hAnsi="MS PGothic"/>
          <w:sz w:val="17"/>
          <w:szCs w:val="17"/>
          <w:color w:val="auto"/>
        </w:rPr>
        <w:t>‑</w:t>
      </w:r>
      <w:r>
        <w:rPr>
          <w:rFonts w:ascii="Arial" w:cs="Arial" w:eastAsia="Arial" w:hAnsi="Arial"/>
          <w:sz w:val="17"/>
          <w:szCs w:val="17"/>
          <w:color w:val="auto"/>
        </w:rPr>
        <w:t>vote” for the matters on which the broker does not vote. As a result, we urge you to direct your bank, broker, trustee, or other nominee on how to vote your shares on all proposals to ensure that your vote is counted.</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16. Who bears the cost of soliciting votes for the Annual Meeting?</w:t>
      </w:r>
    </w:p>
    <w:p>
      <w:pPr>
        <w:spacing w:after="0" w:line="142"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The Company bears the cost of the Company’s solicitation of your vote. The Company’s directors, officers, or employees may solicit proxies or votes in person, by telephone, or by electronic communication. They will not receive any additional compensation for these solicitation activities.</w:t>
      </w:r>
    </w:p>
    <w:p>
      <w:pPr>
        <w:spacing w:after="0" w:line="58" w:lineRule="exact"/>
        <w:rPr>
          <w:sz w:val="20"/>
          <w:szCs w:val="20"/>
          <w:color w:val="auto"/>
        </w:rPr>
      </w:pPr>
    </w:p>
    <w:p>
      <w:pPr>
        <w:ind w:right="260"/>
        <w:spacing w:after="0" w:line="225" w:lineRule="exact"/>
        <w:rPr>
          <w:sz w:val="20"/>
          <w:szCs w:val="20"/>
          <w:color w:val="auto"/>
        </w:rPr>
      </w:pPr>
      <w:r>
        <w:rPr>
          <w:rFonts w:ascii="Arial" w:cs="Arial" w:eastAsia="Arial" w:hAnsi="Arial"/>
          <w:sz w:val="17"/>
          <w:szCs w:val="17"/>
          <w:color w:val="auto"/>
        </w:rPr>
        <w:t>The Company will enlist the help of banks, brokers, and other nominee holders in soliciting proxies for the Annual Meeting from their customers (i.e., beneficial shareholders) and reimburse those firms for related out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pocket expenses. We retained Sodali &amp; Co to aid in soliciting votes for the Annual Meeting for a fee not to exceed $15,000, plus reasonable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120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44310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10375" cy="4431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0"/>
        <w:spacing w:after="0"/>
        <w:rPr>
          <w:sz w:val="20"/>
          <w:szCs w:val="20"/>
          <w:color w:val="auto"/>
        </w:rPr>
      </w:pPr>
      <w:r>
        <w:rPr>
          <w:rFonts w:ascii="Arial" w:cs="Arial" w:eastAsia="Arial" w:hAnsi="Arial"/>
          <w:sz w:val="22"/>
          <w:szCs w:val="22"/>
          <w:b w:val="1"/>
          <w:bCs w:val="1"/>
          <w:color w:val="auto"/>
        </w:rPr>
        <w:t>FREQUENTLY ASKED QUESTIONS ABOUT THE ANNUAL MEETING AND VOTING</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Frequently Asked Questions About the Annual Meeting and Voting</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17. Two shareholders live at my address. Why did we only receive one set of Proxy Materials?</w:t>
      </w:r>
    </w:p>
    <w:p>
      <w:pPr>
        <w:spacing w:after="0" w:line="1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adopted procedures that allow us to deliver Proxy Materials more cost effectively. If you are a beneficial shareholder and you and other residents at your mailing address share the same last name and also own shares of Common Stock in an account at the same broker, bank, or other nominee, your nominee delivered a single Notice or set of Proxy Materials to your address, unless you provided contrary instructions. This method of delivery is known as householding. Householding reduces the number of mailings you receive, saves on printing and postage costs, and helps the environment. Shareholders participating in householding continue to receive separate proxy cards and control numbers for voting electronically.</w:t>
      </w:r>
    </w:p>
    <w:p>
      <w:pPr>
        <w:spacing w:after="0" w:line="83" w:lineRule="exact"/>
        <w:rPr>
          <w:sz w:val="20"/>
          <w:szCs w:val="20"/>
          <w:color w:val="auto"/>
        </w:rPr>
      </w:pPr>
    </w:p>
    <w:p>
      <w:pPr>
        <w:ind w:right="40"/>
        <w:spacing w:after="0" w:line="222" w:lineRule="exact"/>
        <w:rPr>
          <w:sz w:val="20"/>
          <w:szCs w:val="20"/>
          <w:color w:val="auto"/>
        </w:rPr>
      </w:pPr>
      <w:r>
        <w:rPr>
          <w:rFonts w:ascii="Arial" w:cs="Arial" w:eastAsia="Arial" w:hAnsi="Arial"/>
          <w:sz w:val="17"/>
          <w:szCs w:val="17"/>
          <w:color w:val="auto"/>
        </w:rPr>
        <w:t>A shareholder who received a single Notice or set of Proxy Materials at a shared address may request a separate copy of the Notice or Proxy Materials by calling free of charge 1</w:t>
      </w:r>
      <w:r>
        <w:rPr>
          <w:rFonts w:ascii="MS PGothic" w:cs="MS PGothic" w:eastAsia="MS PGothic" w:hAnsi="MS PGothic"/>
          <w:sz w:val="17"/>
          <w:szCs w:val="17"/>
          <w:color w:val="auto"/>
        </w:rPr>
        <w:t>‑</w:t>
      </w:r>
      <w:r>
        <w:rPr>
          <w:rFonts w:ascii="Arial" w:cs="Arial" w:eastAsia="Arial" w:hAnsi="Arial"/>
          <w:sz w:val="17"/>
          <w:szCs w:val="17"/>
          <w:color w:val="auto"/>
        </w:rPr>
        <w:t>866</w:t>
      </w:r>
      <w:r>
        <w:rPr>
          <w:rFonts w:ascii="MS PGothic" w:cs="MS PGothic" w:eastAsia="MS PGothic" w:hAnsi="MS PGothic"/>
          <w:sz w:val="17"/>
          <w:szCs w:val="17"/>
          <w:color w:val="auto"/>
        </w:rPr>
        <w:t>‑</w:t>
      </w:r>
      <w:r>
        <w:rPr>
          <w:rFonts w:ascii="Arial" w:cs="Arial" w:eastAsia="Arial" w:hAnsi="Arial"/>
          <w:sz w:val="17"/>
          <w:szCs w:val="17"/>
          <w:color w:val="auto"/>
        </w:rPr>
        <w:t>648</w:t>
      </w:r>
      <w:r>
        <w:rPr>
          <w:rFonts w:ascii="MS PGothic" w:cs="MS PGothic" w:eastAsia="MS PGothic" w:hAnsi="MS PGothic"/>
          <w:sz w:val="17"/>
          <w:szCs w:val="17"/>
          <w:color w:val="auto"/>
        </w:rPr>
        <w:t>‑</w:t>
      </w:r>
      <w:r>
        <w:rPr>
          <w:rFonts w:ascii="Arial" w:cs="Arial" w:eastAsia="Arial" w:hAnsi="Arial"/>
          <w:sz w:val="17"/>
          <w:szCs w:val="17"/>
          <w:color w:val="auto"/>
        </w:rPr>
        <w:t xml:space="preserve">8133 in the United States and Canada or sending an email to </w:t>
      </w:r>
      <w:r>
        <w:rPr>
          <w:rFonts w:ascii="Arial" w:cs="Arial" w:eastAsia="Arial" w:hAnsi="Arial"/>
          <w:sz w:val="17"/>
          <w:szCs w:val="17"/>
          <w:b w:val="1"/>
          <w:bCs w:val="1"/>
          <w:i w:val="1"/>
          <w:iCs w:val="1"/>
          <w:color w:val="582C83"/>
        </w:rPr>
        <w:t>paper@investorelections.com</w:t>
      </w:r>
      <w:r>
        <w:rPr>
          <w:rFonts w:ascii="Arial" w:cs="Arial" w:eastAsia="Arial" w:hAnsi="Arial"/>
          <w:sz w:val="17"/>
          <w:szCs w:val="17"/>
          <w:color w:val="auto"/>
        </w:rPr>
        <w:t>, with the control number that is printed on your Notice, Proxy Card, or VIF. We will deliver promptly a separate copy of the Notice or Proxy Materials to a shareholder at a shared address to which a single copy was delivered, if requested. If you would like to opt out of householding for future deliveries of Proxy Materials, please contact your broker, bank, or other nominee.</w:t>
      </w:r>
    </w:p>
    <w:p>
      <w:pPr>
        <w:spacing w:after="0" w:line="115"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color w:val="auto"/>
        </w:rPr>
        <w:t>Beneficial shareholders who share an address and receive multiple copies of the Proxy Materials but want to receive only a single copy of these materials in the future should contact their broker, bank, or other nominee and make this request.</w:t>
      </w:r>
    </w:p>
    <w:p>
      <w:pPr>
        <w:spacing w:after="0" w:line="78"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If you are a registered shareholder or hold your shares in an employee benefit plan, we sent you and each registered or plan shareholder at your address separate Notices or sets of Proxy Materials.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18. Are my votes confidential?</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Yes. Your votes will not be disclosed to our directors, officers, or employees except:</w:t>
      </w:r>
    </w:p>
    <w:p>
      <w:pPr>
        <w:sectPr>
          <w:pgSz w:w="11900" w:h="16838" w:orient="portrait"/>
          <w:cols w:equalWidth="0" w:num="1">
            <w:col w:w="9040"/>
          </w:cols>
          <w:pgMar w:left="1420" w:top="104" w:right="1439" w:bottom="0" w:gutter="0" w:footer="0" w:header="0"/>
        </w:sectPr>
      </w:pPr>
    </w:p>
    <w:bookmarkStart w:id="105" w:name="page106"/>
    <w:bookmarkEnd w:id="105"/>
    <w:p>
      <w:pPr>
        <w:ind w:left="140" w:hanging="133"/>
        <w:spacing w:after="0"/>
        <w:tabs>
          <w:tab w:leader="none" w:pos="140" w:val="left"/>
        </w:tabs>
        <w:numPr>
          <w:ilvl w:val="0"/>
          <w:numId w:val="128"/>
        </w:numPr>
        <w:rPr>
          <w:rFonts w:ascii="Arial" w:cs="Arial" w:eastAsia="Arial" w:hAnsi="Arial"/>
          <w:sz w:val="17"/>
          <w:szCs w:val="17"/>
          <w:color w:val="582C83"/>
        </w:rPr>
      </w:pPr>
      <w:r>
        <w:rPr>
          <w:rFonts w:ascii="Arial" w:cs="Arial" w:eastAsia="Arial" w:hAnsi="Arial"/>
          <w:sz w:val="17"/>
          <w:szCs w:val="17"/>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4253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10375" cy="4425315"/>
                    </a:xfrm>
                    <a:prstGeom prst="rect">
                      <a:avLst/>
                    </a:prstGeom>
                    <a:noFill/>
                  </pic:spPr>
                </pic:pic>
              </a:graphicData>
            </a:graphic>
          </wp:anchor>
        </w:drawing>
        <w:t>as necessary to meet applicable legal requirements and to assert or defend claims for or against us;</w:t>
      </w:r>
    </w:p>
    <w:p>
      <w:pPr>
        <w:spacing w:after="0" w:line="61" w:lineRule="exact"/>
        <w:rPr>
          <w:rFonts w:ascii="Arial" w:cs="Arial" w:eastAsia="Arial" w:hAnsi="Arial"/>
          <w:sz w:val="17"/>
          <w:szCs w:val="17"/>
          <w:color w:val="582C83"/>
        </w:rPr>
      </w:pPr>
    </w:p>
    <w:p>
      <w:pPr>
        <w:ind w:left="140" w:hanging="133"/>
        <w:spacing w:after="0"/>
        <w:tabs>
          <w:tab w:leader="none" w:pos="140" w:val="left"/>
        </w:tabs>
        <w:numPr>
          <w:ilvl w:val="0"/>
          <w:numId w:val="128"/>
        </w:numPr>
        <w:rPr>
          <w:rFonts w:ascii="Arial" w:cs="Arial" w:eastAsia="Arial" w:hAnsi="Arial"/>
          <w:sz w:val="17"/>
          <w:szCs w:val="17"/>
          <w:color w:val="582C83"/>
        </w:rPr>
      </w:pPr>
      <w:r>
        <w:rPr>
          <w:rFonts w:ascii="Arial" w:cs="Arial" w:eastAsia="Arial" w:hAnsi="Arial"/>
          <w:sz w:val="17"/>
          <w:szCs w:val="17"/>
          <w:color w:val="auto"/>
        </w:rPr>
        <w:t>in the case of a contested proxy solicitation;</w:t>
      </w:r>
    </w:p>
    <w:p>
      <w:pPr>
        <w:spacing w:after="0" w:line="61" w:lineRule="exact"/>
        <w:rPr>
          <w:rFonts w:ascii="Arial" w:cs="Arial" w:eastAsia="Arial" w:hAnsi="Arial"/>
          <w:sz w:val="17"/>
          <w:szCs w:val="17"/>
          <w:color w:val="582C83"/>
        </w:rPr>
      </w:pPr>
    </w:p>
    <w:p>
      <w:pPr>
        <w:ind w:left="140" w:right="939" w:hanging="133"/>
        <w:spacing w:after="0" w:line="298" w:lineRule="auto"/>
        <w:tabs>
          <w:tab w:leader="none" w:pos="140" w:val="left"/>
        </w:tabs>
        <w:numPr>
          <w:ilvl w:val="0"/>
          <w:numId w:val="128"/>
        </w:numPr>
        <w:rPr>
          <w:rFonts w:ascii="Arial" w:cs="Arial" w:eastAsia="Arial" w:hAnsi="Arial"/>
          <w:sz w:val="17"/>
          <w:szCs w:val="17"/>
          <w:color w:val="582C83"/>
        </w:rPr>
      </w:pPr>
      <w:r>
        <w:rPr>
          <w:rFonts w:ascii="Arial" w:cs="Arial" w:eastAsia="Arial" w:hAnsi="Arial"/>
          <w:sz w:val="17"/>
          <w:szCs w:val="17"/>
          <w:color w:val="auto"/>
        </w:rPr>
        <w:t>if you provide a comment with your proxy or otherwise communicate your vote to us outside of the normal procedures; or</w:t>
      </w:r>
    </w:p>
    <w:p>
      <w:pPr>
        <w:ind w:left="140" w:hanging="133"/>
        <w:spacing w:after="0"/>
        <w:tabs>
          <w:tab w:leader="none" w:pos="140" w:val="left"/>
        </w:tabs>
        <w:numPr>
          <w:ilvl w:val="0"/>
          <w:numId w:val="128"/>
        </w:numPr>
        <w:rPr>
          <w:rFonts w:ascii="Arial" w:cs="Arial" w:eastAsia="Arial" w:hAnsi="Arial"/>
          <w:sz w:val="17"/>
          <w:szCs w:val="17"/>
          <w:color w:val="582C83"/>
        </w:rPr>
      </w:pPr>
      <w:r>
        <w:rPr>
          <w:rFonts w:ascii="Arial" w:cs="Arial" w:eastAsia="Arial" w:hAnsi="Arial"/>
          <w:sz w:val="17"/>
          <w:szCs w:val="17"/>
          <w:color w:val="auto"/>
        </w:rPr>
        <w:t>as necessary to allow the inspector of election to certify the results.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19. Who counts the votes and certifies the voting results?</w:t>
      </w:r>
    </w:p>
    <w:p>
      <w:pPr>
        <w:spacing w:after="0" w:line="142" w:lineRule="exact"/>
        <w:rPr>
          <w:sz w:val="20"/>
          <w:szCs w:val="20"/>
          <w:color w:val="auto"/>
        </w:rPr>
      </w:pPr>
    </w:p>
    <w:p>
      <w:pPr>
        <w:ind w:right="59"/>
        <w:spacing w:after="0" w:line="301" w:lineRule="auto"/>
        <w:rPr>
          <w:sz w:val="20"/>
          <w:szCs w:val="20"/>
          <w:color w:val="auto"/>
        </w:rPr>
      </w:pPr>
      <w:r>
        <w:rPr>
          <w:rFonts w:ascii="Arial" w:cs="Arial" w:eastAsia="Arial" w:hAnsi="Arial"/>
          <w:sz w:val="17"/>
          <w:szCs w:val="17"/>
          <w:color w:val="auto"/>
        </w:rPr>
        <w:t>Mediant, a BetaNXT Business, will receive and tabulate the proxies. Representatives of Mediant, a BetaNXT Business, will also act as the inspectors of election and will certify the results.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582C83"/>
        </w:rPr>
        <w:t>20. How do I find out the voting results?</w:t>
      </w:r>
    </w:p>
    <w:p>
      <w:pPr>
        <w:spacing w:after="0" w:line="129" w:lineRule="exact"/>
        <w:rPr>
          <w:sz w:val="20"/>
          <w:szCs w:val="20"/>
          <w:color w:val="auto"/>
        </w:rPr>
      </w:pPr>
    </w:p>
    <w:p>
      <w:pPr>
        <w:ind w:right="559"/>
        <w:spacing w:after="0" w:line="227" w:lineRule="exact"/>
        <w:rPr>
          <w:sz w:val="20"/>
          <w:szCs w:val="20"/>
          <w:color w:val="auto"/>
        </w:rPr>
      </w:pPr>
      <w:r>
        <w:rPr>
          <w:rFonts w:ascii="Arial" w:cs="Arial" w:eastAsia="Arial" w:hAnsi="Arial"/>
          <w:sz w:val="17"/>
          <w:szCs w:val="17"/>
          <w:color w:val="auto"/>
        </w:rPr>
        <w:t>We expect to announce preliminary voting results at the Annual Meeting. We will disclose final voting results in a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to be filed with the SEC. The Form 8</w:t>
      </w:r>
      <w:r>
        <w:rPr>
          <w:rFonts w:ascii="MS PGothic" w:cs="MS PGothic" w:eastAsia="MS PGothic" w:hAnsi="MS PGothic"/>
          <w:sz w:val="17"/>
          <w:szCs w:val="17"/>
          <w:color w:val="auto"/>
        </w:rPr>
        <w:t>‑</w:t>
      </w:r>
      <w:r>
        <w:rPr>
          <w:rFonts w:ascii="Arial" w:cs="Arial" w:eastAsia="Arial" w:hAnsi="Arial"/>
          <w:sz w:val="17"/>
          <w:szCs w:val="17"/>
          <w:color w:val="auto"/>
        </w:rPr>
        <w:t xml:space="preserve">K will be available at </w:t>
      </w:r>
      <w:r>
        <w:rPr>
          <w:rFonts w:ascii="Arial" w:cs="Arial" w:eastAsia="Arial" w:hAnsi="Arial"/>
          <w:sz w:val="17"/>
          <w:szCs w:val="17"/>
          <w:b w:val="1"/>
          <w:bCs w:val="1"/>
          <w:i w:val="1"/>
          <w:iCs w:val="1"/>
          <w:color w:val="582C83"/>
        </w:rPr>
        <w:t xml:space="preserve">http://ir.mondelezinternational.com/sec.cfm </w:t>
      </w:r>
      <w:r>
        <w:rPr>
          <w:rFonts w:ascii="Arial" w:cs="Arial" w:eastAsia="Arial" w:hAnsi="Arial"/>
          <w:sz w:val="17"/>
          <w:szCs w:val="17"/>
          <w:color w:val="000000"/>
        </w:rPr>
        <w:t>and on the SEC’s website at</w:t>
      </w:r>
      <w:r>
        <w:rPr>
          <w:rFonts w:ascii="Arial" w:cs="Arial" w:eastAsia="Arial" w:hAnsi="Arial"/>
          <w:sz w:val="17"/>
          <w:szCs w:val="17"/>
          <w:b w:val="1"/>
          <w:bCs w:val="1"/>
          <w:i w:val="1"/>
          <w:iCs w:val="1"/>
          <w:color w:val="582C83"/>
        </w:rPr>
        <w:t xml:space="preserve"> www.sec.gov</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582C83"/>
        </w:rPr>
        <w:t>2026 PROXY STATEMENT |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60083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10375" cy="6008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079"/>
        <w:spacing w:after="0" w:line="298" w:lineRule="auto"/>
        <w:rPr>
          <w:sz w:val="20"/>
          <w:szCs w:val="20"/>
          <w:color w:val="auto"/>
        </w:rPr>
      </w:pPr>
      <w:r>
        <w:rPr>
          <w:rFonts w:ascii="Arial" w:cs="Arial" w:eastAsia="Arial" w:hAnsi="Arial"/>
          <w:sz w:val="45"/>
          <w:szCs w:val="45"/>
          <w:b w:val="1"/>
          <w:bCs w:val="1"/>
          <w:color w:val="582C83"/>
        </w:rPr>
        <w:t>2027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479"/>
        <w:spacing w:after="0" w:line="284" w:lineRule="auto"/>
        <w:rPr>
          <w:sz w:val="20"/>
          <w:szCs w:val="20"/>
          <w:color w:val="auto"/>
        </w:rPr>
      </w:pPr>
      <w:r>
        <w:rPr>
          <w:rFonts w:ascii="Arial" w:cs="Arial" w:eastAsia="Arial" w:hAnsi="Arial"/>
          <w:sz w:val="17"/>
          <w:szCs w:val="17"/>
          <w:color w:val="auto"/>
        </w:rPr>
        <w:t>We currently anticipate holding the 2027 Annual Meeting of Shareholders on approximately the same date as this year’s Annual Meeting.</w:t>
      </w:r>
    </w:p>
    <w:p>
      <w:pPr>
        <w:spacing w:after="0" w:line="92" w:lineRule="exact"/>
        <w:rPr>
          <w:sz w:val="20"/>
          <w:szCs w:val="20"/>
          <w:color w:val="auto"/>
        </w:rPr>
      </w:pPr>
    </w:p>
    <w:p>
      <w:pPr>
        <w:ind w:left="440" w:right="339" w:hanging="363"/>
        <w:spacing w:after="0"/>
        <w:rPr>
          <w:sz w:val="20"/>
          <w:szCs w:val="20"/>
          <w:color w:val="auto"/>
        </w:rPr>
      </w:pPr>
      <w:r>
        <w:rPr>
          <w:sz w:val="1"/>
          <w:szCs w:val="1"/>
          <w:color w:val="auto"/>
        </w:rPr>
        <w:drawing>
          <wp:inline distT="0" distB="0" distL="0" distR="0">
            <wp:extent cx="162560" cy="16256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62560" cy="162560"/>
                    </a:xfrm>
                    <a:prstGeom prst="rect">
                      <a:avLst/>
                    </a:prstGeom>
                    <a:noFill/>
                    <a:ln>
                      <a:noFill/>
                    </a:ln>
                  </pic:spPr>
                </pic:pic>
              </a:graphicData>
            </a:graphic>
          </wp:inline>
        </w:drawing>
      </w:r>
      <w:r>
        <w:rPr>
          <w:rFonts w:ascii="Arial" w:cs="Arial" w:eastAsia="Arial" w:hAnsi="Arial"/>
          <w:sz w:val="29"/>
          <w:szCs w:val="29"/>
          <w:b w:val="1"/>
          <w:bCs w:val="1"/>
          <w:color w:val="auto"/>
        </w:rPr>
        <w:t xml:space="preserve"> SHAREHOLDER NOMINATIONS AND PROPOSALS FOR THE 2027 ANNUAL MEETING</w:t>
      </w:r>
    </w:p>
    <w:p>
      <w:pPr>
        <w:spacing w:after="0" w:line="142" w:lineRule="exact"/>
        <w:rPr>
          <w:sz w:val="20"/>
          <w:szCs w:val="20"/>
          <w:color w:val="auto"/>
        </w:rPr>
      </w:pPr>
    </w:p>
    <w:p>
      <w:pPr>
        <w:ind w:right="359"/>
        <w:spacing w:after="0" w:line="284" w:lineRule="auto"/>
        <w:rPr>
          <w:sz w:val="20"/>
          <w:szCs w:val="20"/>
          <w:color w:val="auto"/>
        </w:rPr>
      </w:pPr>
      <w:r>
        <w:rPr>
          <w:rFonts w:ascii="Arial" w:cs="Arial" w:eastAsia="Arial" w:hAnsi="Arial"/>
          <w:sz w:val="17"/>
          <w:szCs w:val="17"/>
          <w:color w:val="auto"/>
        </w:rPr>
        <w:t>Shareholders should mail all nominations and proposals to the Corporate Secretary at Mondelēz International, Inc., 905 West Fulton Market, Suite 200, Chicago, Illinois 60607.</w:t>
      </w:r>
    </w:p>
    <w:p>
      <w:pPr>
        <w:spacing w:after="0" w:line="50" w:lineRule="exact"/>
        <w:rPr>
          <w:sz w:val="20"/>
          <w:szCs w:val="20"/>
          <w:color w:val="auto"/>
        </w:rPr>
      </w:pPr>
    </w:p>
    <w:p>
      <w:pPr>
        <w:ind w:right="539"/>
        <w:spacing w:after="0" w:line="296" w:lineRule="auto"/>
        <w:rPr>
          <w:sz w:val="20"/>
          <w:szCs w:val="20"/>
          <w:color w:val="auto"/>
        </w:rPr>
      </w:pPr>
      <w:r>
        <w:rPr>
          <w:rFonts w:ascii="Arial" w:cs="Arial" w:eastAsia="Arial" w:hAnsi="Arial"/>
          <w:sz w:val="17"/>
          <w:szCs w:val="17"/>
          <w:color w:val="auto"/>
        </w:rPr>
        <w:t xml:space="preserve">You may obtain a copy of the By-Laws from the Corporate Secretary (please make a written request to the same address) or by visiting </w:t>
      </w:r>
      <w:r>
        <w:rPr>
          <w:rFonts w:ascii="Arial" w:cs="Arial" w:eastAsia="Arial" w:hAnsi="Arial"/>
          <w:sz w:val="17"/>
          <w:szCs w:val="17"/>
          <w:b w:val="1"/>
          <w:bCs w:val="1"/>
          <w:i w:val="1"/>
          <w:iCs w:val="1"/>
          <w:color w:val="582C83"/>
        </w:rPr>
        <w:t>www.mondelezinternational.com/investors/corporate-governance</w:t>
      </w:r>
      <w:r>
        <w:rPr>
          <w:rFonts w:ascii="Arial" w:cs="Arial" w:eastAsia="Arial" w:hAnsi="Arial"/>
          <w:sz w:val="17"/>
          <w:szCs w:val="17"/>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582C83"/>
        </w:rPr>
        <w:t>Shareholder Director Candidates for Possible Inclusion in the Company’s 2027 Proxy Materials (“Proxy Access”)</w:t>
      </w:r>
    </w:p>
    <w:p>
      <w:pPr>
        <w:spacing w:after="0" w:line="105" w:lineRule="exact"/>
        <w:rPr>
          <w:sz w:val="20"/>
          <w:szCs w:val="20"/>
          <w:color w:val="auto"/>
        </w:rPr>
      </w:pPr>
    </w:p>
    <w:p>
      <w:pPr>
        <w:ind w:right="399"/>
        <w:spacing w:after="0" w:line="266" w:lineRule="auto"/>
        <w:rPr>
          <w:sz w:val="20"/>
          <w:szCs w:val="20"/>
          <w:color w:val="auto"/>
        </w:rPr>
      </w:pPr>
      <w:r>
        <w:rPr>
          <w:rFonts w:ascii="Arial" w:cs="Arial" w:eastAsia="Arial" w:hAnsi="Arial"/>
          <w:sz w:val="17"/>
          <w:szCs w:val="17"/>
          <w:color w:val="auto"/>
        </w:rPr>
        <w:t>The By-Laws provide for proxy access. One or more shareholders may nominate and include in the 2027 proxy materials director nominees provided that the shareholder(s) and the nominee(s) satisfy the terms, conditions, and requirements specified in the By-Laws. The key parameters are:</w:t>
      </w:r>
    </w:p>
    <w:p>
      <w:pPr>
        <w:spacing w:after="0" w:line="66" w:lineRule="exact"/>
        <w:rPr>
          <w:sz w:val="20"/>
          <w:szCs w:val="20"/>
          <w:color w:val="auto"/>
        </w:rPr>
      </w:pPr>
    </w:p>
    <w:p>
      <w:pPr>
        <w:ind w:left="140" w:right="859" w:hanging="133"/>
        <w:spacing w:after="0" w:line="265" w:lineRule="auto"/>
        <w:tabs>
          <w:tab w:leader="none" w:pos="140" w:val="left"/>
        </w:tabs>
        <w:numPr>
          <w:ilvl w:val="0"/>
          <w:numId w:val="129"/>
        </w:numPr>
        <w:rPr>
          <w:rFonts w:ascii="Arial" w:cs="Arial" w:eastAsia="Arial" w:hAnsi="Arial"/>
          <w:sz w:val="17"/>
          <w:szCs w:val="17"/>
          <w:color w:val="582C83"/>
        </w:rPr>
      </w:pPr>
      <w:r>
        <w:rPr>
          <w:rFonts w:ascii="Arial" w:cs="Arial" w:eastAsia="Arial" w:hAnsi="Arial"/>
          <w:sz w:val="17"/>
          <w:szCs w:val="17"/>
          <w:b w:val="1"/>
          <w:bCs w:val="1"/>
          <w:i w:val="1"/>
          <w:iCs w:val="1"/>
          <w:color w:val="582C83"/>
        </w:rPr>
        <w:t xml:space="preserve">Minimum Ownership Threshold: </w:t>
      </w:r>
      <w:r>
        <w:rPr>
          <w:rFonts w:ascii="Arial" w:cs="Arial" w:eastAsia="Arial" w:hAnsi="Arial"/>
          <w:sz w:val="17"/>
          <w:szCs w:val="17"/>
          <w:color w:val="000000"/>
        </w:rPr>
        <w:t>the nominating shareholder(s) must own 3% or more of the outstanding</w:t>
      </w:r>
      <w:r>
        <w:rPr>
          <w:rFonts w:ascii="Arial" w:cs="Arial" w:eastAsia="Arial" w:hAnsi="Arial"/>
          <w:sz w:val="17"/>
          <w:szCs w:val="17"/>
          <w:b w:val="1"/>
          <w:bCs w:val="1"/>
          <w:i w:val="1"/>
          <w:iCs w:val="1"/>
          <w:color w:val="582C83"/>
        </w:rPr>
        <w:t xml:space="preserve"> </w:t>
      </w:r>
      <w:r>
        <w:rPr>
          <w:rFonts w:ascii="Arial" w:cs="Arial" w:eastAsia="Arial" w:hAnsi="Arial"/>
          <w:sz w:val="17"/>
          <w:szCs w:val="17"/>
          <w:color w:val="000000"/>
        </w:rPr>
        <w:t>Common Stock;</w:t>
      </w:r>
    </w:p>
    <w:p>
      <w:pPr>
        <w:ind w:left="140" w:hanging="133"/>
        <w:spacing w:after="0"/>
        <w:tabs>
          <w:tab w:leader="none" w:pos="140" w:val="left"/>
        </w:tabs>
        <w:numPr>
          <w:ilvl w:val="0"/>
          <w:numId w:val="129"/>
        </w:numPr>
        <w:rPr>
          <w:rFonts w:ascii="Arial" w:cs="Arial" w:eastAsia="Arial" w:hAnsi="Arial"/>
          <w:sz w:val="17"/>
          <w:szCs w:val="17"/>
          <w:color w:val="582C83"/>
        </w:rPr>
      </w:pPr>
      <w:r>
        <w:rPr>
          <w:rFonts w:ascii="Arial" w:cs="Arial" w:eastAsia="Arial" w:hAnsi="Arial"/>
          <w:sz w:val="17"/>
          <w:szCs w:val="17"/>
          <w:b w:val="1"/>
          <w:bCs w:val="1"/>
          <w:i w:val="1"/>
          <w:iCs w:val="1"/>
          <w:color w:val="582C83"/>
        </w:rPr>
        <w:t xml:space="preserve">Ownership Duration: </w:t>
      </w:r>
      <w:r>
        <w:rPr>
          <w:rFonts w:ascii="Arial" w:cs="Arial" w:eastAsia="Arial" w:hAnsi="Arial"/>
          <w:sz w:val="17"/>
          <w:szCs w:val="17"/>
          <w:color w:val="000000"/>
        </w:rPr>
        <w:t>such Common Stock must have been held continuously for at least three years;</w:t>
      </w:r>
    </w:p>
    <w:p>
      <w:pPr>
        <w:spacing w:after="0" w:line="47" w:lineRule="exact"/>
        <w:rPr>
          <w:rFonts w:ascii="Arial" w:cs="Arial" w:eastAsia="Arial" w:hAnsi="Arial"/>
          <w:sz w:val="17"/>
          <w:szCs w:val="17"/>
          <w:color w:val="582C83"/>
        </w:rPr>
      </w:pPr>
    </w:p>
    <w:p>
      <w:pPr>
        <w:ind w:left="140" w:hanging="133"/>
        <w:spacing w:after="0"/>
        <w:tabs>
          <w:tab w:leader="none" w:pos="140" w:val="left"/>
        </w:tabs>
        <w:numPr>
          <w:ilvl w:val="0"/>
          <w:numId w:val="129"/>
        </w:numPr>
        <w:rPr>
          <w:rFonts w:ascii="Arial" w:cs="Arial" w:eastAsia="Arial" w:hAnsi="Arial"/>
          <w:sz w:val="17"/>
          <w:szCs w:val="17"/>
          <w:color w:val="582C83"/>
        </w:rPr>
      </w:pPr>
      <w:r>
        <w:rPr>
          <w:rFonts w:ascii="Arial" w:cs="Arial" w:eastAsia="Arial" w:hAnsi="Arial"/>
          <w:sz w:val="17"/>
          <w:szCs w:val="17"/>
          <w:b w:val="1"/>
          <w:bCs w:val="1"/>
          <w:i w:val="1"/>
          <w:iCs w:val="1"/>
          <w:color w:val="582C83"/>
        </w:rPr>
        <w:t xml:space="preserve">Nominating Group Size: </w:t>
      </w:r>
      <w:r>
        <w:rPr>
          <w:rFonts w:ascii="Arial" w:cs="Arial" w:eastAsia="Arial" w:hAnsi="Arial"/>
          <w:sz w:val="17"/>
          <w:szCs w:val="17"/>
          <w:color w:val="000000"/>
        </w:rPr>
        <w:t>a nominating shareholder group cannot consist of more than 20 shareholders; and</w:t>
      </w:r>
    </w:p>
    <w:p>
      <w:pPr>
        <w:spacing w:after="0" w:line="39" w:lineRule="exact"/>
        <w:rPr>
          <w:rFonts w:ascii="Arial" w:cs="Arial" w:eastAsia="Arial" w:hAnsi="Arial"/>
          <w:sz w:val="17"/>
          <w:szCs w:val="17"/>
          <w:color w:val="582C83"/>
        </w:rPr>
      </w:pPr>
    </w:p>
    <w:p>
      <w:pPr>
        <w:ind w:left="140" w:hanging="133"/>
        <w:spacing w:after="0"/>
        <w:tabs>
          <w:tab w:leader="none" w:pos="140" w:val="left"/>
        </w:tabs>
        <w:numPr>
          <w:ilvl w:val="0"/>
          <w:numId w:val="129"/>
        </w:numPr>
        <w:rPr>
          <w:rFonts w:ascii="Arial" w:cs="Arial" w:eastAsia="Arial" w:hAnsi="Arial"/>
          <w:sz w:val="17"/>
          <w:szCs w:val="17"/>
          <w:color w:val="582C83"/>
        </w:rPr>
      </w:pPr>
      <w:r>
        <w:rPr>
          <w:rFonts w:ascii="Arial" w:cs="Arial" w:eastAsia="Arial" w:hAnsi="Arial"/>
          <w:sz w:val="17"/>
          <w:szCs w:val="17"/>
          <w:b w:val="1"/>
          <w:bCs w:val="1"/>
          <w:i w:val="1"/>
          <w:iCs w:val="1"/>
          <w:color w:val="582C83"/>
        </w:rPr>
        <w:t xml:space="preserve">Number of Nominees: </w:t>
      </w:r>
      <w:r>
        <w:rPr>
          <w:rFonts w:ascii="Arial" w:cs="Arial" w:eastAsia="Arial" w:hAnsi="Arial"/>
          <w:sz w:val="17"/>
          <w:szCs w:val="17"/>
          <w:color w:val="000000"/>
        </w:rPr>
        <w:t>appropriate shareholders may nominate the greater of 20% of the Board or two nominees.</w:t>
      </w:r>
    </w:p>
    <w:p>
      <w:pPr>
        <w:spacing w:after="0" w:line="110" w:lineRule="exact"/>
        <w:rPr>
          <w:sz w:val="20"/>
          <w:szCs w:val="20"/>
          <w:color w:val="auto"/>
        </w:rPr>
      </w:pPr>
    </w:p>
    <w:p>
      <w:pPr>
        <w:ind w:right="199"/>
        <w:spacing w:after="0" w:line="284" w:lineRule="auto"/>
        <w:rPr>
          <w:sz w:val="20"/>
          <w:szCs w:val="20"/>
          <w:color w:val="auto"/>
        </w:rPr>
      </w:pPr>
      <w:r>
        <w:rPr>
          <w:rFonts w:ascii="Arial" w:cs="Arial" w:eastAsia="Arial" w:hAnsi="Arial"/>
          <w:sz w:val="17"/>
          <w:szCs w:val="17"/>
          <w:color w:val="auto"/>
        </w:rPr>
        <w:t>To be included in the proxy materials for the 2027 Annual Meeting of Shareholders, the Corporate Secretary must receive the required written notice and required information specified in the By-Laws on or before December 4, 2026.</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582C83"/>
        </w:rPr>
        <w:t>Shareholder Proposals for Possible Inclusion in the Company’s 2027 Proxy Materials</w:t>
      </w:r>
    </w:p>
    <w:p>
      <w:pPr>
        <w:spacing w:after="0" w:line="105" w:lineRule="exact"/>
        <w:rPr>
          <w:sz w:val="20"/>
          <w:szCs w:val="20"/>
          <w:color w:val="auto"/>
        </w:rPr>
      </w:pPr>
    </w:p>
    <w:p>
      <w:pPr>
        <w:ind w:right="139"/>
        <w:spacing w:after="0" w:line="257" w:lineRule="auto"/>
        <w:rPr>
          <w:sz w:val="20"/>
          <w:szCs w:val="20"/>
          <w:color w:val="auto"/>
        </w:rPr>
      </w:pPr>
      <w:r>
        <w:rPr>
          <w:rFonts w:ascii="Arial" w:cs="Arial" w:eastAsia="Arial" w:hAnsi="Arial"/>
          <w:sz w:val="17"/>
          <w:szCs w:val="17"/>
          <w:color w:val="auto"/>
        </w:rPr>
        <w:t>Under SEC Rule 14a-8, a shareholder may submit a proposal for possible inclusion in the 2027 proxy materials for an annual meeting of shareholders. The Corporate Secretary must receive the proposal and other required information at our principal executive offices not later than 120 calendar days before the one-year anniversary date of the proxy statement’s release for the previous year’s annual meeting. Accordingly, to be considered for inclusion in the proxy materials for the 2027 Annual Meeting of Shareholders, the Corporate Secretary must receive a shareholder’s</w:t>
      </w:r>
    </w:p>
    <w:p>
      <w:pPr>
        <w:sectPr>
          <w:pgSz w:w="11900" w:h="16838" w:orient="portrait"/>
          <w:cols w:equalWidth="0" w:num="1">
            <w:col w:w="9039"/>
          </w:cols>
          <w:pgMar w:left="1420" w:top="171" w:right="1440" w:bottom="0" w:gutter="0" w:footer="0" w:header="0"/>
        </w:sectPr>
      </w:pPr>
    </w:p>
    <w:bookmarkStart w:id="106" w:name="page107"/>
    <w:bookmarkEnd w:id="106"/>
    <w:p>
      <w:pPr>
        <w:spacing w:after="0"/>
        <w:rPr>
          <w:sz w:val="20"/>
          <w:szCs w:val="20"/>
          <w:color w:val="auto"/>
        </w:rPr>
      </w:pPr>
      <w:r>
        <w:rPr>
          <w:rFonts w:ascii="Arial" w:cs="Arial" w:eastAsia="Arial" w:hAnsi="Arial"/>
          <w:sz w:val="17"/>
          <w:szCs w:val="17"/>
          <w:color w:val="auto"/>
        </w:rPr>
        <w:t>submission of a proposal on or before the close of business on December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-100330</wp:posOffset>
            </wp:positionV>
            <wp:extent cx="6810375" cy="28479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10375" cy="284797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582C83"/>
        </w:rPr>
        <w:t>Other Proposals and Nominations for the 2027 Annual Meeting</w:t>
      </w:r>
    </w:p>
    <w:p>
      <w:pPr>
        <w:spacing w:after="0" w:line="105"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Under the By-Laws, a shareholder may nominate a candidate for election as a director or propose business for consideration at an annual meeting of shareholders (but, in either case, not for inclusion in the proxy materials) by delivering written notice that contains certain required information to the Corporate Secretary and otherwise complying with other requirements included in our By-Laws (which includes information required under Rule 14a-19). To be considered at the 2027 Annual Meeting of Shareholders, the Corporate Secretary must receive a shareholder’s written notice of nomination or proposal between January 20, 2027, and February 19, 2027. If we change the date of an annual meeting by more than 30 days from the date of this year’s annual meeting, then we must receive this written notice no later than 60 days before the date of the annual meeting.</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Laura Stein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Executive Vice President, Corporate &amp; Legal Affairs,</w:t>
      </w:r>
    </w:p>
    <w:p>
      <w:pPr>
        <w:spacing w:after="0" w:line="1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General Counsel and Corporate Secretary</w:t>
      </w:r>
    </w:p>
    <w:p>
      <w:pPr>
        <w:spacing w:after="0" w:line="34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122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75857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10375" cy="758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520"/>
        <w:spacing w:after="0" w:line="298" w:lineRule="auto"/>
        <w:rPr>
          <w:sz w:val="20"/>
          <w:szCs w:val="20"/>
          <w:color w:val="auto"/>
        </w:rPr>
      </w:pPr>
      <w:r>
        <w:rPr>
          <w:rFonts w:ascii="Arial" w:cs="Arial" w:eastAsia="Arial" w:hAnsi="Arial"/>
          <w:sz w:val="45"/>
          <w:szCs w:val="45"/>
          <w:b w:val="1"/>
          <w:bCs w:val="1"/>
          <w:color w:val="582C83"/>
        </w:rPr>
        <w:t>ANNEX A: FINANCIAL MEASURES DEFINITIONS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report our financial results in accordance with U.S. GAAP. However, we use non-GAAP financial measures in making financial, operating, and planning decisions, and in evaluating our performance. Therefore, we also base financial targets for our AIP and PSU grants on non-GAAP and other financial measures. The chart below defines each measure and describes the adjustments to the related GAAP measure (if applicable), modifications to our non-GAAP measures for purposes of our compensation targets and our reasons for using these measures. (See our 2025 Form 10-K for additional information on our non-GAAP financial measures and definitions of terms used in the Definitions column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60" w:type="dxa"/>
            <w:vAlign w:val="bottom"/>
          </w:tcPr>
          <w:p>
            <w:pPr>
              <w:spacing w:after="0"/>
              <w:rPr>
                <w:sz w:val="15"/>
                <w:szCs w:val="15"/>
                <w:color w:val="auto"/>
              </w:rPr>
            </w:pPr>
          </w:p>
        </w:tc>
        <w:tc>
          <w:tcPr>
            <w:tcW w:w="3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Definitions</w:t>
            </w:r>
          </w:p>
        </w:tc>
        <w:tc>
          <w:tcPr>
            <w:tcW w:w="16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460" w:type="dxa"/>
            <w:vAlign w:val="bottom"/>
            <w:tcBorders>
              <w:bottom w:val="single" w:sz="8" w:color="5A095E"/>
            </w:tcBorders>
          </w:tcPr>
          <w:p>
            <w:pPr>
              <w:ind w:left="60"/>
              <w:spacing w:after="0" w:line="158" w:lineRule="exact"/>
              <w:rPr>
                <w:sz w:val="20"/>
                <w:szCs w:val="20"/>
                <w:color w:val="auto"/>
              </w:rPr>
            </w:pPr>
            <w:r>
              <w:rPr>
                <w:rFonts w:ascii="Arial" w:cs="Arial" w:eastAsia="Arial" w:hAnsi="Arial"/>
                <w:sz w:val="14"/>
                <w:szCs w:val="14"/>
                <w:b w:val="1"/>
                <w:bCs w:val="1"/>
                <w:color w:val="auto"/>
              </w:rPr>
              <w:t>Measures</w:t>
            </w:r>
          </w:p>
        </w:tc>
        <w:tc>
          <w:tcPr>
            <w:tcW w:w="3560" w:type="dxa"/>
            <w:vAlign w:val="bottom"/>
            <w:tcBorders>
              <w:bottom w:val="single" w:sz="8" w:color="582C83"/>
            </w:tcBorders>
            <w:gridSpan w:val="2"/>
          </w:tcPr>
          <w:p>
            <w:pPr>
              <w:ind w:left="60"/>
              <w:spacing w:after="0" w:line="158" w:lineRule="exact"/>
              <w:rPr>
                <w:sz w:val="20"/>
                <w:szCs w:val="20"/>
                <w:color w:val="auto"/>
              </w:rPr>
            </w:pPr>
            <w:r>
              <w:rPr>
                <w:rFonts w:ascii="Arial" w:cs="Arial" w:eastAsia="Arial" w:hAnsi="Arial"/>
                <w:sz w:val="14"/>
                <w:szCs w:val="14"/>
                <w:b w:val="1"/>
                <w:bCs w:val="1"/>
                <w:color w:val="auto"/>
              </w:rPr>
              <w:t>(Including Adjustment to GAAP Measure)</w:t>
            </w:r>
          </w:p>
        </w:tc>
        <w:tc>
          <w:tcPr>
            <w:tcW w:w="1680" w:type="dxa"/>
            <w:vAlign w:val="bottom"/>
            <w:tcBorders>
              <w:bottom w:val="single" w:sz="8" w:color="582C83"/>
            </w:tcBorders>
          </w:tcPr>
          <w:p>
            <w:pPr>
              <w:ind w:left="260"/>
              <w:spacing w:after="0" w:line="158" w:lineRule="exact"/>
              <w:rPr>
                <w:sz w:val="20"/>
                <w:szCs w:val="20"/>
                <w:color w:val="auto"/>
              </w:rPr>
            </w:pPr>
            <w:r>
              <w:rPr>
                <w:rFonts w:ascii="Arial" w:cs="Arial" w:eastAsia="Arial" w:hAnsi="Arial"/>
                <w:sz w:val="14"/>
                <w:szCs w:val="14"/>
                <w:b w:val="1"/>
                <w:bCs w:val="1"/>
                <w:color w:val="auto"/>
              </w:rPr>
              <w:t>Modifications</w:t>
            </w:r>
          </w:p>
        </w:tc>
        <w:tc>
          <w:tcPr>
            <w:tcW w:w="2340" w:type="dxa"/>
            <w:vAlign w:val="bottom"/>
            <w:tcBorders>
              <w:bottom w:val="single" w:sz="8" w:color="582C83"/>
            </w:tcBorders>
          </w:tcPr>
          <w:p>
            <w:pPr>
              <w:ind w:left="480"/>
              <w:spacing w:after="0" w:line="158" w:lineRule="exact"/>
              <w:rPr>
                <w:sz w:val="20"/>
                <w:szCs w:val="20"/>
                <w:color w:val="auto"/>
              </w:rPr>
            </w:pPr>
            <w:r>
              <w:rPr>
                <w:rFonts w:ascii="Arial" w:cs="Arial" w:eastAsia="Arial" w:hAnsi="Arial"/>
                <w:sz w:val="14"/>
                <w:szCs w:val="14"/>
                <w:b w:val="1"/>
                <w:bCs w:val="1"/>
                <w:color w:val="auto"/>
              </w:rPr>
              <w:t>Rationale</w:t>
            </w:r>
          </w:p>
        </w:tc>
        <w:tc>
          <w:tcPr>
            <w:tcW w:w="0" w:type="dxa"/>
            <w:vAlign w:val="bottom"/>
          </w:tcPr>
          <w:p>
            <w:pPr>
              <w:spacing w:after="0"/>
              <w:rPr>
                <w:sz w:val="1"/>
                <w:szCs w:val="1"/>
                <w:color w:val="auto"/>
              </w:rPr>
            </w:pPr>
          </w:p>
        </w:tc>
      </w:tr>
      <w:tr>
        <w:trPr>
          <w:trHeight w:val="180"/>
        </w:trPr>
        <w:tc>
          <w:tcPr>
            <w:tcW w:w="146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Organic</w:t>
            </w:r>
          </w:p>
        </w:tc>
        <w:tc>
          <w:tcPr>
            <w:tcW w:w="3560" w:type="dxa"/>
            <w:vAlign w:val="bottom"/>
            <w:gridSpan w:val="2"/>
            <w:shd w:val="clear" w:color="auto" w:fill="E0DBEA"/>
          </w:tcPr>
          <w:p>
            <w:pPr>
              <w:ind w:left="60"/>
              <w:spacing w:after="0"/>
              <w:rPr>
                <w:sz w:val="20"/>
                <w:szCs w:val="20"/>
                <w:color w:val="auto"/>
              </w:rPr>
            </w:pPr>
            <w:r>
              <w:rPr>
                <w:rFonts w:ascii="Arial" w:cs="Arial" w:eastAsia="Arial" w:hAnsi="Arial"/>
                <w:sz w:val="14"/>
                <w:szCs w:val="14"/>
                <w:color w:val="auto"/>
              </w:rPr>
              <w:t>Organic Volume is defined as volume excluding the</w:t>
            </w:r>
          </w:p>
        </w:tc>
        <w:tc>
          <w:tcPr>
            <w:tcW w:w="1680" w:type="dxa"/>
            <w:vAlign w:val="bottom"/>
            <w:shd w:val="clear" w:color="auto" w:fill="E0DBEA"/>
          </w:tcPr>
          <w:p>
            <w:pPr>
              <w:spacing w:after="0"/>
              <w:rPr>
                <w:sz w:val="15"/>
                <w:szCs w:val="15"/>
                <w:color w:val="auto"/>
              </w:rPr>
            </w:pPr>
          </w:p>
        </w:tc>
        <w:tc>
          <w:tcPr>
            <w:tcW w:w="2340" w:type="dxa"/>
            <w:vAlign w:val="bottom"/>
            <w:shd w:val="clear" w:color="auto" w:fill="E0DBEA"/>
          </w:tcPr>
          <w:p>
            <w:pPr>
              <w:ind w:left="480"/>
              <w:spacing w:after="0"/>
              <w:rPr>
                <w:sz w:val="20"/>
                <w:szCs w:val="20"/>
                <w:color w:val="auto"/>
              </w:rPr>
            </w:pPr>
            <w:r>
              <w:rPr>
                <w:rFonts w:ascii="Arial" w:cs="Arial" w:eastAsia="Arial" w:hAnsi="Arial"/>
                <w:sz w:val="14"/>
                <w:szCs w:val="14"/>
                <w:color w:val="auto"/>
              </w:rPr>
              <w:t>Reflects the volume growth</w:t>
            </w:r>
          </w:p>
        </w:tc>
        <w:tc>
          <w:tcPr>
            <w:tcW w:w="0" w:type="dxa"/>
            <w:vAlign w:val="bottom"/>
          </w:tcPr>
          <w:p>
            <w:pPr>
              <w:spacing w:after="0"/>
              <w:rPr>
                <w:sz w:val="1"/>
                <w:szCs w:val="1"/>
                <w:color w:val="auto"/>
              </w:rPr>
            </w:pPr>
          </w:p>
        </w:tc>
      </w:tr>
      <w:tr>
        <w:trPr>
          <w:trHeight w:val="175"/>
        </w:trPr>
        <w:tc>
          <w:tcPr>
            <w:tcW w:w="146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Volume</w:t>
            </w:r>
          </w:p>
        </w:tc>
        <w:tc>
          <w:tcPr>
            <w:tcW w:w="3560" w:type="dxa"/>
            <w:vAlign w:val="bottom"/>
            <w:gridSpan w:val="2"/>
            <w:shd w:val="clear" w:color="auto" w:fill="E0DBEA"/>
          </w:tcPr>
          <w:p>
            <w:pPr>
              <w:ind w:left="60"/>
              <w:spacing w:after="0"/>
              <w:rPr>
                <w:sz w:val="20"/>
                <w:szCs w:val="20"/>
                <w:color w:val="auto"/>
              </w:rPr>
            </w:pPr>
            <w:r>
              <w:rPr>
                <w:rFonts w:ascii="Arial" w:cs="Arial" w:eastAsia="Arial" w:hAnsi="Arial"/>
                <w:sz w:val="14"/>
                <w:szCs w:val="14"/>
                <w:color w:val="auto"/>
              </w:rPr>
              <w:t>impacts of:</w:t>
            </w:r>
          </w:p>
        </w:tc>
        <w:tc>
          <w:tcPr>
            <w:tcW w:w="1680" w:type="dxa"/>
            <w:vAlign w:val="bottom"/>
            <w:shd w:val="clear" w:color="auto" w:fill="E0DBEA"/>
          </w:tcPr>
          <w:p>
            <w:pPr>
              <w:spacing w:after="0"/>
              <w:rPr>
                <w:sz w:val="15"/>
                <w:szCs w:val="15"/>
                <w:color w:val="auto"/>
              </w:rPr>
            </w:pPr>
          </w:p>
        </w:tc>
        <w:tc>
          <w:tcPr>
            <w:tcW w:w="2340" w:type="dxa"/>
            <w:vAlign w:val="bottom"/>
            <w:shd w:val="clear" w:color="auto" w:fill="E0DBEA"/>
          </w:tcPr>
          <w:p>
            <w:pPr>
              <w:ind w:left="480"/>
              <w:spacing w:after="0"/>
              <w:rPr>
                <w:sz w:val="20"/>
                <w:szCs w:val="20"/>
                <w:color w:val="auto"/>
              </w:rPr>
            </w:pPr>
            <w:r>
              <w:rPr>
                <w:rFonts w:ascii="Arial" w:cs="Arial" w:eastAsia="Arial" w:hAnsi="Arial"/>
                <w:sz w:val="14"/>
                <w:szCs w:val="14"/>
                <w:color w:val="auto"/>
              </w:rPr>
              <w:t>rates for our base business</w:t>
            </w:r>
          </w:p>
        </w:tc>
        <w:tc>
          <w:tcPr>
            <w:tcW w:w="0" w:type="dxa"/>
            <w:vAlign w:val="bottom"/>
          </w:tcPr>
          <w:p>
            <w:pPr>
              <w:spacing w:after="0"/>
              <w:rPr>
                <w:sz w:val="1"/>
                <w:szCs w:val="1"/>
                <w:color w:val="auto"/>
              </w:rPr>
            </w:pPr>
          </w:p>
        </w:tc>
      </w:tr>
      <w:tr>
        <w:trPr>
          <w:trHeight w:val="212"/>
        </w:trPr>
        <w:tc>
          <w:tcPr>
            <w:tcW w:w="146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Growth</w:t>
            </w:r>
          </w:p>
        </w:tc>
        <w:tc>
          <w:tcPr>
            <w:tcW w:w="14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3420" w:type="dxa"/>
            <w:vAlign w:val="bottom"/>
            <w:shd w:val="clear" w:color="auto" w:fill="E0DBEA"/>
          </w:tcPr>
          <w:p>
            <w:pPr>
              <w:ind w:left="40"/>
              <w:spacing w:after="0"/>
              <w:rPr>
                <w:sz w:val="20"/>
                <w:szCs w:val="20"/>
                <w:color w:val="auto"/>
              </w:rPr>
            </w:pPr>
            <w:r>
              <w:rPr>
                <w:rFonts w:ascii="Arial" w:cs="Arial" w:eastAsia="Arial" w:hAnsi="Arial"/>
                <w:sz w:val="14"/>
                <w:szCs w:val="14"/>
                <w:color w:val="auto"/>
              </w:rPr>
              <w:t>acquisitions;</w:t>
            </w:r>
          </w:p>
        </w:tc>
        <w:tc>
          <w:tcPr>
            <w:tcW w:w="1680" w:type="dxa"/>
            <w:vAlign w:val="bottom"/>
            <w:shd w:val="clear" w:color="auto" w:fill="E0DBEA"/>
          </w:tcPr>
          <w:p>
            <w:pPr>
              <w:spacing w:after="0"/>
              <w:rPr>
                <w:sz w:val="18"/>
                <w:szCs w:val="18"/>
                <w:color w:val="auto"/>
              </w:rPr>
            </w:pPr>
          </w:p>
        </w:tc>
        <w:tc>
          <w:tcPr>
            <w:tcW w:w="2340" w:type="dxa"/>
            <w:vAlign w:val="bottom"/>
            <w:shd w:val="clear" w:color="auto" w:fill="E0DBEA"/>
          </w:tcPr>
          <w:p>
            <w:pPr>
              <w:ind w:left="480"/>
              <w:spacing w:after="0"/>
              <w:rPr>
                <w:sz w:val="20"/>
                <w:szCs w:val="20"/>
                <w:color w:val="auto"/>
              </w:rPr>
            </w:pPr>
            <w:r>
              <w:rPr>
                <w:rFonts w:ascii="Arial" w:cs="Arial" w:eastAsia="Arial" w:hAnsi="Arial"/>
                <w:sz w:val="14"/>
                <w:szCs w:val="14"/>
                <w:color w:val="auto"/>
              </w:rPr>
              <w:t>by eliminating the impact of</w:t>
            </w:r>
          </w:p>
        </w:tc>
        <w:tc>
          <w:tcPr>
            <w:tcW w:w="0" w:type="dxa"/>
            <w:vAlign w:val="bottom"/>
          </w:tcPr>
          <w:p>
            <w:pPr>
              <w:spacing w:after="0"/>
              <w:rPr>
                <w:sz w:val="1"/>
                <w:szCs w:val="1"/>
                <w:color w:val="auto"/>
              </w:rPr>
            </w:pPr>
          </w:p>
        </w:tc>
      </w:tr>
      <w:tr>
        <w:trPr>
          <w:trHeight w:val="193"/>
        </w:trPr>
        <w:tc>
          <w:tcPr>
            <w:tcW w:w="146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(AIP)</w:t>
            </w:r>
          </w:p>
        </w:tc>
        <w:tc>
          <w:tcPr>
            <w:tcW w:w="140" w:type="dxa"/>
            <w:vAlign w:val="bottom"/>
            <w:vMerge w:val="restart"/>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3420" w:type="dxa"/>
            <w:vAlign w:val="bottom"/>
            <w:vMerge w:val="restart"/>
            <w:shd w:val="clear" w:color="auto" w:fill="E0DBEA"/>
          </w:tcPr>
          <w:p>
            <w:pPr>
              <w:ind w:left="40"/>
              <w:spacing w:after="0"/>
              <w:rPr>
                <w:sz w:val="20"/>
                <w:szCs w:val="20"/>
                <w:color w:val="auto"/>
              </w:rPr>
            </w:pPr>
            <w:r>
              <w:rPr>
                <w:rFonts w:ascii="Arial" w:cs="Arial" w:eastAsia="Arial" w:hAnsi="Arial"/>
                <w:sz w:val="14"/>
                <w:szCs w:val="14"/>
                <w:color w:val="auto"/>
              </w:rPr>
              <w:t>divestitures; and</w:t>
            </w:r>
          </w:p>
        </w:tc>
        <w:tc>
          <w:tcPr>
            <w:tcW w:w="1680" w:type="dxa"/>
            <w:vAlign w:val="bottom"/>
            <w:shd w:val="clear" w:color="auto" w:fill="E0DBEA"/>
          </w:tcPr>
          <w:p>
            <w:pPr>
              <w:spacing w:after="0"/>
              <w:rPr>
                <w:sz w:val="16"/>
                <w:szCs w:val="16"/>
                <w:color w:val="auto"/>
              </w:rPr>
            </w:pPr>
          </w:p>
        </w:tc>
        <w:tc>
          <w:tcPr>
            <w:tcW w:w="2340" w:type="dxa"/>
            <w:vAlign w:val="bottom"/>
            <w:shd w:val="clear" w:color="auto" w:fill="E0DBEA"/>
          </w:tcPr>
          <w:p>
            <w:pPr>
              <w:ind w:left="480"/>
              <w:spacing w:after="0"/>
              <w:rPr>
                <w:sz w:val="20"/>
                <w:szCs w:val="20"/>
                <w:color w:val="auto"/>
              </w:rPr>
            </w:pPr>
            <w:r>
              <w:rPr>
                <w:rFonts w:ascii="Arial" w:cs="Arial" w:eastAsia="Arial" w:hAnsi="Arial"/>
                <w:sz w:val="14"/>
                <w:szCs w:val="14"/>
                <w:color w:val="auto"/>
              </w:rPr>
              <w:t>certain disclosed one-time</w:t>
            </w:r>
          </w:p>
        </w:tc>
        <w:tc>
          <w:tcPr>
            <w:tcW w:w="0" w:type="dxa"/>
            <w:vAlign w:val="bottom"/>
          </w:tcPr>
          <w:p>
            <w:pPr>
              <w:spacing w:after="0"/>
              <w:rPr>
                <w:sz w:val="1"/>
                <w:szCs w:val="1"/>
                <w:color w:val="auto"/>
              </w:rPr>
            </w:pPr>
          </w:p>
        </w:tc>
      </w:tr>
      <w:tr>
        <w:trPr>
          <w:trHeight w:val="69"/>
        </w:trPr>
        <w:tc>
          <w:tcPr>
            <w:tcW w:w="1460" w:type="dxa"/>
            <w:vAlign w:val="bottom"/>
            <w:shd w:val="clear" w:color="auto" w:fill="E0DBEA"/>
          </w:tcPr>
          <w:p>
            <w:pPr>
              <w:spacing w:after="0"/>
              <w:rPr>
                <w:sz w:val="5"/>
                <w:szCs w:val="5"/>
                <w:color w:val="auto"/>
              </w:rPr>
            </w:pPr>
          </w:p>
        </w:tc>
        <w:tc>
          <w:tcPr>
            <w:tcW w:w="140" w:type="dxa"/>
            <w:vAlign w:val="bottom"/>
            <w:vMerge w:val="continue"/>
            <w:shd w:val="clear" w:color="auto" w:fill="E0DBEA"/>
          </w:tcPr>
          <w:p>
            <w:pPr>
              <w:spacing w:after="0"/>
              <w:rPr>
                <w:sz w:val="5"/>
                <w:szCs w:val="5"/>
                <w:color w:val="auto"/>
              </w:rPr>
            </w:pPr>
          </w:p>
        </w:tc>
        <w:tc>
          <w:tcPr>
            <w:tcW w:w="3420" w:type="dxa"/>
            <w:vAlign w:val="bottom"/>
            <w:vMerge w:val="continue"/>
            <w:shd w:val="clear" w:color="auto" w:fill="E0DBEA"/>
          </w:tcPr>
          <w:p>
            <w:pPr>
              <w:spacing w:after="0"/>
              <w:rPr>
                <w:sz w:val="5"/>
                <w:szCs w:val="5"/>
                <w:color w:val="auto"/>
              </w:rPr>
            </w:pPr>
          </w:p>
        </w:tc>
        <w:tc>
          <w:tcPr>
            <w:tcW w:w="1680" w:type="dxa"/>
            <w:vAlign w:val="bottom"/>
            <w:shd w:val="clear" w:color="auto" w:fill="E0DBEA"/>
          </w:tcPr>
          <w:p>
            <w:pPr>
              <w:spacing w:after="0"/>
              <w:rPr>
                <w:sz w:val="5"/>
                <w:szCs w:val="5"/>
                <w:color w:val="auto"/>
              </w:rPr>
            </w:pPr>
          </w:p>
        </w:tc>
        <w:tc>
          <w:tcPr>
            <w:tcW w:w="2340" w:type="dxa"/>
            <w:vAlign w:val="bottom"/>
            <w:vMerge w:val="restart"/>
            <w:shd w:val="clear" w:color="auto" w:fill="E0DBEA"/>
          </w:tcPr>
          <w:p>
            <w:pPr>
              <w:ind w:left="480"/>
              <w:spacing w:after="0"/>
              <w:rPr>
                <w:sz w:val="20"/>
                <w:szCs w:val="20"/>
                <w:color w:val="auto"/>
              </w:rPr>
            </w:pPr>
            <w:r>
              <w:rPr>
                <w:rFonts w:ascii="Arial" w:cs="Arial" w:eastAsia="Arial" w:hAnsi="Arial"/>
                <w:sz w:val="14"/>
                <w:szCs w:val="14"/>
                <w:color w:val="auto"/>
              </w:rPr>
              <w:t>factors, facilitating</w:t>
            </w:r>
          </w:p>
        </w:tc>
        <w:tc>
          <w:tcPr>
            <w:tcW w:w="0" w:type="dxa"/>
            <w:vAlign w:val="bottom"/>
          </w:tcPr>
          <w:p>
            <w:pPr>
              <w:spacing w:after="0"/>
              <w:rPr>
                <w:sz w:val="1"/>
                <w:szCs w:val="1"/>
                <w:color w:val="auto"/>
              </w:rPr>
            </w:pPr>
          </w:p>
        </w:tc>
      </w:tr>
      <w:tr>
        <w:trPr>
          <w:trHeight w:val="107"/>
        </w:trPr>
        <w:tc>
          <w:tcPr>
            <w:tcW w:w="1460" w:type="dxa"/>
            <w:vAlign w:val="bottom"/>
            <w:shd w:val="clear" w:color="auto" w:fill="E0DBEA"/>
          </w:tcPr>
          <w:p>
            <w:pPr>
              <w:spacing w:after="0"/>
              <w:rPr>
                <w:sz w:val="9"/>
                <w:szCs w:val="9"/>
                <w:color w:val="auto"/>
              </w:rPr>
            </w:pPr>
          </w:p>
        </w:tc>
        <w:tc>
          <w:tcPr>
            <w:tcW w:w="140" w:type="dxa"/>
            <w:vAlign w:val="bottom"/>
            <w:vMerge w:val="restart"/>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3420" w:type="dxa"/>
            <w:vAlign w:val="bottom"/>
            <w:vMerge w:val="restart"/>
            <w:shd w:val="clear" w:color="auto" w:fill="E0DBEA"/>
          </w:tcPr>
          <w:p>
            <w:pPr>
              <w:ind w:left="40"/>
              <w:spacing w:after="0" w:line="161" w:lineRule="exact"/>
              <w:rPr>
                <w:sz w:val="20"/>
                <w:szCs w:val="20"/>
                <w:color w:val="auto"/>
              </w:rPr>
            </w:pPr>
            <w:r>
              <w:rPr>
                <w:rFonts w:ascii="Arial" w:cs="Arial" w:eastAsia="Arial" w:hAnsi="Arial"/>
                <w:sz w:val="14"/>
                <w:szCs w:val="14"/>
                <w:color w:val="auto"/>
              </w:rPr>
              <w:t>operating results from short</w:t>
            </w:r>
            <w:r>
              <w:rPr>
                <w:rFonts w:ascii="MS PGothic" w:cs="MS PGothic" w:eastAsia="MS PGothic" w:hAnsi="MS PGothic"/>
                <w:sz w:val="14"/>
                <w:szCs w:val="14"/>
                <w:color w:val="auto"/>
              </w:rPr>
              <w:t>‑</w:t>
            </w:r>
            <w:r>
              <w:rPr>
                <w:rFonts w:ascii="Arial" w:cs="Arial" w:eastAsia="Arial" w:hAnsi="Arial"/>
                <w:sz w:val="14"/>
                <w:szCs w:val="14"/>
                <w:color w:val="auto"/>
              </w:rPr>
              <w:t>term distributor</w:t>
            </w:r>
          </w:p>
        </w:tc>
        <w:tc>
          <w:tcPr>
            <w:tcW w:w="1680" w:type="dxa"/>
            <w:vAlign w:val="bottom"/>
            <w:shd w:val="clear" w:color="auto" w:fill="E0DBEA"/>
          </w:tcPr>
          <w:p>
            <w:pPr>
              <w:spacing w:after="0"/>
              <w:rPr>
                <w:sz w:val="9"/>
                <w:szCs w:val="9"/>
                <w:color w:val="auto"/>
              </w:rPr>
            </w:pPr>
          </w:p>
        </w:tc>
        <w:tc>
          <w:tcPr>
            <w:tcW w:w="2340" w:type="dxa"/>
            <w:vAlign w:val="bottom"/>
            <w:vMerge w:val="continue"/>
            <w:shd w:val="clear" w:color="auto" w:fill="E0DBEA"/>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460" w:type="dxa"/>
            <w:vAlign w:val="bottom"/>
            <w:shd w:val="clear" w:color="auto" w:fill="E0DBEA"/>
          </w:tcPr>
          <w:p>
            <w:pPr>
              <w:spacing w:after="0"/>
              <w:rPr>
                <w:sz w:val="12"/>
                <w:szCs w:val="12"/>
                <w:color w:val="auto"/>
              </w:rPr>
            </w:pPr>
          </w:p>
        </w:tc>
        <w:tc>
          <w:tcPr>
            <w:tcW w:w="140" w:type="dxa"/>
            <w:vAlign w:val="bottom"/>
            <w:vMerge w:val="continue"/>
            <w:shd w:val="clear" w:color="auto" w:fill="E0DBEA"/>
          </w:tcPr>
          <w:p>
            <w:pPr>
              <w:spacing w:after="0"/>
              <w:rPr>
                <w:sz w:val="12"/>
                <w:szCs w:val="12"/>
                <w:color w:val="auto"/>
              </w:rPr>
            </w:pPr>
          </w:p>
        </w:tc>
        <w:tc>
          <w:tcPr>
            <w:tcW w:w="3420" w:type="dxa"/>
            <w:vAlign w:val="bottom"/>
            <w:vMerge w:val="continue"/>
            <w:shd w:val="clear" w:color="auto" w:fill="E0DBEA"/>
          </w:tcPr>
          <w:p>
            <w:pPr>
              <w:spacing w:after="0"/>
              <w:rPr>
                <w:sz w:val="12"/>
                <w:szCs w:val="12"/>
                <w:color w:val="auto"/>
              </w:rPr>
            </w:pPr>
          </w:p>
        </w:tc>
        <w:tc>
          <w:tcPr>
            <w:tcW w:w="1680" w:type="dxa"/>
            <w:vAlign w:val="bottom"/>
            <w:shd w:val="clear" w:color="auto" w:fill="E0DBEA"/>
          </w:tcPr>
          <w:p>
            <w:pPr>
              <w:spacing w:after="0"/>
              <w:rPr>
                <w:sz w:val="12"/>
                <w:szCs w:val="12"/>
                <w:color w:val="auto"/>
              </w:rPr>
            </w:pPr>
          </w:p>
        </w:tc>
        <w:tc>
          <w:tcPr>
            <w:tcW w:w="2340" w:type="dxa"/>
            <w:vAlign w:val="bottom"/>
            <w:shd w:val="clear" w:color="auto" w:fill="E0DBEA"/>
          </w:tcPr>
          <w:p>
            <w:pPr>
              <w:ind w:left="480"/>
              <w:spacing w:after="0" w:line="145" w:lineRule="exact"/>
              <w:rPr>
                <w:sz w:val="20"/>
                <w:szCs w:val="20"/>
                <w:color w:val="auto"/>
              </w:rPr>
            </w:pPr>
            <w:r>
              <w:rPr>
                <w:rFonts w:ascii="Arial" w:cs="Arial" w:eastAsia="Arial" w:hAnsi="Arial"/>
                <w:sz w:val="14"/>
                <w:szCs w:val="14"/>
                <w:color w:val="auto"/>
              </w:rPr>
              <w:t>comparisons to</w:t>
            </w:r>
          </w:p>
        </w:tc>
        <w:tc>
          <w:tcPr>
            <w:tcW w:w="0" w:type="dxa"/>
            <w:vAlign w:val="bottom"/>
          </w:tcPr>
          <w:p>
            <w:pPr>
              <w:spacing w:after="0"/>
              <w:rPr>
                <w:sz w:val="1"/>
                <w:szCs w:val="1"/>
                <w:color w:val="auto"/>
              </w:rPr>
            </w:pPr>
          </w:p>
        </w:tc>
      </w:tr>
      <w:tr>
        <w:trPr>
          <w:trHeight w:val="219"/>
        </w:trPr>
        <w:tc>
          <w:tcPr>
            <w:tcW w:w="1460" w:type="dxa"/>
            <w:vAlign w:val="bottom"/>
            <w:tcBorders>
              <w:bottom w:val="single" w:sz="8" w:color="E0DBEA"/>
            </w:tcBorders>
            <w:shd w:val="clear" w:color="auto" w:fill="E0DBEA"/>
          </w:tcPr>
          <w:p>
            <w:pPr>
              <w:spacing w:after="0"/>
              <w:rPr>
                <w:sz w:val="19"/>
                <w:szCs w:val="19"/>
                <w:color w:val="auto"/>
              </w:rPr>
            </w:pPr>
          </w:p>
        </w:tc>
        <w:tc>
          <w:tcPr>
            <w:tcW w:w="140" w:type="dxa"/>
            <w:vAlign w:val="bottom"/>
            <w:tcBorders>
              <w:bottom w:val="single" w:sz="8" w:color="E0DBEA"/>
            </w:tcBorders>
            <w:shd w:val="clear" w:color="auto" w:fill="E0DBEA"/>
          </w:tcPr>
          <w:p>
            <w:pPr>
              <w:spacing w:after="0"/>
              <w:rPr>
                <w:sz w:val="19"/>
                <w:szCs w:val="19"/>
                <w:color w:val="auto"/>
              </w:rPr>
            </w:pPr>
          </w:p>
        </w:tc>
        <w:tc>
          <w:tcPr>
            <w:tcW w:w="3420" w:type="dxa"/>
            <w:vAlign w:val="bottom"/>
            <w:tcBorders>
              <w:bottom w:val="single" w:sz="8" w:color="E0DBEA"/>
            </w:tcBorders>
            <w:shd w:val="clear" w:color="auto" w:fill="E0DBEA"/>
          </w:tcPr>
          <w:p>
            <w:pPr>
              <w:ind w:left="40"/>
              <w:spacing w:after="0"/>
              <w:rPr>
                <w:sz w:val="20"/>
                <w:szCs w:val="20"/>
                <w:color w:val="auto"/>
              </w:rPr>
            </w:pPr>
            <w:r>
              <w:rPr>
                <w:rFonts w:ascii="Arial" w:cs="Arial" w:eastAsia="Arial" w:hAnsi="Arial"/>
                <w:sz w:val="14"/>
                <w:szCs w:val="14"/>
                <w:color w:val="auto"/>
              </w:rPr>
              <w:t>agreements.</w:t>
            </w:r>
          </w:p>
        </w:tc>
        <w:tc>
          <w:tcPr>
            <w:tcW w:w="1680" w:type="dxa"/>
            <w:vAlign w:val="bottom"/>
            <w:tcBorders>
              <w:bottom w:val="single" w:sz="8" w:color="E0DBEA"/>
            </w:tcBorders>
            <w:shd w:val="clear" w:color="auto" w:fill="E0DBEA"/>
          </w:tcPr>
          <w:p>
            <w:pPr>
              <w:spacing w:after="0"/>
              <w:rPr>
                <w:sz w:val="19"/>
                <w:szCs w:val="19"/>
                <w:color w:val="auto"/>
              </w:rPr>
            </w:pPr>
          </w:p>
        </w:tc>
        <w:tc>
          <w:tcPr>
            <w:tcW w:w="2340" w:type="dxa"/>
            <w:vAlign w:val="bottom"/>
            <w:tcBorders>
              <w:bottom w:val="single" w:sz="8" w:color="E0DBEA"/>
            </w:tcBorders>
            <w:shd w:val="clear" w:color="auto" w:fill="E0DBEA"/>
          </w:tcPr>
          <w:p>
            <w:pPr>
              <w:ind w:left="480"/>
              <w:spacing w:after="0"/>
              <w:rPr>
                <w:sz w:val="20"/>
                <w:szCs w:val="20"/>
                <w:color w:val="auto"/>
              </w:rPr>
            </w:pPr>
            <w:r>
              <w:rPr>
                <w:rFonts w:ascii="Arial" w:cs="Arial" w:eastAsia="Arial" w:hAnsi="Arial"/>
                <w:sz w:val="14"/>
                <w:szCs w:val="14"/>
                <w:color w:val="auto"/>
              </w:rPr>
              <w:t>prior year(s).</w:t>
            </w:r>
          </w:p>
        </w:tc>
        <w:tc>
          <w:tcPr>
            <w:tcW w:w="0" w:type="dxa"/>
            <w:vAlign w:val="bottom"/>
          </w:tcPr>
          <w:p>
            <w:pPr>
              <w:spacing w:after="0"/>
              <w:rPr>
                <w:sz w:val="1"/>
                <w:szCs w:val="1"/>
                <w:color w:val="auto"/>
              </w:rPr>
            </w:pPr>
          </w:p>
        </w:tc>
      </w:tr>
      <w:tr>
        <w:trPr>
          <w:trHeight w:val="20"/>
        </w:trPr>
        <w:tc>
          <w:tcPr>
            <w:tcW w:w="1460" w:type="dxa"/>
            <w:vAlign w:val="bottom"/>
            <w:shd w:val="clear" w:color="auto" w:fill="582C83"/>
          </w:tcPr>
          <w:p>
            <w:pPr>
              <w:spacing w:after="0" w:line="20" w:lineRule="exact"/>
              <w:rPr>
                <w:sz w:val="1"/>
                <w:szCs w:val="1"/>
                <w:color w:val="auto"/>
              </w:rPr>
            </w:pPr>
          </w:p>
        </w:tc>
        <w:tc>
          <w:tcPr>
            <w:tcW w:w="140" w:type="dxa"/>
            <w:vAlign w:val="bottom"/>
            <w:shd w:val="clear" w:color="auto" w:fill="582C83"/>
          </w:tcPr>
          <w:p>
            <w:pPr>
              <w:spacing w:after="0" w:line="20" w:lineRule="exact"/>
              <w:rPr>
                <w:sz w:val="1"/>
                <w:szCs w:val="1"/>
                <w:color w:val="auto"/>
              </w:rPr>
            </w:pPr>
          </w:p>
        </w:tc>
        <w:tc>
          <w:tcPr>
            <w:tcW w:w="3420" w:type="dxa"/>
            <w:vAlign w:val="bottom"/>
            <w:shd w:val="clear" w:color="auto" w:fill="582C83"/>
          </w:tcPr>
          <w:p>
            <w:pPr>
              <w:spacing w:after="0" w:line="20" w:lineRule="exact"/>
              <w:rPr>
                <w:sz w:val="1"/>
                <w:szCs w:val="1"/>
                <w:color w:val="auto"/>
              </w:rPr>
            </w:pPr>
          </w:p>
        </w:tc>
        <w:tc>
          <w:tcPr>
            <w:tcW w:w="1680" w:type="dxa"/>
            <w:vAlign w:val="bottom"/>
            <w:shd w:val="clear" w:color="auto" w:fill="582C83"/>
          </w:tcPr>
          <w:p>
            <w:pPr>
              <w:spacing w:after="0" w:line="20" w:lineRule="exact"/>
              <w:rPr>
                <w:sz w:val="1"/>
                <w:szCs w:val="1"/>
                <w:color w:val="auto"/>
              </w:rPr>
            </w:pPr>
          </w:p>
        </w:tc>
        <w:tc>
          <w:tcPr>
            <w:tcW w:w="2340" w:type="dxa"/>
            <w:vAlign w:val="bottom"/>
            <w:shd w:val="clear" w:color="auto" w:fill="582C8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9060"/>
          </w:cols>
          <w:pgMar w:left="1420" w:top="104" w:right="1419" w:bottom="433" w:gutter="0" w:footer="0" w:header="0"/>
        </w:sectPr>
      </w:pPr>
    </w:p>
    <w:p>
      <w:pPr>
        <w:ind w:left="60"/>
        <w:spacing w:after="0" w:line="279" w:lineRule="auto"/>
        <w:rPr>
          <w:sz w:val="20"/>
          <w:szCs w:val="20"/>
          <w:color w:val="auto"/>
        </w:rPr>
      </w:pPr>
      <w:r>
        <w:rPr>
          <w:rFonts w:ascii="Arial" w:cs="Arial" w:eastAsia="Arial" w:hAnsi="Arial"/>
          <w:sz w:val="14"/>
          <w:szCs w:val="14"/>
          <w:b w:val="1"/>
          <w:bCs w:val="1"/>
          <w:color w:val="auto"/>
        </w:rPr>
        <w:t>Organic Net Revenue Growth (AIP and PSUs)</w:t>
      </w:r>
    </w:p>
    <w:p>
      <w:pPr>
        <w:spacing w:after="0" w:line="20" w:lineRule="exact"/>
        <w:rPr>
          <w:sz w:val="20"/>
          <w:szCs w:val="20"/>
          <w:color w:val="auto"/>
        </w:rPr>
      </w:pPr>
      <w:r>
        <w:rPr>
          <w:sz w:val="20"/>
          <w:szCs w:val="20"/>
          <w:color w:val="auto"/>
        </w:rPr>
        <w:br w:type="column"/>
      </w:r>
    </w:p>
    <w:p>
      <w:pPr>
        <w:ind w:left="7"/>
        <w:spacing w:after="0" w:line="295" w:lineRule="auto"/>
        <w:rPr>
          <w:sz w:val="20"/>
          <w:szCs w:val="20"/>
          <w:color w:val="auto"/>
        </w:rPr>
      </w:pPr>
      <w:r>
        <w:rPr>
          <w:rFonts w:ascii="Arial" w:cs="Arial" w:eastAsia="Arial" w:hAnsi="Arial"/>
          <w:sz w:val="14"/>
          <w:szCs w:val="14"/>
          <w:color w:val="auto"/>
        </w:rPr>
        <w:t>Organic Net Revenue is defined as net revenues (the most comparable U.S. GAAP financial measure) excluding the impacts of:</w:t>
      </w:r>
    </w:p>
    <w:p>
      <w:pPr>
        <w:ind w:left="127" w:hanging="127"/>
        <w:spacing w:after="0"/>
        <w:tabs>
          <w:tab w:leader="none" w:pos="127" w:val="left"/>
        </w:tabs>
        <w:numPr>
          <w:ilvl w:val="0"/>
          <w:numId w:val="130"/>
        </w:numPr>
        <w:rPr>
          <w:rFonts w:ascii="Arial" w:cs="Arial" w:eastAsia="Arial" w:hAnsi="Arial"/>
          <w:sz w:val="14"/>
          <w:szCs w:val="14"/>
          <w:color w:val="582C83"/>
        </w:rPr>
      </w:pPr>
      <w:r>
        <w:rPr>
          <w:rFonts w:ascii="Arial" w:cs="Arial" w:eastAsia="Arial" w:hAnsi="Arial"/>
          <w:sz w:val="14"/>
          <w:szCs w:val="14"/>
          <w:color w:val="auto"/>
        </w:rPr>
        <w:t>acquisitions;</w:t>
      </w:r>
    </w:p>
    <w:p>
      <w:pPr>
        <w:spacing w:after="0" w:line="68" w:lineRule="exact"/>
        <w:rPr>
          <w:rFonts w:ascii="Arial" w:cs="Arial" w:eastAsia="Arial" w:hAnsi="Arial"/>
          <w:sz w:val="14"/>
          <w:szCs w:val="14"/>
          <w:color w:val="582C83"/>
        </w:rPr>
      </w:pPr>
    </w:p>
    <w:p>
      <w:pPr>
        <w:ind w:left="127" w:hanging="127"/>
        <w:spacing w:after="0"/>
        <w:tabs>
          <w:tab w:leader="none" w:pos="127" w:val="left"/>
        </w:tabs>
        <w:numPr>
          <w:ilvl w:val="0"/>
          <w:numId w:val="130"/>
        </w:numPr>
        <w:rPr>
          <w:rFonts w:ascii="Arial" w:cs="Arial" w:eastAsia="Arial" w:hAnsi="Arial"/>
          <w:sz w:val="14"/>
          <w:szCs w:val="14"/>
          <w:color w:val="582C83"/>
        </w:rPr>
      </w:pPr>
      <w:r>
        <w:rPr>
          <w:rFonts w:ascii="Arial" w:cs="Arial" w:eastAsia="Arial" w:hAnsi="Arial"/>
          <w:sz w:val="14"/>
          <w:szCs w:val="14"/>
          <w:color w:val="auto"/>
        </w:rPr>
        <w:t>divestitures;</w:t>
      </w:r>
    </w:p>
    <w:p>
      <w:pPr>
        <w:spacing w:after="0" w:line="29" w:lineRule="exact"/>
        <w:rPr>
          <w:rFonts w:ascii="Arial" w:cs="Arial" w:eastAsia="Arial" w:hAnsi="Arial"/>
          <w:sz w:val="14"/>
          <w:szCs w:val="14"/>
          <w:color w:val="582C83"/>
        </w:rPr>
      </w:pPr>
    </w:p>
    <w:p>
      <w:pPr>
        <w:ind w:left="127" w:right="500" w:hanging="127"/>
        <w:spacing w:after="0" w:line="202" w:lineRule="exact"/>
        <w:tabs>
          <w:tab w:leader="none" w:pos="127" w:val="left"/>
        </w:tabs>
        <w:numPr>
          <w:ilvl w:val="0"/>
          <w:numId w:val="130"/>
        </w:numPr>
        <w:rPr>
          <w:rFonts w:ascii="Arial" w:cs="Arial" w:eastAsia="Arial" w:hAnsi="Arial"/>
          <w:sz w:val="14"/>
          <w:szCs w:val="14"/>
          <w:color w:val="582C83"/>
        </w:rPr>
      </w:pPr>
      <w:r>
        <w:rPr>
          <w:rFonts w:ascii="Arial" w:cs="Arial" w:eastAsia="Arial" w:hAnsi="Arial"/>
          <w:sz w:val="14"/>
          <w:szCs w:val="14"/>
          <w:color w:val="auto"/>
        </w:rPr>
        <w:t>operating results from short</w:t>
      </w:r>
      <w:r>
        <w:rPr>
          <w:rFonts w:ascii="MS PGothic" w:cs="MS PGothic" w:eastAsia="MS PGothic" w:hAnsi="MS PGothic"/>
          <w:sz w:val="14"/>
          <w:szCs w:val="14"/>
          <w:color w:val="auto"/>
        </w:rPr>
        <w:t>‑</w:t>
      </w:r>
      <w:r>
        <w:rPr>
          <w:rFonts w:ascii="Arial" w:cs="Arial" w:eastAsia="Arial" w:hAnsi="Arial"/>
          <w:sz w:val="14"/>
          <w:szCs w:val="14"/>
          <w:color w:val="auto"/>
        </w:rPr>
        <w:t>term distributor agreements; and</w:t>
      </w:r>
    </w:p>
    <w:p>
      <w:pPr>
        <w:spacing w:after="0" w:line="40" w:lineRule="exact"/>
        <w:rPr>
          <w:rFonts w:ascii="Arial" w:cs="Arial" w:eastAsia="Arial" w:hAnsi="Arial"/>
          <w:sz w:val="14"/>
          <w:szCs w:val="14"/>
          <w:color w:val="582C83"/>
        </w:rPr>
      </w:pPr>
    </w:p>
    <w:p>
      <w:pPr>
        <w:jc w:val="both"/>
        <w:ind w:left="127" w:right="420" w:hanging="127"/>
        <w:spacing w:after="0" w:line="288" w:lineRule="auto"/>
        <w:tabs>
          <w:tab w:leader="none" w:pos="127" w:val="left"/>
        </w:tabs>
        <w:numPr>
          <w:ilvl w:val="0"/>
          <w:numId w:val="130"/>
        </w:numPr>
        <w:rPr>
          <w:rFonts w:ascii="Arial" w:cs="Arial" w:eastAsia="Arial" w:hAnsi="Arial"/>
          <w:sz w:val="14"/>
          <w:szCs w:val="14"/>
          <w:color w:val="582C83"/>
        </w:rPr>
      </w:pPr>
      <w:r>
        <w:rPr>
          <w:rFonts w:ascii="Arial" w:cs="Arial" w:eastAsia="Arial" w:hAnsi="Arial"/>
          <w:sz w:val="14"/>
          <w:szCs w:val="14"/>
          <w:color w:val="auto"/>
        </w:rPr>
        <w:t>currency-related items (reflect the impacts of extreme pricing and year-over-year currency translation rate changes).</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4"/>
          <w:szCs w:val="14"/>
          <w:i w:val="1"/>
          <w:iCs w:val="1"/>
          <w:color w:val="auto"/>
        </w:rPr>
        <w:t xml:space="preserve">Organic Net Revenue Growth: </w:t>
      </w:r>
      <w:r>
        <w:rPr>
          <w:rFonts w:ascii="Arial" w:cs="Arial" w:eastAsia="Arial" w:hAnsi="Arial"/>
          <w:sz w:val="14"/>
          <w:szCs w:val="14"/>
          <w:color w:val="auto"/>
        </w:rPr>
        <w:t>Defined as the</w:t>
      </w:r>
      <w:r>
        <w:rPr>
          <w:rFonts w:ascii="Arial" w:cs="Arial" w:eastAsia="Arial" w:hAnsi="Arial"/>
          <w:sz w:val="14"/>
          <w:szCs w:val="14"/>
          <w:i w:val="1"/>
          <w:iCs w:val="1"/>
          <w:color w:val="auto"/>
        </w:rPr>
        <w:t xml:space="preserve"> </w:t>
      </w:r>
      <w:r>
        <w:rPr>
          <w:rFonts w:ascii="Arial" w:cs="Arial" w:eastAsia="Arial" w:hAnsi="Arial"/>
          <w:sz w:val="14"/>
          <w:szCs w:val="14"/>
          <w:color w:val="auto"/>
        </w:rPr>
        <w:t>year-over-year growth of Organic Net Revenue based on the definition of Organic Net Revenue used for each year of the three-year performance cycle.</w:t>
      </w:r>
    </w:p>
    <w:p>
      <w:pPr>
        <w:spacing w:after="0" w:line="20" w:lineRule="exact"/>
        <w:rPr>
          <w:sz w:val="20"/>
          <w:szCs w:val="20"/>
          <w:color w:val="auto"/>
        </w:rPr>
      </w:pPr>
      <w:r>
        <w:rPr>
          <w:sz w:val="20"/>
          <w:szCs w:val="20"/>
          <w:color w:val="auto"/>
        </w:rPr>
        <w:br w:type="column"/>
      </w:r>
    </w:p>
    <w:p>
      <w:pPr>
        <w:ind w:right="80"/>
        <w:spacing w:after="0" w:line="278" w:lineRule="auto"/>
        <w:rPr>
          <w:sz w:val="20"/>
          <w:szCs w:val="20"/>
          <w:color w:val="auto"/>
        </w:rPr>
      </w:pPr>
      <w:r>
        <w:rPr>
          <w:rFonts w:ascii="Arial" w:cs="Arial" w:eastAsia="Arial" w:hAnsi="Arial"/>
          <w:sz w:val="14"/>
          <w:szCs w:val="14"/>
          <w:color w:val="auto"/>
        </w:rPr>
        <w:t>Reflects the revenue growth rates for our base business by eliminating the impact of certain disclosed one-time factors, facilitating comparisons to</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prior year(s).</w:t>
      </w:r>
    </w:p>
    <w:p>
      <w:pPr>
        <w:spacing w:after="0" w:line="755" w:lineRule="exact"/>
        <w:rPr>
          <w:sz w:val="20"/>
          <w:szCs w:val="20"/>
          <w:color w:val="auto"/>
        </w:rPr>
      </w:pPr>
    </w:p>
    <w:p>
      <w:pPr>
        <w:sectPr>
          <w:pgSz w:w="11900" w:h="16838" w:orient="portrait"/>
          <w:cols w:equalWidth="0" w:num="4">
            <w:col w:w="900" w:space="613"/>
            <w:col w:w="3387" w:space="380"/>
            <w:col w:w="1740" w:space="160"/>
            <w:col w:w="1880"/>
          </w:cols>
          <w:pgMar w:left="1420" w:top="104" w:right="1419" w:bottom="433"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1320" w:type="dxa"/>
            <w:vAlign w:val="bottom"/>
            <w:tcBorders>
              <w:top w:val="single" w:sz="8" w:color="582C83"/>
            </w:tcBorders>
            <w:shd w:val="clear" w:color="auto" w:fill="E0DBEA"/>
          </w:tcPr>
          <w:p>
            <w:pPr>
              <w:ind w:left="60"/>
              <w:spacing w:after="0" w:line="157" w:lineRule="exact"/>
              <w:rPr>
                <w:sz w:val="20"/>
                <w:szCs w:val="20"/>
                <w:color w:val="auto"/>
              </w:rPr>
            </w:pPr>
            <w:r>
              <w:rPr>
                <w:rFonts w:ascii="Arial" w:cs="Arial" w:eastAsia="Arial" w:hAnsi="Arial"/>
                <w:sz w:val="14"/>
                <w:szCs w:val="14"/>
                <w:b w:val="1"/>
                <w:bCs w:val="1"/>
                <w:color w:val="auto"/>
              </w:rPr>
              <w:t>Adjusted Gross</w:t>
            </w:r>
          </w:p>
        </w:tc>
        <w:tc>
          <w:tcPr>
            <w:tcW w:w="3800" w:type="dxa"/>
            <w:vAlign w:val="bottom"/>
            <w:tcBorders>
              <w:top w:val="single" w:sz="8" w:color="582C83"/>
            </w:tcBorders>
            <w:gridSpan w:val="2"/>
            <w:shd w:val="clear" w:color="auto" w:fill="E0DBEA"/>
          </w:tcPr>
          <w:p>
            <w:pPr>
              <w:ind w:left="200"/>
              <w:spacing w:after="0" w:line="157" w:lineRule="exact"/>
              <w:rPr>
                <w:sz w:val="20"/>
                <w:szCs w:val="20"/>
                <w:color w:val="auto"/>
              </w:rPr>
            </w:pPr>
            <w:r>
              <w:rPr>
                <w:rFonts w:ascii="Arial" w:cs="Arial" w:eastAsia="Arial" w:hAnsi="Arial"/>
                <w:sz w:val="14"/>
                <w:szCs w:val="14"/>
                <w:color w:val="auto"/>
              </w:rPr>
              <w:t>Adjusted Gross Profit is defined as gross profit (the</w:t>
            </w:r>
          </w:p>
        </w:tc>
        <w:tc>
          <w:tcPr>
            <w:tcW w:w="2000" w:type="dxa"/>
            <w:vAlign w:val="bottom"/>
            <w:tcBorders>
              <w:top w:val="single" w:sz="8" w:color="582C83"/>
            </w:tcBorders>
            <w:shd w:val="clear" w:color="auto" w:fill="E0DBEA"/>
          </w:tcPr>
          <w:p>
            <w:pPr>
              <w:ind w:left="160"/>
              <w:spacing w:after="0" w:line="157" w:lineRule="exact"/>
              <w:rPr>
                <w:sz w:val="20"/>
                <w:szCs w:val="20"/>
                <w:color w:val="auto"/>
              </w:rPr>
            </w:pPr>
            <w:r>
              <w:rPr>
                <w:rFonts w:ascii="Arial" w:cs="Arial" w:eastAsia="Arial" w:hAnsi="Arial"/>
                <w:sz w:val="14"/>
                <w:szCs w:val="14"/>
                <w:i w:val="1"/>
                <w:iCs w:val="1"/>
                <w:color w:val="auto"/>
              </w:rPr>
              <w:t>Adjusted Gross Profit</w:t>
            </w:r>
          </w:p>
        </w:tc>
        <w:tc>
          <w:tcPr>
            <w:tcW w:w="1920" w:type="dxa"/>
            <w:vAlign w:val="bottom"/>
            <w:tcBorders>
              <w:top w:val="single" w:sz="8" w:color="582C83"/>
            </w:tcBorders>
            <w:shd w:val="clear" w:color="auto" w:fill="E0DBEA"/>
          </w:tcPr>
          <w:p>
            <w:pPr>
              <w:ind w:left="60"/>
              <w:spacing w:after="0" w:line="157" w:lineRule="exact"/>
              <w:rPr>
                <w:sz w:val="20"/>
                <w:szCs w:val="20"/>
                <w:color w:val="auto"/>
              </w:rPr>
            </w:pPr>
            <w:r>
              <w:rPr>
                <w:rFonts w:ascii="Arial" w:cs="Arial" w:eastAsia="Arial" w:hAnsi="Arial"/>
                <w:sz w:val="14"/>
                <w:szCs w:val="14"/>
                <w:color w:val="auto"/>
              </w:rPr>
              <w:t>Indicator of overall business</w:t>
            </w:r>
          </w:p>
        </w:tc>
        <w:tc>
          <w:tcPr>
            <w:tcW w:w="0" w:type="dxa"/>
            <w:vAlign w:val="bottom"/>
          </w:tcPr>
          <w:p>
            <w:pPr>
              <w:spacing w:after="0"/>
              <w:rPr>
                <w:sz w:val="1"/>
                <w:szCs w:val="1"/>
                <w:color w:val="auto"/>
              </w:rPr>
            </w:pPr>
          </w:p>
        </w:tc>
      </w:tr>
      <w:tr>
        <w:trPr>
          <w:trHeight w:val="176"/>
        </w:trPr>
        <w:tc>
          <w:tcPr>
            <w:tcW w:w="132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Profit Growth</w:t>
            </w:r>
          </w:p>
        </w:tc>
        <w:tc>
          <w:tcPr>
            <w:tcW w:w="3800" w:type="dxa"/>
            <w:vAlign w:val="bottom"/>
            <w:gridSpan w:val="2"/>
            <w:shd w:val="clear" w:color="auto" w:fill="E0DBEA"/>
          </w:tcPr>
          <w:p>
            <w:pPr>
              <w:ind w:left="200"/>
              <w:spacing w:after="0"/>
              <w:rPr>
                <w:sz w:val="20"/>
                <w:szCs w:val="20"/>
                <w:color w:val="auto"/>
              </w:rPr>
            </w:pPr>
            <w:r>
              <w:rPr>
                <w:rFonts w:ascii="Arial" w:cs="Arial" w:eastAsia="Arial" w:hAnsi="Arial"/>
                <w:sz w:val="14"/>
                <w:szCs w:val="14"/>
                <w:color w:val="auto"/>
              </w:rPr>
              <w:t>most comparable U.S. GAAP financial measure)</w:t>
            </w:r>
          </w:p>
        </w:tc>
        <w:tc>
          <w:tcPr>
            <w:tcW w:w="2000" w:type="dxa"/>
            <w:vAlign w:val="bottom"/>
            <w:shd w:val="clear" w:color="auto" w:fill="E0DBEA"/>
          </w:tcPr>
          <w:p>
            <w:pPr>
              <w:ind w:left="160"/>
              <w:spacing w:after="0"/>
              <w:rPr>
                <w:sz w:val="20"/>
                <w:szCs w:val="20"/>
                <w:color w:val="auto"/>
              </w:rPr>
            </w:pPr>
            <w:r>
              <w:rPr>
                <w:rFonts w:ascii="Arial" w:cs="Arial" w:eastAsia="Arial" w:hAnsi="Arial"/>
                <w:sz w:val="14"/>
                <w:szCs w:val="14"/>
                <w:i w:val="1"/>
                <w:iCs w:val="1"/>
                <w:color w:val="auto"/>
              </w:rPr>
              <w:t xml:space="preserve">Growth: </w:t>
            </w:r>
            <w:r>
              <w:rPr>
                <w:rFonts w:ascii="Arial" w:cs="Arial" w:eastAsia="Arial" w:hAnsi="Arial"/>
                <w:sz w:val="14"/>
                <w:szCs w:val="14"/>
                <w:color w:val="auto"/>
              </w:rPr>
              <w:t>Defined as the</w:t>
            </w:r>
          </w:p>
        </w:tc>
        <w:tc>
          <w:tcPr>
            <w:tcW w:w="1920" w:type="dxa"/>
            <w:vAlign w:val="bottom"/>
            <w:shd w:val="clear" w:color="auto" w:fill="E0DBEA"/>
          </w:tcPr>
          <w:p>
            <w:pPr>
              <w:ind w:left="60"/>
              <w:spacing w:after="0"/>
              <w:rPr>
                <w:sz w:val="20"/>
                <w:szCs w:val="20"/>
                <w:color w:val="auto"/>
              </w:rPr>
            </w:pPr>
            <w:r>
              <w:rPr>
                <w:rFonts w:ascii="Arial" w:cs="Arial" w:eastAsia="Arial" w:hAnsi="Arial"/>
                <w:sz w:val="14"/>
                <w:szCs w:val="14"/>
                <w:color w:val="auto"/>
              </w:rPr>
              <w:t>trends and performance,</w:t>
            </w:r>
          </w:p>
        </w:tc>
        <w:tc>
          <w:tcPr>
            <w:tcW w:w="0" w:type="dxa"/>
            <w:vAlign w:val="bottom"/>
          </w:tcPr>
          <w:p>
            <w:pPr>
              <w:spacing w:after="0"/>
              <w:rPr>
                <w:sz w:val="1"/>
                <w:szCs w:val="1"/>
                <w:color w:val="auto"/>
              </w:rPr>
            </w:pPr>
          </w:p>
        </w:tc>
      </w:tr>
      <w:tr>
        <w:trPr>
          <w:trHeight w:val="216"/>
        </w:trPr>
        <w:tc>
          <w:tcPr>
            <w:tcW w:w="132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(AIP)</w:t>
            </w:r>
          </w:p>
        </w:tc>
        <w:tc>
          <w:tcPr>
            <w:tcW w:w="3800" w:type="dxa"/>
            <w:vAlign w:val="bottom"/>
            <w:gridSpan w:val="2"/>
            <w:shd w:val="clear" w:color="auto" w:fill="E0DBEA"/>
          </w:tcPr>
          <w:p>
            <w:pPr>
              <w:ind w:left="200"/>
              <w:spacing w:after="0"/>
              <w:rPr>
                <w:sz w:val="20"/>
                <w:szCs w:val="20"/>
                <w:color w:val="auto"/>
              </w:rPr>
            </w:pPr>
            <w:r>
              <w:rPr>
                <w:rFonts w:ascii="Arial" w:cs="Arial" w:eastAsia="Arial" w:hAnsi="Arial"/>
                <w:sz w:val="14"/>
                <w:szCs w:val="14"/>
                <w:color w:val="auto"/>
              </w:rPr>
              <w:t>excluding the impacts of:</w:t>
            </w:r>
          </w:p>
        </w:tc>
        <w:tc>
          <w:tcPr>
            <w:tcW w:w="2000" w:type="dxa"/>
            <w:vAlign w:val="bottom"/>
            <w:shd w:val="clear" w:color="auto" w:fill="E0DBEA"/>
          </w:tcPr>
          <w:p>
            <w:pPr>
              <w:ind w:left="160"/>
              <w:spacing w:after="0"/>
              <w:rPr>
                <w:sz w:val="20"/>
                <w:szCs w:val="20"/>
                <w:color w:val="auto"/>
              </w:rPr>
            </w:pPr>
            <w:r>
              <w:rPr>
                <w:rFonts w:ascii="Arial" w:cs="Arial" w:eastAsia="Arial" w:hAnsi="Arial"/>
                <w:sz w:val="14"/>
                <w:szCs w:val="14"/>
                <w:color w:val="auto"/>
              </w:rPr>
              <w:t>year-over-year constant</w:t>
            </w:r>
          </w:p>
        </w:tc>
        <w:tc>
          <w:tcPr>
            <w:tcW w:w="1920" w:type="dxa"/>
            <w:vAlign w:val="bottom"/>
            <w:shd w:val="clear" w:color="auto" w:fill="E0DBEA"/>
          </w:tcPr>
          <w:p>
            <w:pPr>
              <w:ind w:left="60"/>
              <w:spacing w:after="0"/>
              <w:rPr>
                <w:sz w:val="20"/>
                <w:szCs w:val="20"/>
                <w:color w:val="auto"/>
              </w:rPr>
            </w:pPr>
            <w:r>
              <w:rPr>
                <w:rFonts w:ascii="Arial" w:cs="Arial" w:eastAsia="Arial" w:hAnsi="Arial"/>
                <w:sz w:val="14"/>
                <w:szCs w:val="14"/>
                <w:color w:val="auto"/>
              </w:rPr>
              <w:t>based on what business</w:t>
            </w:r>
          </w:p>
        </w:tc>
        <w:tc>
          <w:tcPr>
            <w:tcW w:w="0" w:type="dxa"/>
            <w:vAlign w:val="bottom"/>
          </w:tcPr>
          <w:p>
            <w:pPr>
              <w:spacing w:after="0"/>
              <w:rPr>
                <w:sz w:val="1"/>
                <w:szCs w:val="1"/>
                <w:color w:val="auto"/>
              </w:rPr>
            </w:pPr>
          </w:p>
        </w:tc>
      </w:tr>
      <w:tr>
        <w:trPr>
          <w:trHeight w:val="189"/>
        </w:trPr>
        <w:tc>
          <w:tcPr>
            <w:tcW w:w="1320" w:type="dxa"/>
            <w:vAlign w:val="bottom"/>
            <w:shd w:val="clear" w:color="auto" w:fill="E0DBEA"/>
          </w:tcPr>
          <w:p>
            <w:pPr>
              <w:spacing w:after="0"/>
              <w:rPr>
                <w:sz w:val="16"/>
                <w:szCs w:val="16"/>
                <w:color w:val="auto"/>
              </w:rPr>
            </w:pPr>
          </w:p>
        </w:tc>
        <w:tc>
          <w:tcPr>
            <w:tcW w:w="280" w:type="dxa"/>
            <w:vAlign w:val="bottom"/>
            <w:shd w:val="clear" w:color="auto" w:fill="E0DBEA"/>
          </w:tcPr>
          <w:p>
            <w:pPr>
              <w:ind w:left="200"/>
              <w:spacing w:after="0"/>
              <w:rPr>
                <w:sz w:val="20"/>
                <w:szCs w:val="20"/>
                <w:color w:val="auto"/>
              </w:rPr>
            </w:pPr>
            <w:r>
              <w:rPr>
                <w:rFonts w:ascii="Arial" w:cs="Arial" w:eastAsia="Arial" w:hAnsi="Arial"/>
                <w:sz w:val="14"/>
                <w:szCs w:val="14"/>
                <w:color w:val="582C83"/>
              </w:rPr>
              <w:t>•</w:t>
            </w:r>
          </w:p>
        </w:tc>
        <w:tc>
          <w:tcPr>
            <w:tcW w:w="3520" w:type="dxa"/>
            <w:vAlign w:val="bottom"/>
            <w:shd w:val="clear" w:color="auto" w:fill="E0DBEA"/>
          </w:tcPr>
          <w:p>
            <w:pPr>
              <w:ind w:left="40"/>
              <w:spacing w:after="0"/>
              <w:rPr>
                <w:sz w:val="20"/>
                <w:szCs w:val="20"/>
                <w:color w:val="auto"/>
              </w:rPr>
            </w:pPr>
            <w:r>
              <w:rPr>
                <w:rFonts w:ascii="Arial" w:cs="Arial" w:eastAsia="Arial" w:hAnsi="Arial"/>
                <w:sz w:val="14"/>
                <w:szCs w:val="14"/>
                <w:color w:val="auto"/>
              </w:rPr>
              <w:t>restructuring charges;</w:t>
            </w:r>
          </w:p>
        </w:tc>
        <w:tc>
          <w:tcPr>
            <w:tcW w:w="2000" w:type="dxa"/>
            <w:vAlign w:val="bottom"/>
            <w:shd w:val="clear" w:color="auto" w:fill="E0DBEA"/>
          </w:tcPr>
          <w:p>
            <w:pPr>
              <w:ind w:left="160"/>
              <w:spacing w:after="0"/>
              <w:rPr>
                <w:sz w:val="20"/>
                <w:szCs w:val="20"/>
                <w:color w:val="auto"/>
              </w:rPr>
            </w:pPr>
            <w:r>
              <w:rPr>
                <w:rFonts w:ascii="Arial" w:cs="Arial" w:eastAsia="Arial" w:hAnsi="Arial"/>
                <w:sz w:val="14"/>
                <w:szCs w:val="14"/>
                <w:color w:val="auto"/>
              </w:rPr>
              <w:t>currency growth of Adjusted</w:t>
            </w:r>
          </w:p>
        </w:tc>
        <w:tc>
          <w:tcPr>
            <w:tcW w:w="1920" w:type="dxa"/>
            <w:vAlign w:val="bottom"/>
            <w:shd w:val="clear" w:color="auto" w:fill="E0DBEA"/>
          </w:tcPr>
          <w:p>
            <w:pPr>
              <w:ind w:left="60"/>
              <w:spacing w:after="0"/>
              <w:rPr>
                <w:sz w:val="20"/>
                <w:szCs w:val="20"/>
                <w:color w:val="auto"/>
              </w:rPr>
            </w:pPr>
            <w:r>
              <w:rPr>
                <w:rFonts w:ascii="Arial" w:cs="Arial" w:eastAsia="Arial" w:hAnsi="Arial"/>
                <w:sz w:val="14"/>
                <w:szCs w:val="14"/>
                <w:color w:val="auto"/>
              </w:rPr>
              <w:t>leaders can control.</w:t>
            </w:r>
          </w:p>
        </w:tc>
        <w:tc>
          <w:tcPr>
            <w:tcW w:w="0" w:type="dxa"/>
            <w:vAlign w:val="bottom"/>
          </w:tcPr>
          <w:p>
            <w:pPr>
              <w:spacing w:after="0"/>
              <w:rPr>
                <w:sz w:val="1"/>
                <w:szCs w:val="1"/>
                <w:color w:val="auto"/>
              </w:rPr>
            </w:pPr>
          </w:p>
        </w:tc>
      </w:tr>
      <w:tr>
        <w:trPr>
          <w:trHeight w:val="175"/>
        </w:trPr>
        <w:tc>
          <w:tcPr>
            <w:tcW w:w="1320" w:type="dxa"/>
            <w:vAlign w:val="bottom"/>
            <w:shd w:val="clear" w:color="auto" w:fill="E0DBEA"/>
          </w:tcPr>
          <w:p>
            <w:pPr>
              <w:spacing w:after="0"/>
              <w:rPr>
                <w:sz w:val="15"/>
                <w:szCs w:val="15"/>
                <w:color w:val="auto"/>
              </w:rPr>
            </w:pPr>
          </w:p>
        </w:tc>
        <w:tc>
          <w:tcPr>
            <w:tcW w:w="280" w:type="dxa"/>
            <w:vAlign w:val="bottom"/>
            <w:vMerge w:val="restart"/>
            <w:shd w:val="clear" w:color="auto" w:fill="E0DBEA"/>
          </w:tcPr>
          <w:p>
            <w:pPr>
              <w:ind w:left="200"/>
              <w:spacing w:after="0"/>
              <w:rPr>
                <w:sz w:val="20"/>
                <w:szCs w:val="20"/>
                <w:color w:val="auto"/>
              </w:rPr>
            </w:pPr>
            <w:r>
              <w:rPr>
                <w:rFonts w:ascii="Arial" w:cs="Arial" w:eastAsia="Arial" w:hAnsi="Arial"/>
                <w:sz w:val="14"/>
                <w:szCs w:val="14"/>
                <w:color w:val="582C83"/>
              </w:rPr>
              <w:t>•</w:t>
            </w:r>
          </w:p>
        </w:tc>
        <w:tc>
          <w:tcPr>
            <w:tcW w:w="3520" w:type="dxa"/>
            <w:vAlign w:val="bottom"/>
            <w:vMerge w:val="restart"/>
            <w:shd w:val="clear" w:color="auto" w:fill="E0DBEA"/>
          </w:tcPr>
          <w:p>
            <w:pPr>
              <w:ind w:left="40"/>
              <w:spacing w:after="0"/>
              <w:rPr>
                <w:sz w:val="20"/>
                <w:szCs w:val="20"/>
                <w:color w:val="auto"/>
              </w:rPr>
            </w:pPr>
            <w:r>
              <w:rPr>
                <w:rFonts w:ascii="Arial" w:cs="Arial" w:eastAsia="Arial" w:hAnsi="Arial"/>
                <w:sz w:val="14"/>
                <w:szCs w:val="14"/>
                <w:color w:val="auto"/>
              </w:rPr>
              <w:t>mark-to-market impacts from commodity and foreign</w:t>
            </w:r>
          </w:p>
        </w:tc>
        <w:tc>
          <w:tcPr>
            <w:tcW w:w="2000" w:type="dxa"/>
            <w:vAlign w:val="bottom"/>
            <w:shd w:val="clear" w:color="auto" w:fill="E0DBEA"/>
          </w:tcPr>
          <w:p>
            <w:pPr>
              <w:ind w:left="160"/>
              <w:spacing w:after="0"/>
              <w:rPr>
                <w:sz w:val="20"/>
                <w:szCs w:val="20"/>
                <w:color w:val="auto"/>
              </w:rPr>
            </w:pPr>
            <w:r>
              <w:rPr>
                <w:rFonts w:ascii="Arial" w:cs="Arial" w:eastAsia="Arial" w:hAnsi="Arial"/>
                <w:sz w:val="14"/>
                <w:szCs w:val="14"/>
                <w:color w:val="auto"/>
              </w:rPr>
              <w:t>Gross Profit calculated at</w:t>
            </w:r>
          </w:p>
        </w:tc>
        <w:tc>
          <w:tcPr>
            <w:tcW w:w="1920" w:type="dxa"/>
            <w:vAlign w:val="bottom"/>
            <w:shd w:val="clear" w:color="auto" w:fill="E0DBEA"/>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320" w:type="dxa"/>
            <w:vAlign w:val="bottom"/>
            <w:shd w:val="clear" w:color="auto" w:fill="E0DBEA"/>
          </w:tcPr>
          <w:p>
            <w:pPr>
              <w:spacing w:after="0"/>
              <w:rPr>
                <w:sz w:val="7"/>
                <w:szCs w:val="7"/>
                <w:color w:val="auto"/>
              </w:rPr>
            </w:pPr>
          </w:p>
        </w:tc>
        <w:tc>
          <w:tcPr>
            <w:tcW w:w="280" w:type="dxa"/>
            <w:vAlign w:val="bottom"/>
            <w:vMerge w:val="continue"/>
            <w:shd w:val="clear" w:color="auto" w:fill="E0DBEA"/>
          </w:tcPr>
          <w:p>
            <w:pPr>
              <w:spacing w:after="0"/>
              <w:rPr>
                <w:sz w:val="7"/>
                <w:szCs w:val="7"/>
                <w:color w:val="auto"/>
              </w:rPr>
            </w:pPr>
          </w:p>
        </w:tc>
        <w:tc>
          <w:tcPr>
            <w:tcW w:w="3520" w:type="dxa"/>
            <w:vAlign w:val="bottom"/>
            <w:vMerge w:val="continue"/>
            <w:shd w:val="clear" w:color="auto" w:fill="E0DBEA"/>
          </w:tcPr>
          <w:p>
            <w:pPr>
              <w:spacing w:after="0"/>
              <w:rPr>
                <w:sz w:val="7"/>
                <w:szCs w:val="7"/>
                <w:color w:val="auto"/>
              </w:rPr>
            </w:pPr>
          </w:p>
        </w:tc>
        <w:tc>
          <w:tcPr>
            <w:tcW w:w="2000" w:type="dxa"/>
            <w:vAlign w:val="bottom"/>
            <w:vMerge w:val="restart"/>
            <w:shd w:val="clear" w:color="auto" w:fill="E0DBEA"/>
          </w:tcPr>
          <w:p>
            <w:pPr>
              <w:ind w:left="160"/>
              <w:spacing w:after="0"/>
              <w:rPr>
                <w:sz w:val="20"/>
                <w:szCs w:val="20"/>
                <w:color w:val="auto"/>
              </w:rPr>
            </w:pPr>
            <w:r>
              <w:rPr>
                <w:rFonts w:ascii="Arial" w:cs="Arial" w:eastAsia="Arial" w:hAnsi="Arial"/>
                <w:sz w:val="14"/>
                <w:szCs w:val="14"/>
                <w:color w:val="auto"/>
              </w:rPr>
              <w:t>prior year currency</w:t>
            </w:r>
          </w:p>
        </w:tc>
        <w:tc>
          <w:tcPr>
            <w:tcW w:w="1920" w:type="dxa"/>
            <w:vAlign w:val="bottom"/>
            <w:shd w:val="clear" w:color="auto" w:fill="E0DBEA"/>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20" w:type="dxa"/>
            <w:vAlign w:val="bottom"/>
            <w:shd w:val="clear" w:color="auto" w:fill="E0DBEA"/>
          </w:tcPr>
          <w:p>
            <w:pPr>
              <w:spacing w:after="0"/>
              <w:rPr>
                <w:sz w:val="9"/>
                <w:szCs w:val="9"/>
                <w:color w:val="auto"/>
              </w:rPr>
            </w:pPr>
          </w:p>
        </w:tc>
        <w:tc>
          <w:tcPr>
            <w:tcW w:w="280" w:type="dxa"/>
            <w:vAlign w:val="bottom"/>
            <w:shd w:val="clear" w:color="auto" w:fill="E0DBEA"/>
          </w:tcPr>
          <w:p>
            <w:pPr>
              <w:spacing w:after="0"/>
              <w:rPr>
                <w:sz w:val="9"/>
                <w:szCs w:val="9"/>
                <w:color w:val="auto"/>
              </w:rPr>
            </w:pPr>
          </w:p>
        </w:tc>
        <w:tc>
          <w:tcPr>
            <w:tcW w:w="3520" w:type="dxa"/>
            <w:vAlign w:val="bottom"/>
            <w:vMerge w:val="restart"/>
            <w:shd w:val="clear" w:color="auto" w:fill="E0DBEA"/>
          </w:tcPr>
          <w:p>
            <w:pPr>
              <w:ind w:left="40"/>
              <w:spacing w:after="0"/>
              <w:rPr>
                <w:sz w:val="20"/>
                <w:szCs w:val="20"/>
                <w:color w:val="auto"/>
              </w:rPr>
            </w:pPr>
            <w:r>
              <w:rPr>
                <w:rFonts w:ascii="Arial" w:cs="Arial" w:eastAsia="Arial" w:hAnsi="Arial"/>
                <w:sz w:val="14"/>
                <w:szCs w:val="14"/>
                <w:color w:val="auto"/>
              </w:rPr>
              <w:t>currency derivative contracts economically hedging</w:t>
            </w:r>
          </w:p>
        </w:tc>
        <w:tc>
          <w:tcPr>
            <w:tcW w:w="2000" w:type="dxa"/>
            <w:vAlign w:val="bottom"/>
            <w:vMerge w:val="continue"/>
            <w:shd w:val="clear" w:color="auto" w:fill="E0DBEA"/>
          </w:tcPr>
          <w:p>
            <w:pPr>
              <w:spacing w:after="0"/>
              <w:rPr>
                <w:sz w:val="9"/>
                <w:szCs w:val="9"/>
                <w:color w:val="auto"/>
              </w:rPr>
            </w:pPr>
          </w:p>
        </w:tc>
        <w:tc>
          <w:tcPr>
            <w:tcW w:w="1920" w:type="dxa"/>
            <w:vAlign w:val="bottom"/>
            <w:shd w:val="clear" w:color="auto" w:fill="E0DBEA"/>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320" w:type="dxa"/>
            <w:vAlign w:val="bottom"/>
            <w:shd w:val="clear" w:color="auto" w:fill="E0DBEA"/>
          </w:tcPr>
          <w:p>
            <w:pPr>
              <w:spacing w:after="0"/>
              <w:rPr>
                <w:sz w:val="7"/>
                <w:szCs w:val="7"/>
                <w:color w:val="auto"/>
              </w:rPr>
            </w:pPr>
          </w:p>
        </w:tc>
        <w:tc>
          <w:tcPr>
            <w:tcW w:w="280" w:type="dxa"/>
            <w:vAlign w:val="bottom"/>
            <w:shd w:val="clear" w:color="auto" w:fill="E0DBEA"/>
          </w:tcPr>
          <w:p>
            <w:pPr>
              <w:spacing w:after="0"/>
              <w:rPr>
                <w:sz w:val="7"/>
                <w:szCs w:val="7"/>
                <w:color w:val="auto"/>
              </w:rPr>
            </w:pPr>
          </w:p>
        </w:tc>
        <w:tc>
          <w:tcPr>
            <w:tcW w:w="3520" w:type="dxa"/>
            <w:vAlign w:val="bottom"/>
            <w:vMerge w:val="continue"/>
            <w:shd w:val="clear" w:color="auto" w:fill="E0DBEA"/>
          </w:tcPr>
          <w:p>
            <w:pPr>
              <w:spacing w:after="0"/>
              <w:rPr>
                <w:sz w:val="7"/>
                <w:szCs w:val="7"/>
                <w:color w:val="auto"/>
              </w:rPr>
            </w:pPr>
          </w:p>
        </w:tc>
        <w:tc>
          <w:tcPr>
            <w:tcW w:w="2000" w:type="dxa"/>
            <w:vAlign w:val="bottom"/>
            <w:vMerge w:val="restart"/>
            <w:shd w:val="clear" w:color="auto" w:fill="E0DBEA"/>
          </w:tcPr>
          <w:p>
            <w:pPr>
              <w:ind w:left="160"/>
              <w:spacing w:after="0"/>
              <w:rPr>
                <w:sz w:val="20"/>
                <w:szCs w:val="20"/>
                <w:color w:val="auto"/>
              </w:rPr>
            </w:pPr>
            <w:r>
              <w:rPr>
                <w:rFonts w:ascii="Arial" w:cs="Arial" w:eastAsia="Arial" w:hAnsi="Arial"/>
                <w:sz w:val="14"/>
                <w:szCs w:val="14"/>
                <w:color w:val="auto"/>
              </w:rPr>
              <w:t>exchange rates.</w:t>
            </w:r>
          </w:p>
        </w:tc>
        <w:tc>
          <w:tcPr>
            <w:tcW w:w="1920" w:type="dxa"/>
            <w:vAlign w:val="bottom"/>
            <w:shd w:val="clear" w:color="auto" w:fill="E0DBEA"/>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320" w:type="dxa"/>
            <w:vAlign w:val="bottom"/>
            <w:shd w:val="clear" w:color="auto" w:fill="E0DBEA"/>
          </w:tcPr>
          <w:p>
            <w:pPr>
              <w:spacing w:after="0"/>
              <w:rPr>
                <w:sz w:val="9"/>
                <w:szCs w:val="9"/>
                <w:color w:val="auto"/>
              </w:rPr>
            </w:pPr>
          </w:p>
        </w:tc>
        <w:tc>
          <w:tcPr>
            <w:tcW w:w="280" w:type="dxa"/>
            <w:vAlign w:val="bottom"/>
            <w:shd w:val="clear" w:color="auto" w:fill="E0DBEA"/>
          </w:tcPr>
          <w:p>
            <w:pPr>
              <w:spacing w:after="0"/>
              <w:rPr>
                <w:sz w:val="9"/>
                <w:szCs w:val="9"/>
                <w:color w:val="auto"/>
              </w:rPr>
            </w:pPr>
          </w:p>
        </w:tc>
        <w:tc>
          <w:tcPr>
            <w:tcW w:w="3520" w:type="dxa"/>
            <w:vAlign w:val="bottom"/>
            <w:vMerge w:val="restart"/>
            <w:shd w:val="clear" w:color="auto" w:fill="E0DBEA"/>
          </w:tcPr>
          <w:p>
            <w:pPr>
              <w:ind w:left="40"/>
              <w:spacing w:after="0"/>
              <w:rPr>
                <w:sz w:val="20"/>
                <w:szCs w:val="20"/>
                <w:color w:val="auto"/>
              </w:rPr>
            </w:pPr>
            <w:r>
              <w:rPr>
                <w:rFonts w:ascii="Arial" w:cs="Arial" w:eastAsia="Arial" w:hAnsi="Arial"/>
                <w:sz w:val="14"/>
                <w:szCs w:val="14"/>
                <w:color w:val="auto"/>
              </w:rPr>
              <w:t>forecasted transactions;</w:t>
            </w:r>
          </w:p>
        </w:tc>
        <w:tc>
          <w:tcPr>
            <w:tcW w:w="2000" w:type="dxa"/>
            <w:vAlign w:val="bottom"/>
            <w:vMerge w:val="continue"/>
            <w:shd w:val="clear" w:color="auto" w:fill="E0DBEA"/>
          </w:tcPr>
          <w:p>
            <w:pPr>
              <w:spacing w:after="0"/>
              <w:rPr>
                <w:sz w:val="9"/>
                <w:szCs w:val="9"/>
                <w:color w:val="auto"/>
              </w:rPr>
            </w:pPr>
          </w:p>
        </w:tc>
        <w:tc>
          <w:tcPr>
            <w:tcW w:w="1920" w:type="dxa"/>
            <w:vAlign w:val="bottom"/>
            <w:shd w:val="clear" w:color="auto" w:fill="E0DBEA"/>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320" w:type="dxa"/>
            <w:vAlign w:val="bottom"/>
            <w:shd w:val="clear" w:color="auto" w:fill="E0DBEA"/>
          </w:tcPr>
          <w:p>
            <w:pPr>
              <w:spacing w:after="0"/>
              <w:rPr>
                <w:sz w:val="7"/>
                <w:szCs w:val="7"/>
                <w:color w:val="auto"/>
              </w:rPr>
            </w:pPr>
          </w:p>
        </w:tc>
        <w:tc>
          <w:tcPr>
            <w:tcW w:w="280" w:type="dxa"/>
            <w:vAlign w:val="bottom"/>
            <w:shd w:val="clear" w:color="auto" w:fill="E0DBEA"/>
          </w:tcPr>
          <w:p>
            <w:pPr>
              <w:spacing w:after="0"/>
              <w:rPr>
                <w:sz w:val="7"/>
                <w:szCs w:val="7"/>
                <w:color w:val="auto"/>
              </w:rPr>
            </w:pPr>
          </w:p>
        </w:tc>
        <w:tc>
          <w:tcPr>
            <w:tcW w:w="3520" w:type="dxa"/>
            <w:vAlign w:val="bottom"/>
            <w:vMerge w:val="continue"/>
            <w:shd w:val="clear" w:color="auto" w:fill="E0DBEA"/>
          </w:tcPr>
          <w:p>
            <w:pPr>
              <w:spacing w:after="0"/>
              <w:rPr>
                <w:sz w:val="7"/>
                <w:szCs w:val="7"/>
                <w:color w:val="auto"/>
              </w:rPr>
            </w:pPr>
          </w:p>
        </w:tc>
        <w:tc>
          <w:tcPr>
            <w:tcW w:w="2000" w:type="dxa"/>
            <w:vAlign w:val="bottom"/>
            <w:shd w:val="clear" w:color="auto" w:fill="E0DBEA"/>
          </w:tcPr>
          <w:p>
            <w:pPr>
              <w:spacing w:after="0"/>
              <w:rPr>
                <w:sz w:val="7"/>
                <w:szCs w:val="7"/>
                <w:color w:val="auto"/>
              </w:rPr>
            </w:pPr>
          </w:p>
        </w:tc>
        <w:tc>
          <w:tcPr>
            <w:tcW w:w="1920" w:type="dxa"/>
            <w:vAlign w:val="bottom"/>
            <w:shd w:val="clear" w:color="auto" w:fill="E0DBEA"/>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E0DBEA"/>
          </w:tcPr>
          <w:p>
            <w:pPr>
              <w:spacing w:after="0"/>
              <w:rPr>
                <w:sz w:val="18"/>
                <w:szCs w:val="18"/>
                <w:color w:val="auto"/>
              </w:rPr>
            </w:pPr>
          </w:p>
        </w:tc>
        <w:tc>
          <w:tcPr>
            <w:tcW w:w="280" w:type="dxa"/>
            <w:vAlign w:val="bottom"/>
            <w:shd w:val="clear" w:color="auto" w:fill="E0DBEA"/>
          </w:tcPr>
          <w:p>
            <w:pPr>
              <w:ind w:left="200"/>
              <w:spacing w:after="0"/>
              <w:rPr>
                <w:sz w:val="20"/>
                <w:szCs w:val="20"/>
                <w:color w:val="auto"/>
              </w:rPr>
            </w:pPr>
            <w:r>
              <w:rPr>
                <w:rFonts w:ascii="Arial" w:cs="Arial" w:eastAsia="Arial" w:hAnsi="Arial"/>
                <w:sz w:val="14"/>
                <w:szCs w:val="14"/>
                <w:color w:val="582C83"/>
              </w:rPr>
              <w:t>•</w:t>
            </w:r>
          </w:p>
        </w:tc>
        <w:tc>
          <w:tcPr>
            <w:tcW w:w="3520" w:type="dxa"/>
            <w:vAlign w:val="bottom"/>
            <w:shd w:val="clear" w:color="auto" w:fill="E0DBEA"/>
          </w:tcPr>
          <w:p>
            <w:pPr>
              <w:ind w:left="40"/>
              <w:spacing w:after="0"/>
              <w:rPr>
                <w:sz w:val="20"/>
                <w:szCs w:val="20"/>
                <w:color w:val="auto"/>
              </w:rPr>
            </w:pPr>
            <w:r>
              <w:rPr>
                <w:rFonts w:ascii="Arial" w:cs="Arial" w:eastAsia="Arial" w:hAnsi="Arial"/>
                <w:sz w:val="14"/>
                <w:szCs w:val="14"/>
                <w:color w:val="auto"/>
              </w:rPr>
              <w:t>acquisition-related items;</w:t>
            </w:r>
          </w:p>
        </w:tc>
        <w:tc>
          <w:tcPr>
            <w:tcW w:w="2000" w:type="dxa"/>
            <w:vAlign w:val="bottom"/>
            <w:shd w:val="clear" w:color="auto" w:fill="E0DBEA"/>
          </w:tcPr>
          <w:p>
            <w:pPr>
              <w:spacing w:after="0"/>
              <w:rPr>
                <w:sz w:val="18"/>
                <w:szCs w:val="18"/>
                <w:color w:val="auto"/>
              </w:rPr>
            </w:pPr>
          </w:p>
        </w:tc>
        <w:tc>
          <w:tcPr>
            <w:tcW w:w="1920" w:type="dxa"/>
            <w:vAlign w:val="bottom"/>
            <w:shd w:val="clear" w:color="auto" w:fill="E0DBEA"/>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20" w:type="dxa"/>
            <w:vAlign w:val="bottom"/>
            <w:shd w:val="clear" w:color="auto" w:fill="E0DBEA"/>
          </w:tcPr>
          <w:p>
            <w:pPr>
              <w:spacing w:after="0"/>
              <w:rPr>
                <w:sz w:val="19"/>
                <w:szCs w:val="19"/>
                <w:color w:val="auto"/>
              </w:rPr>
            </w:pPr>
          </w:p>
        </w:tc>
        <w:tc>
          <w:tcPr>
            <w:tcW w:w="280" w:type="dxa"/>
            <w:vAlign w:val="bottom"/>
            <w:shd w:val="clear" w:color="auto" w:fill="E0DBEA"/>
          </w:tcPr>
          <w:p>
            <w:pPr>
              <w:ind w:left="200"/>
              <w:spacing w:after="0"/>
              <w:rPr>
                <w:sz w:val="20"/>
                <w:szCs w:val="20"/>
                <w:color w:val="auto"/>
              </w:rPr>
            </w:pPr>
            <w:r>
              <w:rPr>
                <w:rFonts w:ascii="Arial" w:cs="Arial" w:eastAsia="Arial" w:hAnsi="Arial"/>
                <w:sz w:val="14"/>
                <w:szCs w:val="14"/>
                <w:color w:val="582C83"/>
              </w:rPr>
              <w:t>•</w:t>
            </w:r>
          </w:p>
        </w:tc>
        <w:tc>
          <w:tcPr>
            <w:tcW w:w="3520" w:type="dxa"/>
            <w:vAlign w:val="bottom"/>
            <w:shd w:val="clear" w:color="auto" w:fill="E0DBEA"/>
          </w:tcPr>
          <w:p>
            <w:pPr>
              <w:ind w:left="40"/>
              <w:spacing w:after="0"/>
              <w:rPr>
                <w:sz w:val="20"/>
                <w:szCs w:val="20"/>
                <w:color w:val="auto"/>
              </w:rPr>
            </w:pPr>
            <w:r>
              <w:rPr>
                <w:rFonts w:ascii="Arial" w:cs="Arial" w:eastAsia="Arial" w:hAnsi="Arial"/>
                <w:sz w:val="14"/>
                <w:szCs w:val="14"/>
                <w:color w:val="auto"/>
              </w:rPr>
              <w:t>divestiture-related items;</w:t>
            </w:r>
          </w:p>
        </w:tc>
        <w:tc>
          <w:tcPr>
            <w:tcW w:w="2000" w:type="dxa"/>
            <w:vAlign w:val="bottom"/>
            <w:shd w:val="clear" w:color="auto" w:fill="E0DBEA"/>
          </w:tcPr>
          <w:p>
            <w:pPr>
              <w:spacing w:after="0"/>
              <w:rPr>
                <w:sz w:val="19"/>
                <w:szCs w:val="19"/>
                <w:color w:val="auto"/>
              </w:rPr>
            </w:pPr>
          </w:p>
        </w:tc>
        <w:tc>
          <w:tcPr>
            <w:tcW w:w="1920" w:type="dxa"/>
            <w:vAlign w:val="bottom"/>
            <w:shd w:val="clear" w:color="auto" w:fill="E0DBEA"/>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320" w:type="dxa"/>
            <w:vAlign w:val="bottom"/>
            <w:shd w:val="clear" w:color="auto" w:fill="E0DBEA"/>
          </w:tcPr>
          <w:p>
            <w:pPr>
              <w:spacing w:after="0"/>
              <w:rPr>
                <w:sz w:val="19"/>
                <w:szCs w:val="19"/>
                <w:color w:val="auto"/>
              </w:rPr>
            </w:pPr>
          </w:p>
        </w:tc>
        <w:tc>
          <w:tcPr>
            <w:tcW w:w="280" w:type="dxa"/>
            <w:vAlign w:val="bottom"/>
            <w:shd w:val="clear" w:color="auto" w:fill="E0DBEA"/>
          </w:tcPr>
          <w:p>
            <w:pPr>
              <w:ind w:left="200"/>
              <w:spacing w:after="0"/>
              <w:rPr>
                <w:sz w:val="20"/>
                <w:szCs w:val="20"/>
                <w:color w:val="auto"/>
              </w:rPr>
            </w:pPr>
            <w:r>
              <w:rPr>
                <w:rFonts w:ascii="Arial" w:cs="Arial" w:eastAsia="Arial" w:hAnsi="Arial"/>
                <w:sz w:val="14"/>
                <w:szCs w:val="14"/>
                <w:color w:val="582C83"/>
              </w:rPr>
              <w:t>•</w:t>
            </w:r>
          </w:p>
        </w:tc>
        <w:tc>
          <w:tcPr>
            <w:tcW w:w="3520" w:type="dxa"/>
            <w:vAlign w:val="bottom"/>
            <w:shd w:val="clear" w:color="auto" w:fill="E0DBEA"/>
          </w:tcPr>
          <w:p>
            <w:pPr>
              <w:ind w:left="40"/>
              <w:spacing w:after="0" w:line="161" w:lineRule="exact"/>
              <w:rPr>
                <w:sz w:val="20"/>
                <w:szCs w:val="20"/>
                <w:color w:val="auto"/>
              </w:rPr>
            </w:pPr>
            <w:r>
              <w:rPr>
                <w:rFonts w:ascii="Arial" w:cs="Arial" w:eastAsia="Arial" w:hAnsi="Arial"/>
                <w:sz w:val="14"/>
                <w:szCs w:val="14"/>
                <w:color w:val="auto"/>
              </w:rPr>
              <w:t>operating results from short</w:t>
            </w:r>
            <w:r>
              <w:rPr>
                <w:rFonts w:ascii="MS PGothic" w:cs="MS PGothic" w:eastAsia="MS PGothic" w:hAnsi="MS PGothic"/>
                <w:sz w:val="14"/>
                <w:szCs w:val="14"/>
                <w:color w:val="auto"/>
              </w:rPr>
              <w:t>‑</w:t>
            </w:r>
            <w:r>
              <w:rPr>
                <w:rFonts w:ascii="Arial" w:cs="Arial" w:eastAsia="Arial" w:hAnsi="Arial"/>
                <w:sz w:val="14"/>
                <w:szCs w:val="14"/>
                <w:color w:val="auto"/>
              </w:rPr>
              <w:t>term distributor</w:t>
            </w:r>
          </w:p>
        </w:tc>
        <w:tc>
          <w:tcPr>
            <w:tcW w:w="2000" w:type="dxa"/>
            <w:vAlign w:val="bottom"/>
            <w:shd w:val="clear" w:color="auto" w:fill="E0DBEA"/>
          </w:tcPr>
          <w:p>
            <w:pPr>
              <w:spacing w:after="0"/>
              <w:rPr>
                <w:sz w:val="19"/>
                <w:szCs w:val="19"/>
                <w:color w:val="auto"/>
              </w:rPr>
            </w:pPr>
          </w:p>
        </w:tc>
        <w:tc>
          <w:tcPr>
            <w:tcW w:w="1920" w:type="dxa"/>
            <w:vAlign w:val="bottom"/>
            <w:shd w:val="clear" w:color="auto" w:fill="E0DBEA"/>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20" w:type="dxa"/>
            <w:vAlign w:val="bottom"/>
            <w:shd w:val="clear" w:color="auto" w:fill="E0DBEA"/>
          </w:tcPr>
          <w:p>
            <w:pPr>
              <w:spacing w:after="0"/>
              <w:rPr>
                <w:sz w:val="16"/>
                <w:szCs w:val="16"/>
                <w:color w:val="auto"/>
              </w:rPr>
            </w:pPr>
          </w:p>
        </w:tc>
        <w:tc>
          <w:tcPr>
            <w:tcW w:w="280" w:type="dxa"/>
            <w:vAlign w:val="bottom"/>
            <w:shd w:val="clear" w:color="auto" w:fill="E0DBEA"/>
          </w:tcPr>
          <w:p>
            <w:pPr>
              <w:spacing w:after="0"/>
              <w:rPr>
                <w:sz w:val="16"/>
                <w:szCs w:val="16"/>
                <w:color w:val="auto"/>
              </w:rPr>
            </w:pPr>
          </w:p>
        </w:tc>
        <w:tc>
          <w:tcPr>
            <w:tcW w:w="3520" w:type="dxa"/>
            <w:vAlign w:val="bottom"/>
            <w:shd w:val="clear" w:color="auto" w:fill="E0DBEA"/>
          </w:tcPr>
          <w:p>
            <w:pPr>
              <w:ind w:left="40"/>
              <w:spacing w:after="0"/>
              <w:rPr>
                <w:sz w:val="20"/>
                <w:szCs w:val="20"/>
                <w:color w:val="auto"/>
              </w:rPr>
            </w:pPr>
            <w:r>
              <w:rPr>
                <w:rFonts w:ascii="Arial" w:cs="Arial" w:eastAsia="Arial" w:hAnsi="Arial"/>
                <w:sz w:val="14"/>
                <w:szCs w:val="14"/>
                <w:color w:val="auto"/>
              </w:rPr>
              <w:t>agreements;</w:t>
            </w:r>
          </w:p>
        </w:tc>
        <w:tc>
          <w:tcPr>
            <w:tcW w:w="2000" w:type="dxa"/>
            <w:vAlign w:val="bottom"/>
            <w:shd w:val="clear" w:color="auto" w:fill="E0DBEA"/>
          </w:tcPr>
          <w:p>
            <w:pPr>
              <w:spacing w:after="0"/>
              <w:rPr>
                <w:sz w:val="16"/>
                <w:szCs w:val="16"/>
                <w:color w:val="auto"/>
              </w:rPr>
            </w:pPr>
          </w:p>
        </w:tc>
        <w:tc>
          <w:tcPr>
            <w:tcW w:w="1920" w:type="dxa"/>
            <w:vAlign w:val="bottom"/>
            <w:shd w:val="clear" w:color="auto" w:fill="E0DBEA"/>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320" w:type="dxa"/>
            <w:vAlign w:val="bottom"/>
            <w:shd w:val="clear" w:color="auto" w:fill="E0DBEA"/>
          </w:tcPr>
          <w:p>
            <w:pPr>
              <w:spacing w:after="0"/>
              <w:rPr>
                <w:sz w:val="19"/>
                <w:szCs w:val="19"/>
                <w:color w:val="auto"/>
              </w:rPr>
            </w:pPr>
          </w:p>
        </w:tc>
        <w:tc>
          <w:tcPr>
            <w:tcW w:w="280" w:type="dxa"/>
            <w:vAlign w:val="bottom"/>
            <w:shd w:val="clear" w:color="auto" w:fill="E0DBEA"/>
          </w:tcPr>
          <w:p>
            <w:pPr>
              <w:ind w:left="200"/>
              <w:spacing w:after="0"/>
              <w:rPr>
                <w:sz w:val="20"/>
                <w:szCs w:val="20"/>
                <w:color w:val="auto"/>
              </w:rPr>
            </w:pPr>
            <w:r>
              <w:rPr>
                <w:rFonts w:ascii="Arial" w:cs="Arial" w:eastAsia="Arial" w:hAnsi="Arial"/>
                <w:sz w:val="14"/>
                <w:szCs w:val="14"/>
                <w:color w:val="582C83"/>
              </w:rPr>
              <w:t>•</w:t>
            </w:r>
          </w:p>
        </w:tc>
        <w:tc>
          <w:tcPr>
            <w:tcW w:w="3520" w:type="dxa"/>
            <w:vAlign w:val="bottom"/>
            <w:shd w:val="clear" w:color="auto" w:fill="E0DBEA"/>
          </w:tcPr>
          <w:p>
            <w:pPr>
              <w:ind w:left="40"/>
              <w:spacing w:after="0"/>
              <w:rPr>
                <w:sz w:val="20"/>
                <w:szCs w:val="20"/>
                <w:color w:val="auto"/>
              </w:rPr>
            </w:pPr>
            <w:r>
              <w:rPr>
                <w:rFonts w:ascii="Arial" w:cs="Arial" w:eastAsia="Arial" w:hAnsi="Arial"/>
                <w:sz w:val="14"/>
                <w:szCs w:val="14"/>
                <w:color w:val="auto"/>
              </w:rPr>
              <w:t>incremental costs due to the war in Ukraine;</w:t>
            </w:r>
          </w:p>
        </w:tc>
        <w:tc>
          <w:tcPr>
            <w:tcW w:w="2000" w:type="dxa"/>
            <w:vAlign w:val="bottom"/>
            <w:shd w:val="clear" w:color="auto" w:fill="E0DBEA"/>
          </w:tcPr>
          <w:p>
            <w:pPr>
              <w:spacing w:after="0"/>
              <w:rPr>
                <w:sz w:val="19"/>
                <w:szCs w:val="19"/>
                <w:color w:val="auto"/>
              </w:rPr>
            </w:pPr>
          </w:p>
        </w:tc>
        <w:tc>
          <w:tcPr>
            <w:tcW w:w="1920" w:type="dxa"/>
            <w:vAlign w:val="bottom"/>
            <w:shd w:val="clear" w:color="auto" w:fill="E0DBEA"/>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E0DBEA"/>
          </w:tcPr>
          <w:p>
            <w:pPr>
              <w:spacing w:after="0"/>
              <w:rPr>
                <w:sz w:val="18"/>
                <w:szCs w:val="18"/>
                <w:color w:val="auto"/>
              </w:rPr>
            </w:pPr>
          </w:p>
        </w:tc>
        <w:tc>
          <w:tcPr>
            <w:tcW w:w="3800" w:type="dxa"/>
            <w:vAlign w:val="bottom"/>
            <w:gridSpan w:val="2"/>
            <w:shd w:val="clear" w:color="auto" w:fill="E0DBEA"/>
          </w:tcPr>
          <w:p>
            <w:pPr>
              <w:ind w:left="200"/>
              <w:spacing w:after="0"/>
              <w:rPr>
                <w:sz w:val="20"/>
                <w:szCs w:val="20"/>
                <w:color w:val="auto"/>
              </w:rPr>
            </w:pPr>
            <w:r>
              <w:rPr>
                <w:rFonts w:ascii="Arial" w:cs="Arial" w:eastAsia="Arial" w:hAnsi="Arial"/>
                <w:sz w:val="14"/>
                <w:szCs w:val="14"/>
                <w:color w:val="582C83"/>
              </w:rPr>
              <w:t xml:space="preserve">• </w:t>
            </w:r>
            <w:r>
              <w:rPr>
                <w:rFonts w:ascii="Arial" w:cs="Arial" w:eastAsia="Arial" w:hAnsi="Arial"/>
                <w:sz w:val="14"/>
                <w:szCs w:val="14"/>
                <w:color w:val="000000"/>
              </w:rPr>
              <w:t>ERP System Implementation costs; and</w:t>
            </w:r>
          </w:p>
        </w:tc>
        <w:tc>
          <w:tcPr>
            <w:tcW w:w="2000" w:type="dxa"/>
            <w:vAlign w:val="bottom"/>
            <w:shd w:val="clear" w:color="auto" w:fill="E0DBEA"/>
          </w:tcPr>
          <w:p>
            <w:pPr>
              <w:spacing w:after="0"/>
              <w:rPr>
                <w:sz w:val="18"/>
                <w:szCs w:val="18"/>
                <w:color w:val="auto"/>
              </w:rPr>
            </w:pPr>
          </w:p>
        </w:tc>
        <w:tc>
          <w:tcPr>
            <w:tcW w:w="1920" w:type="dxa"/>
            <w:vAlign w:val="bottom"/>
            <w:shd w:val="clear" w:color="auto" w:fill="E0DBEA"/>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320" w:type="dxa"/>
            <w:vAlign w:val="bottom"/>
            <w:tcBorders>
              <w:bottom w:val="single" w:sz="8" w:color="E0DBEA"/>
            </w:tcBorders>
            <w:shd w:val="clear" w:color="auto" w:fill="E0DBEA"/>
          </w:tcPr>
          <w:p>
            <w:pPr>
              <w:spacing w:after="0"/>
              <w:rPr>
                <w:sz w:val="20"/>
                <w:szCs w:val="20"/>
                <w:color w:val="auto"/>
              </w:rPr>
            </w:pPr>
          </w:p>
        </w:tc>
        <w:tc>
          <w:tcPr>
            <w:tcW w:w="280" w:type="dxa"/>
            <w:vAlign w:val="bottom"/>
            <w:tcBorders>
              <w:bottom w:val="single" w:sz="8" w:color="E0DBEA"/>
            </w:tcBorders>
            <w:shd w:val="clear" w:color="auto" w:fill="E0DBEA"/>
          </w:tcPr>
          <w:p>
            <w:pPr>
              <w:ind w:left="200"/>
              <w:spacing w:after="0"/>
              <w:rPr>
                <w:sz w:val="20"/>
                <w:szCs w:val="20"/>
                <w:color w:val="auto"/>
              </w:rPr>
            </w:pPr>
            <w:r>
              <w:rPr>
                <w:rFonts w:ascii="Arial" w:cs="Arial" w:eastAsia="Arial" w:hAnsi="Arial"/>
                <w:sz w:val="14"/>
                <w:szCs w:val="14"/>
                <w:color w:val="582C83"/>
              </w:rPr>
              <w:t>•</w:t>
            </w:r>
          </w:p>
        </w:tc>
        <w:tc>
          <w:tcPr>
            <w:tcW w:w="3520" w:type="dxa"/>
            <w:vAlign w:val="bottom"/>
            <w:tcBorders>
              <w:bottom w:val="single" w:sz="8" w:color="E0DBEA"/>
            </w:tcBorders>
            <w:shd w:val="clear" w:color="auto" w:fill="E0DBEA"/>
          </w:tcPr>
          <w:p>
            <w:pPr>
              <w:ind w:left="40"/>
              <w:spacing w:after="0"/>
              <w:rPr>
                <w:sz w:val="20"/>
                <w:szCs w:val="20"/>
                <w:color w:val="auto"/>
              </w:rPr>
            </w:pPr>
            <w:r>
              <w:rPr>
                <w:rFonts w:ascii="Arial" w:cs="Arial" w:eastAsia="Arial" w:hAnsi="Arial"/>
                <w:sz w:val="14"/>
                <w:szCs w:val="14"/>
                <w:color w:val="auto"/>
              </w:rPr>
              <w:t>remeasurement of net monetary position.</w:t>
            </w:r>
          </w:p>
        </w:tc>
        <w:tc>
          <w:tcPr>
            <w:tcW w:w="2000" w:type="dxa"/>
            <w:vAlign w:val="bottom"/>
            <w:tcBorders>
              <w:bottom w:val="single" w:sz="8" w:color="E0DBEA"/>
            </w:tcBorders>
            <w:shd w:val="clear" w:color="auto" w:fill="E0DBEA"/>
          </w:tcPr>
          <w:p>
            <w:pPr>
              <w:spacing w:after="0"/>
              <w:rPr>
                <w:sz w:val="20"/>
                <w:szCs w:val="20"/>
                <w:color w:val="auto"/>
              </w:rPr>
            </w:pPr>
          </w:p>
        </w:tc>
        <w:tc>
          <w:tcPr>
            <w:tcW w:w="1920" w:type="dxa"/>
            <w:vAlign w:val="bottom"/>
            <w:tcBorders>
              <w:bottom w:val="single" w:sz="8" w:color="E0DBEA"/>
            </w:tcBorders>
            <w:shd w:val="clear" w:color="auto" w:fill="E0DBE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582C83"/>
          </w:tcPr>
          <w:p>
            <w:pPr>
              <w:spacing w:after="0" w:line="20" w:lineRule="exact"/>
              <w:rPr>
                <w:sz w:val="1"/>
                <w:szCs w:val="1"/>
                <w:color w:val="auto"/>
              </w:rPr>
            </w:pPr>
          </w:p>
        </w:tc>
        <w:tc>
          <w:tcPr>
            <w:tcW w:w="280" w:type="dxa"/>
            <w:vAlign w:val="bottom"/>
            <w:shd w:val="clear" w:color="auto" w:fill="582C83"/>
          </w:tcPr>
          <w:p>
            <w:pPr>
              <w:spacing w:after="0" w:line="20" w:lineRule="exact"/>
              <w:rPr>
                <w:sz w:val="1"/>
                <w:szCs w:val="1"/>
                <w:color w:val="auto"/>
              </w:rPr>
            </w:pPr>
          </w:p>
        </w:tc>
        <w:tc>
          <w:tcPr>
            <w:tcW w:w="3520" w:type="dxa"/>
            <w:vAlign w:val="bottom"/>
            <w:shd w:val="clear" w:color="auto" w:fill="582C83"/>
          </w:tcPr>
          <w:p>
            <w:pPr>
              <w:spacing w:after="0" w:line="20" w:lineRule="exact"/>
              <w:rPr>
                <w:sz w:val="1"/>
                <w:szCs w:val="1"/>
                <w:color w:val="auto"/>
              </w:rPr>
            </w:pPr>
          </w:p>
        </w:tc>
        <w:tc>
          <w:tcPr>
            <w:tcW w:w="2000" w:type="dxa"/>
            <w:vAlign w:val="bottom"/>
            <w:shd w:val="clear" w:color="auto" w:fill="582C83"/>
          </w:tcPr>
          <w:p>
            <w:pPr>
              <w:spacing w:after="0" w:line="20" w:lineRule="exact"/>
              <w:rPr>
                <w:sz w:val="1"/>
                <w:szCs w:val="1"/>
                <w:color w:val="auto"/>
              </w:rPr>
            </w:pPr>
          </w:p>
        </w:tc>
        <w:tc>
          <w:tcPr>
            <w:tcW w:w="1920" w:type="dxa"/>
            <w:vAlign w:val="bottom"/>
            <w:shd w:val="clear" w:color="auto" w:fill="582C8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60"/>
          </w:cols>
          <w:pgMar w:left="1420" w:top="104" w:right="1419" w:bottom="433" w:gutter="0" w:footer="0" w:header="0"/>
          <w:type w:val="continuous"/>
        </w:sectPr>
      </w:pPr>
    </w:p>
    <w:bookmarkStart w:id="107" w:name="page108"/>
    <w:bookmarkEnd w:id="107"/>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2706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10375" cy="1270635"/>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4"/>
          <w:szCs w:val="14"/>
          <w:b w:val="1"/>
          <w:bCs w:val="1"/>
          <w:color w:val="582C83"/>
        </w:rPr>
        <w:t>2026 PROXY STATEMENT |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88677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ANNEX A: FINANCIAL MEASURES DEFINITIONS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60" w:type="dxa"/>
            <w:vAlign w:val="bottom"/>
          </w:tcPr>
          <w:p>
            <w:pPr>
              <w:spacing w:after="0"/>
              <w:rPr>
                <w:sz w:val="15"/>
                <w:szCs w:val="15"/>
                <w:color w:val="auto"/>
              </w:rPr>
            </w:pPr>
          </w:p>
        </w:tc>
        <w:tc>
          <w:tcPr>
            <w:tcW w:w="368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Definitions</w:t>
            </w:r>
          </w:p>
        </w:tc>
        <w:tc>
          <w:tcPr>
            <w:tcW w:w="19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460" w:type="dxa"/>
            <w:vAlign w:val="bottom"/>
            <w:tcBorders>
              <w:bottom w:val="single" w:sz="8" w:color="5A095E"/>
            </w:tcBorders>
          </w:tcPr>
          <w:p>
            <w:pPr>
              <w:ind w:left="60"/>
              <w:spacing w:after="0" w:line="158" w:lineRule="exact"/>
              <w:rPr>
                <w:sz w:val="20"/>
                <w:szCs w:val="20"/>
                <w:color w:val="auto"/>
              </w:rPr>
            </w:pPr>
            <w:r>
              <w:rPr>
                <w:rFonts w:ascii="Arial" w:cs="Arial" w:eastAsia="Arial" w:hAnsi="Arial"/>
                <w:sz w:val="14"/>
                <w:szCs w:val="14"/>
                <w:b w:val="1"/>
                <w:bCs w:val="1"/>
                <w:color w:val="auto"/>
              </w:rPr>
              <w:t>Measures</w:t>
            </w:r>
          </w:p>
        </w:tc>
        <w:tc>
          <w:tcPr>
            <w:tcW w:w="3680" w:type="dxa"/>
            <w:vAlign w:val="bottom"/>
            <w:tcBorders>
              <w:bottom w:val="single" w:sz="8" w:color="582C83"/>
            </w:tcBorders>
            <w:gridSpan w:val="2"/>
          </w:tcPr>
          <w:p>
            <w:pPr>
              <w:ind w:left="60"/>
              <w:spacing w:after="0" w:line="158" w:lineRule="exact"/>
              <w:rPr>
                <w:sz w:val="20"/>
                <w:szCs w:val="20"/>
                <w:color w:val="auto"/>
              </w:rPr>
            </w:pPr>
            <w:r>
              <w:rPr>
                <w:rFonts w:ascii="Arial" w:cs="Arial" w:eastAsia="Arial" w:hAnsi="Arial"/>
                <w:sz w:val="14"/>
                <w:szCs w:val="14"/>
                <w:b w:val="1"/>
                <w:bCs w:val="1"/>
                <w:color w:val="auto"/>
              </w:rPr>
              <w:t>(Including Adjustment to GAAP Measure)</w:t>
            </w:r>
          </w:p>
        </w:tc>
        <w:tc>
          <w:tcPr>
            <w:tcW w:w="1920" w:type="dxa"/>
            <w:vAlign w:val="bottom"/>
            <w:tcBorders>
              <w:bottom w:val="single" w:sz="8" w:color="582C83"/>
            </w:tcBorders>
          </w:tcPr>
          <w:p>
            <w:pPr>
              <w:ind w:left="140"/>
              <w:spacing w:after="0" w:line="158" w:lineRule="exact"/>
              <w:rPr>
                <w:sz w:val="20"/>
                <w:szCs w:val="20"/>
                <w:color w:val="auto"/>
              </w:rPr>
            </w:pPr>
            <w:r>
              <w:rPr>
                <w:rFonts w:ascii="Arial" w:cs="Arial" w:eastAsia="Arial" w:hAnsi="Arial"/>
                <w:sz w:val="14"/>
                <w:szCs w:val="14"/>
                <w:b w:val="1"/>
                <w:bCs w:val="1"/>
                <w:color w:val="auto"/>
              </w:rPr>
              <w:t>Modifications</w:t>
            </w:r>
          </w:p>
        </w:tc>
        <w:tc>
          <w:tcPr>
            <w:tcW w:w="1980" w:type="dxa"/>
            <w:vAlign w:val="bottom"/>
            <w:tcBorders>
              <w:bottom w:val="single" w:sz="8" w:color="582C83"/>
            </w:tcBorders>
          </w:tcPr>
          <w:p>
            <w:pPr>
              <w:ind w:left="120"/>
              <w:spacing w:after="0" w:line="158" w:lineRule="exact"/>
              <w:rPr>
                <w:sz w:val="20"/>
                <w:szCs w:val="20"/>
                <w:color w:val="auto"/>
              </w:rPr>
            </w:pPr>
            <w:r>
              <w:rPr>
                <w:rFonts w:ascii="Arial" w:cs="Arial" w:eastAsia="Arial" w:hAnsi="Arial"/>
                <w:sz w:val="14"/>
                <w:szCs w:val="14"/>
                <w:b w:val="1"/>
                <w:bCs w:val="1"/>
                <w:color w:val="auto"/>
              </w:rPr>
              <w:t>Rationale</w:t>
            </w:r>
          </w:p>
        </w:tc>
        <w:tc>
          <w:tcPr>
            <w:tcW w:w="0" w:type="dxa"/>
            <w:vAlign w:val="bottom"/>
          </w:tcPr>
          <w:p>
            <w:pPr>
              <w:spacing w:after="0"/>
              <w:rPr>
                <w:sz w:val="1"/>
                <w:szCs w:val="1"/>
                <w:color w:val="auto"/>
              </w:rPr>
            </w:pPr>
          </w:p>
        </w:tc>
      </w:tr>
      <w:tr>
        <w:trPr>
          <w:trHeight w:val="180"/>
        </w:trPr>
        <w:tc>
          <w:tcPr>
            <w:tcW w:w="1460" w:type="dxa"/>
            <w:vAlign w:val="bottom"/>
          </w:tcPr>
          <w:p>
            <w:pPr>
              <w:ind w:left="60"/>
              <w:spacing w:after="0"/>
              <w:rPr>
                <w:sz w:val="20"/>
                <w:szCs w:val="20"/>
                <w:color w:val="auto"/>
              </w:rPr>
            </w:pPr>
            <w:r>
              <w:rPr>
                <w:rFonts w:ascii="Arial" w:cs="Arial" w:eastAsia="Arial" w:hAnsi="Arial"/>
                <w:sz w:val="14"/>
                <w:szCs w:val="14"/>
                <w:b w:val="1"/>
                <w:bCs w:val="1"/>
                <w:color w:val="auto"/>
              </w:rPr>
              <w:t>Adjusted</w:t>
            </w:r>
          </w:p>
        </w:tc>
        <w:tc>
          <w:tcPr>
            <w:tcW w:w="3680" w:type="dxa"/>
            <w:vAlign w:val="bottom"/>
            <w:gridSpan w:val="2"/>
          </w:tcPr>
          <w:p>
            <w:pPr>
              <w:ind w:left="60"/>
              <w:spacing w:after="0"/>
              <w:rPr>
                <w:sz w:val="20"/>
                <w:szCs w:val="20"/>
                <w:color w:val="auto"/>
              </w:rPr>
            </w:pPr>
            <w:r>
              <w:rPr>
                <w:rFonts w:ascii="Arial" w:cs="Arial" w:eastAsia="Arial" w:hAnsi="Arial"/>
                <w:sz w:val="14"/>
                <w:szCs w:val="14"/>
                <w:color w:val="auto"/>
              </w:rPr>
              <w:t>Adjusted Operating Income is defined as operating</w:t>
            </w:r>
          </w:p>
        </w:tc>
        <w:tc>
          <w:tcPr>
            <w:tcW w:w="1920" w:type="dxa"/>
            <w:vAlign w:val="bottom"/>
          </w:tcPr>
          <w:p>
            <w:pPr>
              <w:ind w:left="140"/>
              <w:spacing w:after="0"/>
              <w:rPr>
                <w:sz w:val="20"/>
                <w:szCs w:val="20"/>
                <w:color w:val="auto"/>
              </w:rPr>
            </w:pPr>
            <w:r>
              <w:rPr>
                <w:rFonts w:ascii="Arial" w:cs="Arial" w:eastAsia="Arial" w:hAnsi="Arial"/>
                <w:sz w:val="14"/>
                <w:szCs w:val="14"/>
                <w:i w:val="1"/>
                <w:iCs w:val="1"/>
                <w:color w:val="auto"/>
              </w:rPr>
              <w:t>Adjusted Operating</w:t>
            </w:r>
          </w:p>
        </w:tc>
        <w:tc>
          <w:tcPr>
            <w:tcW w:w="1980" w:type="dxa"/>
            <w:vAlign w:val="bottom"/>
          </w:tcPr>
          <w:p>
            <w:pPr>
              <w:ind w:left="120"/>
              <w:spacing w:after="0"/>
              <w:rPr>
                <w:sz w:val="20"/>
                <w:szCs w:val="20"/>
                <w:color w:val="auto"/>
              </w:rPr>
            </w:pPr>
            <w:r>
              <w:rPr>
                <w:rFonts w:ascii="Arial" w:cs="Arial" w:eastAsia="Arial" w:hAnsi="Arial"/>
                <w:sz w:val="14"/>
                <w:szCs w:val="14"/>
                <w:color w:val="auto"/>
              </w:rPr>
              <w:t>Indicator of overall business</w:t>
            </w:r>
          </w:p>
        </w:tc>
        <w:tc>
          <w:tcPr>
            <w:tcW w:w="0" w:type="dxa"/>
            <w:vAlign w:val="bottom"/>
          </w:tcPr>
          <w:p>
            <w:pPr>
              <w:spacing w:after="0"/>
              <w:rPr>
                <w:sz w:val="1"/>
                <w:szCs w:val="1"/>
                <w:color w:val="auto"/>
              </w:rPr>
            </w:pPr>
          </w:p>
        </w:tc>
      </w:tr>
      <w:tr>
        <w:trPr>
          <w:trHeight w:val="176"/>
        </w:trPr>
        <w:tc>
          <w:tcPr>
            <w:tcW w:w="1460" w:type="dxa"/>
            <w:vAlign w:val="bottom"/>
          </w:tcPr>
          <w:p>
            <w:pPr>
              <w:ind w:left="60"/>
              <w:spacing w:after="0"/>
              <w:rPr>
                <w:sz w:val="20"/>
                <w:szCs w:val="20"/>
                <w:color w:val="auto"/>
              </w:rPr>
            </w:pPr>
            <w:r>
              <w:rPr>
                <w:rFonts w:ascii="Arial" w:cs="Arial" w:eastAsia="Arial" w:hAnsi="Arial"/>
                <w:sz w:val="14"/>
                <w:szCs w:val="14"/>
                <w:b w:val="1"/>
                <w:bCs w:val="1"/>
                <w:color w:val="auto"/>
              </w:rPr>
              <w:t>Operating</w:t>
            </w:r>
          </w:p>
        </w:tc>
        <w:tc>
          <w:tcPr>
            <w:tcW w:w="3680" w:type="dxa"/>
            <w:vAlign w:val="bottom"/>
            <w:gridSpan w:val="2"/>
          </w:tcPr>
          <w:p>
            <w:pPr>
              <w:ind w:left="60"/>
              <w:spacing w:after="0"/>
              <w:rPr>
                <w:sz w:val="20"/>
                <w:szCs w:val="20"/>
                <w:color w:val="auto"/>
              </w:rPr>
            </w:pPr>
            <w:r>
              <w:rPr>
                <w:rFonts w:ascii="Arial" w:cs="Arial" w:eastAsia="Arial" w:hAnsi="Arial"/>
                <w:sz w:val="14"/>
                <w:szCs w:val="14"/>
                <w:color w:val="auto"/>
              </w:rPr>
              <w:t>income (the most comparable U.S. GAAP financial</w:t>
            </w:r>
          </w:p>
        </w:tc>
        <w:tc>
          <w:tcPr>
            <w:tcW w:w="1920" w:type="dxa"/>
            <w:vAlign w:val="bottom"/>
          </w:tcPr>
          <w:p>
            <w:pPr>
              <w:ind w:left="140"/>
              <w:spacing w:after="0"/>
              <w:rPr>
                <w:sz w:val="20"/>
                <w:szCs w:val="20"/>
                <w:color w:val="auto"/>
              </w:rPr>
            </w:pPr>
            <w:r>
              <w:rPr>
                <w:rFonts w:ascii="Arial" w:cs="Arial" w:eastAsia="Arial" w:hAnsi="Arial"/>
                <w:sz w:val="14"/>
                <w:szCs w:val="14"/>
                <w:i w:val="1"/>
                <w:iCs w:val="1"/>
                <w:color w:val="auto"/>
              </w:rPr>
              <w:t xml:space="preserve">Income Growth: </w:t>
            </w:r>
            <w:r>
              <w:rPr>
                <w:rFonts w:ascii="Arial" w:cs="Arial" w:eastAsia="Arial" w:hAnsi="Arial"/>
                <w:sz w:val="14"/>
                <w:szCs w:val="14"/>
                <w:color w:val="auto"/>
              </w:rPr>
              <w:t>Defined</w:t>
            </w:r>
          </w:p>
        </w:tc>
        <w:tc>
          <w:tcPr>
            <w:tcW w:w="1980" w:type="dxa"/>
            <w:vAlign w:val="bottom"/>
          </w:tcPr>
          <w:p>
            <w:pPr>
              <w:ind w:left="120"/>
              <w:spacing w:after="0"/>
              <w:rPr>
                <w:sz w:val="20"/>
                <w:szCs w:val="20"/>
                <w:color w:val="auto"/>
              </w:rPr>
            </w:pPr>
            <w:r>
              <w:rPr>
                <w:rFonts w:ascii="Arial" w:cs="Arial" w:eastAsia="Arial" w:hAnsi="Arial"/>
                <w:sz w:val="14"/>
                <w:szCs w:val="14"/>
                <w:color w:val="auto"/>
              </w:rPr>
              <w:t>trends and performance,</w:t>
            </w:r>
          </w:p>
        </w:tc>
        <w:tc>
          <w:tcPr>
            <w:tcW w:w="0" w:type="dxa"/>
            <w:vAlign w:val="bottom"/>
          </w:tcPr>
          <w:p>
            <w:pPr>
              <w:spacing w:after="0"/>
              <w:rPr>
                <w:sz w:val="1"/>
                <w:szCs w:val="1"/>
                <w:color w:val="auto"/>
              </w:rPr>
            </w:pPr>
          </w:p>
        </w:tc>
      </w:tr>
      <w:tr>
        <w:trPr>
          <w:trHeight w:val="175"/>
        </w:trPr>
        <w:tc>
          <w:tcPr>
            <w:tcW w:w="1460" w:type="dxa"/>
            <w:vAlign w:val="bottom"/>
          </w:tcPr>
          <w:p>
            <w:pPr>
              <w:ind w:left="60"/>
              <w:spacing w:after="0"/>
              <w:rPr>
                <w:sz w:val="20"/>
                <w:szCs w:val="20"/>
                <w:color w:val="auto"/>
              </w:rPr>
            </w:pPr>
            <w:r>
              <w:rPr>
                <w:rFonts w:ascii="Arial" w:cs="Arial" w:eastAsia="Arial" w:hAnsi="Arial"/>
                <w:sz w:val="14"/>
                <w:szCs w:val="14"/>
                <w:b w:val="1"/>
                <w:bCs w:val="1"/>
                <w:color w:val="auto"/>
              </w:rPr>
              <w:t>Income Growth</w:t>
            </w:r>
          </w:p>
        </w:tc>
        <w:tc>
          <w:tcPr>
            <w:tcW w:w="3680" w:type="dxa"/>
            <w:vAlign w:val="bottom"/>
            <w:gridSpan w:val="2"/>
          </w:tcPr>
          <w:p>
            <w:pPr>
              <w:ind w:left="60"/>
              <w:spacing w:after="0"/>
              <w:rPr>
                <w:sz w:val="20"/>
                <w:szCs w:val="20"/>
                <w:color w:val="auto"/>
              </w:rPr>
            </w:pPr>
            <w:r>
              <w:rPr>
                <w:rFonts w:ascii="Arial" w:cs="Arial" w:eastAsia="Arial" w:hAnsi="Arial"/>
                <w:sz w:val="14"/>
                <w:szCs w:val="14"/>
                <w:color w:val="auto"/>
              </w:rPr>
              <w:t>measure) excluding the impacts of:</w:t>
            </w:r>
          </w:p>
        </w:tc>
        <w:tc>
          <w:tcPr>
            <w:tcW w:w="1920" w:type="dxa"/>
            <w:vAlign w:val="bottom"/>
          </w:tcPr>
          <w:p>
            <w:pPr>
              <w:ind w:left="140"/>
              <w:spacing w:after="0"/>
              <w:rPr>
                <w:sz w:val="20"/>
                <w:szCs w:val="20"/>
                <w:color w:val="auto"/>
              </w:rPr>
            </w:pPr>
            <w:r>
              <w:rPr>
                <w:rFonts w:ascii="Arial" w:cs="Arial" w:eastAsia="Arial" w:hAnsi="Arial"/>
                <w:sz w:val="14"/>
                <w:szCs w:val="14"/>
                <w:color w:val="auto"/>
              </w:rPr>
              <w:t>as the year-over-year</w:t>
            </w:r>
          </w:p>
        </w:tc>
        <w:tc>
          <w:tcPr>
            <w:tcW w:w="1980" w:type="dxa"/>
            <w:vAlign w:val="bottom"/>
          </w:tcPr>
          <w:p>
            <w:pPr>
              <w:ind w:left="120"/>
              <w:spacing w:after="0"/>
              <w:rPr>
                <w:sz w:val="20"/>
                <w:szCs w:val="20"/>
                <w:color w:val="auto"/>
              </w:rPr>
            </w:pPr>
            <w:r>
              <w:rPr>
                <w:rFonts w:ascii="Arial" w:cs="Arial" w:eastAsia="Arial" w:hAnsi="Arial"/>
                <w:sz w:val="14"/>
                <w:szCs w:val="14"/>
                <w:color w:val="auto"/>
              </w:rPr>
              <w:t>based on what business</w:t>
            </w:r>
          </w:p>
        </w:tc>
        <w:tc>
          <w:tcPr>
            <w:tcW w:w="0" w:type="dxa"/>
            <w:vAlign w:val="bottom"/>
          </w:tcPr>
          <w:p>
            <w:pPr>
              <w:spacing w:after="0"/>
              <w:rPr>
                <w:sz w:val="1"/>
                <w:szCs w:val="1"/>
                <w:color w:val="auto"/>
              </w:rPr>
            </w:pPr>
          </w:p>
        </w:tc>
      </w:tr>
      <w:tr>
        <w:trPr>
          <w:trHeight w:val="185"/>
        </w:trPr>
        <w:tc>
          <w:tcPr>
            <w:tcW w:w="1460" w:type="dxa"/>
            <w:vAlign w:val="bottom"/>
          </w:tcPr>
          <w:p>
            <w:pPr>
              <w:ind w:left="60"/>
              <w:spacing w:after="0"/>
              <w:rPr>
                <w:sz w:val="20"/>
                <w:szCs w:val="20"/>
                <w:color w:val="auto"/>
              </w:rPr>
            </w:pPr>
            <w:r>
              <w:rPr>
                <w:rFonts w:ascii="Arial" w:cs="Arial" w:eastAsia="Arial" w:hAnsi="Arial"/>
                <w:sz w:val="14"/>
                <w:szCs w:val="14"/>
                <w:b w:val="1"/>
                <w:bCs w:val="1"/>
                <w:color w:val="auto"/>
              </w:rPr>
              <w:t>(AIP)</w:t>
            </w:r>
          </w:p>
        </w:tc>
        <w:tc>
          <w:tcPr>
            <w:tcW w:w="140" w:type="dxa"/>
            <w:vAlign w:val="bottom"/>
          </w:tcPr>
          <w:p>
            <w:pPr>
              <w:ind w:left="60"/>
              <w:spacing w:after="0"/>
              <w:rPr>
                <w:sz w:val="20"/>
                <w:szCs w:val="20"/>
                <w:color w:val="auto"/>
              </w:rPr>
            </w:pPr>
            <w:r>
              <w:rPr>
                <w:rFonts w:ascii="Arial" w:cs="Arial" w:eastAsia="Arial" w:hAnsi="Arial"/>
                <w:sz w:val="14"/>
                <w:szCs w:val="14"/>
                <w:color w:val="582C83"/>
              </w:rPr>
              <w:t>•</w:t>
            </w:r>
          </w:p>
        </w:tc>
        <w:tc>
          <w:tcPr>
            <w:tcW w:w="3540" w:type="dxa"/>
            <w:vAlign w:val="bottom"/>
          </w:tcPr>
          <w:p>
            <w:pPr>
              <w:ind w:left="40"/>
              <w:spacing w:after="0"/>
              <w:rPr>
                <w:sz w:val="20"/>
                <w:szCs w:val="20"/>
                <w:color w:val="auto"/>
              </w:rPr>
            </w:pPr>
            <w:r>
              <w:rPr>
                <w:rFonts w:ascii="Arial" w:cs="Arial" w:eastAsia="Arial" w:hAnsi="Arial"/>
                <w:sz w:val="14"/>
                <w:szCs w:val="14"/>
                <w:color w:val="auto"/>
              </w:rPr>
              <w:t>restructuring charges;</w:t>
            </w:r>
          </w:p>
        </w:tc>
        <w:tc>
          <w:tcPr>
            <w:tcW w:w="1920" w:type="dxa"/>
            <w:vAlign w:val="bottom"/>
          </w:tcPr>
          <w:p>
            <w:pPr>
              <w:ind w:left="140"/>
              <w:spacing w:after="0"/>
              <w:rPr>
                <w:sz w:val="20"/>
                <w:szCs w:val="20"/>
                <w:color w:val="auto"/>
              </w:rPr>
            </w:pPr>
            <w:r>
              <w:rPr>
                <w:rFonts w:ascii="Arial" w:cs="Arial" w:eastAsia="Arial" w:hAnsi="Arial"/>
                <w:sz w:val="14"/>
                <w:szCs w:val="14"/>
                <w:color w:val="auto"/>
              </w:rPr>
              <w:t>constant currency growth</w:t>
            </w:r>
          </w:p>
        </w:tc>
        <w:tc>
          <w:tcPr>
            <w:tcW w:w="1980" w:type="dxa"/>
            <w:vAlign w:val="bottom"/>
          </w:tcPr>
          <w:p>
            <w:pPr>
              <w:ind w:left="120"/>
              <w:spacing w:after="0"/>
              <w:rPr>
                <w:sz w:val="20"/>
                <w:szCs w:val="20"/>
                <w:color w:val="auto"/>
              </w:rPr>
            </w:pPr>
            <w:r>
              <w:rPr>
                <w:rFonts w:ascii="Arial" w:cs="Arial" w:eastAsia="Arial" w:hAnsi="Arial"/>
                <w:sz w:val="14"/>
                <w:szCs w:val="14"/>
                <w:color w:val="auto"/>
              </w:rPr>
              <w:t>leaders can control.</w:t>
            </w:r>
          </w:p>
        </w:tc>
        <w:tc>
          <w:tcPr>
            <w:tcW w:w="0" w:type="dxa"/>
            <w:vAlign w:val="bottom"/>
          </w:tcPr>
          <w:p>
            <w:pPr>
              <w:spacing w:after="0"/>
              <w:rPr>
                <w:sz w:val="1"/>
                <w:szCs w:val="1"/>
                <w:color w:val="auto"/>
              </w:rPr>
            </w:pPr>
          </w:p>
        </w:tc>
      </w:tr>
      <w:tr>
        <w:trPr>
          <w:trHeight w:val="166"/>
        </w:trPr>
        <w:tc>
          <w:tcPr>
            <w:tcW w:w="1460" w:type="dxa"/>
            <w:vAlign w:val="bottom"/>
          </w:tcPr>
          <w:p>
            <w:pPr>
              <w:spacing w:after="0"/>
              <w:rPr>
                <w:sz w:val="14"/>
                <w:szCs w:val="14"/>
                <w:color w:val="auto"/>
              </w:rPr>
            </w:pPr>
          </w:p>
        </w:tc>
        <w:tc>
          <w:tcPr>
            <w:tcW w:w="140" w:type="dxa"/>
            <w:vAlign w:val="bottom"/>
            <w:vMerge w:val="restart"/>
          </w:tcPr>
          <w:p>
            <w:pPr>
              <w:ind w:left="60"/>
              <w:spacing w:after="0"/>
              <w:rPr>
                <w:sz w:val="20"/>
                <w:szCs w:val="20"/>
                <w:color w:val="auto"/>
              </w:rPr>
            </w:pPr>
            <w:r>
              <w:rPr>
                <w:rFonts w:ascii="Arial" w:cs="Arial" w:eastAsia="Arial" w:hAnsi="Arial"/>
                <w:sz w:val="14"/>
                <w:szCs w:val="14"/>
                <w:color w:val="582C83"/>
              </w:rPr>
              <w:t>•</w:t>
            </w:r>
          </w:p>
        </w:tc>
        <w:tc>
          <w:tcPr>
            <w:tcW w:w="3540" w:type="dxa"/>
            <w:vAlign w:val="bottom"/>
            <w:vMerge w:val="restart"/>
          </w:tcPr>
          <w:p>
            <w:pPr>
              <w:ind w:left="40"/>
              <w:spacing w:after="0"/>
              <w:rPr>
                <w:sz w:val="20"/>
                <w:szCs w:val="20"/>
                <w:color w:val="auto"/>
              </w:rPr>
            </w:pPr>
            <w:r>
              <w:rPr>
                <w:rFonts w:ascii="Arial" w:cs="Arial" w:eastAsia="Arial" w:hAnsi="Arial"/>
                <w:sz w:val="14"/>
                <w:szCs w:val="14"/>
                <w:color w:val="auto"/>
              </w:rPr>
              <w:t>intangible asset impairment charges;</w:t>
            </w:r>
          </w:p>
        </w:tc>
        <w:tc>
          <w:tcPr>
            <w:tcW w:w="1920" w:type="dxa"/>
            <w:vAlign w:val="bottom"/>
          </w:tcPr>
          <w:p>
            <w:pPr>
              <w:ind w:left="140"/>
              <w:spacing w:after="0"/>
              <w:rPr>
                <w:sz w:val="20"/>
                <w:szCs w:val="20"/>
                <w:color w:val="auto"/>
              </w:rPr>
            </w:pPr>
            <w:r>
              <w:rPr>
                <w:rFonts w:ascii="Arial" w:cs="Arial" w:eastAsia="Arial" w:hAnsi="Arial"/>
                <w:sz w:val="14"/>
                <w:szCs w:val="14"/>
                <w:color w:val="auto"/>
              </w:rPr>
              <w:t>of Adjusted Operating</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146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3540" w:type="dxa"/>
            <w:vAlign w:val="bottom"/>
            <w:vMerge w:val="continue"/>
          </w:tcPr>
          <w:p>
            <w:pPr>
              <w:spacing w:after="0"/>
              <w:rPr>
                <w:sz w:val="8"/>
                <w:szCs w:val="8"/>
                <w:color w:val="auto"/>
              </w:rPr>
            </w:pPr>
          </w:p>
        </w:tc>
        <w:tc>
          <w:tcPr>
            <w:tcW w:w="1920" w:type="dxa"/>
            <w:vAlign w:val="bottom"/>
            <w:vMerge w:val="restart"/>
          </w:tcPr>
          <w:p>
            <w:pPr>
              <w:ind w:left="140"/>
              <w:spacing w:after="0"/>
              <w:rPr>
                <w:sz w:val="20"/>
                <w:szCs w:val="20"/>
                <w:color w:val="auto"/>
              </w:rPr>
            </w:pPr>
            <w:r>
              <w:rPr>
                <w:rFonts w:ascii="Arial" w:cs="Arial" w:eastAsia="Arial" w:hAnsi="Arial"/>
                <w:sz w:val="14"/>
                <w:szCs w:val="14"/>
                <w:color w:val="auto"/>
              </w:rPr>
              <w:t>Income calculated at prior</w:t>
            </w: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460" w:type="dxa"/>
            <w:vAlign w:val="bottom"/>
          </w:tcPr>
          <w:p>
            <w:pPr>
              <w:spacing w:after="0"/>
              <w:rPr>
                <w:sz w:val="5"/>
                <w:szCs w:val="5"/>
                <w:color w:val="auto"/>
              </w:rPr>
            </w:pPr>
          </w:p>
        </w:tc>
        <w:tc>
          <w:tcPr>
            <w:tcW w:w="140" w:type="dxa"/>
            <w:vAlign w:val="bottom"/>
            <w:vMerge w:val="restart"/>
          </w:tcPr>
          <w:p>
            <w:pPr>
              <w:ind w:left="60"/>
              <w:spacing w:after="0"/>
              <w:rPr>
                <w:sz w:val="20"/>
                <w:szCs w:val="20"/>
                <w:color w:val="auto"/>
              </w:rPr>
            </w:pPr>
            <w:r>
              <w:rPr>
                <w:rFonts w:ascii="Arial" w:cs="Arial" w:eastAsia="Arial" w:hAnsi="Arial"/>
                <w:sz w:val="14"/>
                <w:szCs w:val="14"/>
                <w:color w:val="582C83"/>
              </w:rPr>
              <w:t>•</w:t>
            </w:r>
          </w:p>
        </w:tc>
        <w:tc>
          <w:tcPr>
            <w:tcW w:w="3540" w:type="dxa"/>
            <w:vAlign w:val="bottom"/>
            <w:vMerge w:val="restart"/>
          </w:tcPr>
          <w:p>
            <w:pPr>
              <w:ind w:left="40"/>
              <w:spacing w:after="0" w:line="161" w:lineRule="exact"/>
              <w:rPr>
                <w:sz w:val="20"/>
                <w:szCs w:val="20"/>
                <w:color w:val="auto"/>
              </w:rPr>
            </w:pPr>
            <w:r>
              <w:rPr>
                <w:rFonts w:ascii="Arial" w:cs="Arial" w:eastAsia="Arial" w:hAnsi="Arial"/>
                <w:sz w:val="14"/>
                <w:szCs w:val="14"/>
                <w:color w:val="auto"/>
              </w:rPr>
              <w:t>mark</w:t>
            </w:r>
            <w:r>
              <w:rPr>
                <w:rFonts w:ascii="MS PGothic" w:cs="MS PGothic" w:eastAsia="MS PGothic" w:hAnsi="MS PGothic"/>
                <w:sz w:val="14"/>
                <w:szCs w:val="14"/>
                <w:color w:val="auto"/>
              </w:rPr>
              <w:t>‑</w:t>
            </w:r>
            <w:r>
              <w:rPr>
                <w:rFonts w:ascii="Arial" w:cs="Arial" w:eastAsia="Arial" w:hAnsi="Arial"/>
                <w:sz w:val="14"/>
                <w:szCs w:val="14"/>
                <w:color w:val="auto"/>
              </w:rPr>
              <w:t>to</w:t>
            </w:r>
            <w:r>
              <w:rPr>
                <w:rFonts w:ascii="MS PGothic" w:cs="MS PGothic" w:eastAsia="MS PGothic" w:hAnsi="MS PGothic"/>
                <w:sz w:val="14"/>
                <w:szCs w:val="14"/>
                <w:color w:val="auto"/>
              </w:rPr>
              <w:t>‑</w:t>
            </w:r>
            <w:r>
              <w:rPr>
                <w:rFonts w:ascii="Arial" w:cs="Arial" w:eastAsia="Arial" w:hAnsi="Arial"/>
                <w:sz w:val="14"/>
                <w:szCs w:val="14"/>
                <w:color w:val="auto"/>
              </w:rPr>
              <w:t>market impacts from commodity and foreign</w:t>
            </w:r>
          </w:p>
        </w:tc>
        <w:tc>
          <w:tcPr>
            <w:tcW w:w="1920" w:type="dxa"/>
            <w:vAlign w:val="bottom"/>
            <w:vMerge w:val="continue"/>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3540" w:type="dxa"/>
            <w:vAlign w:val="bottom"/>
            <w:vMerge w:val="continue"/>
          </w:tcPr>
          <w:p>
            <w:pPr>
              <w:spacing w:after="0"/>
              <w:rPr>
                <w:sz w:val="14"/>
                <w:szCs w:val="14"/>
                <w:color w:val="auto"/>
              </w:rPr>
            </w:pPr>
          </w:p>
        </w:tc>
        <w:tc>
          <w:tcPr>
            <w:tcW w:w="1920" w:type="dxa"/>
            <w:vAlign w:val="bottom"/>
          </w:tcPr>
          <w:p>
            <w:pPr>
              <w:ind w:left="140"/>
              <w:spacing w:after="0"/>
              <w:rPr>
                <w:sz w:val="20"/>
                <w:szCs w:val="20"/>
                <w:color w:val="auto"/>
              </w:rPr>
            </w:pPr>
            <w:r>
              <w:rPr>
                <w:rFonts w:ascii="Arial" w:cs="Arial" w:eastAsia="Arial" w:hAnsi="Arial"/>
                <w:sz w:val="14"/>
                <w:szCs w:val="14"/>
                <w:color w:val="auto"/>
              </w:rPr>
              <w:t>year currency</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40" w:type="dxa"/>
            <w:vAlign w:val="bottom"/>
          </w:tcPr>
          <w:p>
            <w:pPr>
              <w:ind w:left="40"/>
              <w:spacing w:after="0"/>
              <w:rPr>
                <w:sz w:val="20"/>
                <w:szCs w:val="20"/>
                <w:color w:val="auto"/>
              </w:rPr>
            </w:pPr>
            <w:r>
              <w:rPr>
                <w:rFonts w:ascii="Arial" w:cs="Arial" w:eastAsia="Arial" w:hAnsi="Arial"/>
                <w:sz w:val="14"/>
                <w:szCs w:val="14"/>
                <w:color w:val="auto"/>
              </w:rPr>
              <w:t>currency derivative contracts economically hedging</w:t>
            </w:r>
          </w:p>
        </w:tc>
        <w:tc>
          <w:tcPr>
            <w:tcW w:w="1920" w:type="dxa"/>
            <w:vAlign w:val="bottom"/>
          </w:tcPr>
          <w:p>
            <w:pPr>
              <w:ind w:left="140"/>
              <w:spacing w:after="0"/>
              <w:rPr>
                <w:sz w:val="20"/>
                <w:szCs w:val="20"/>
                <w:color w:val="auto"/>
              </w:rPr>
            </w:pPr>
            <w:r>
              <w:rPr>
                <w:rFonts w:ascii="Arial" w:cs="Arial" w:eastAsia="Arial" w:hAnsi="Arial"/>
                <w:sz w:val="14"/>
                <w:szCs w:val="14"/>
                <w:color w:val="auto"/>
              </w:rPr>
              <w:t>exchange rates.</w:t>
            </w: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40" w:type="dxa"/>
            <w:vAlign w:val="bottom"/>
          </w:tcPr>
          <w:p>
            <w:pPr>
              <w:ind w:left="40"/>
              <w:spacing w:after="0"/>
              <w:rPr>
                <w:sz w:val="20"/>
                <w:szCs w:val="20"/>
                <w:color w:val="auto"/>
              </w:rPr>
            </w:pPr>
            <w:r>
              <w:rPr>
                <w:rFonts w:ascii="Arial" w:cs="Arial" w:eastAsia="Arial" w:hAnsi="Arial"/>
                <w:sz w:val="14"/>
                <w:szCs w:val="14"/>
                <w:color w:val="auto"/>
              </w:rPr>
              <w:t>forecasted transactions;</w:t>
            </w:r>
          </w:p>
        </w:tc>
        <w:tc>
          <w:tcPr>
            <w:tcW w:w="19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4"/>
                <w:szCs w:val="14"/>
                <w:color w:val="582C83"/>
              </w:rPr>
              <w:t>•</w:t>
            </w:r>
          </w:p>
        </w:tc>
        <w:tc>
          <w:tcPr>
            <w:tcW w:w="3540" w:type="dxa"/>
            <w:vAlign w:val="bottom"/>
          </w:tcPr>
          <w:p>
            <w:pPr>
              <w:ind w:left="40"/>
              <w:spacing w:after="0"/>
              <w:rPr>
                <w:sz w:val="20"/>
                <w:szCs w:val="20"/>
                <w:color w:val="auto"/>
              </w:rPr>
            </w:pPr>
            <w:r>
              <w:rPr>
                <w:rFonts w:ascii="Arial" w:cs="Arial" w:eastAsia="Arial" w:hAnsi="Arial"/>
                <w:sz w:val="14"/>
                <w:szCs w:val="14"/>
                <w:color w:val="auto"/>
              </w:rPr>
              <w:t>divestiture-related items;</w:t>
            </w:r>
          </w:p>
        </w:tc>
        <w:tc>
          <w:tcPr>
            <w:tcW w:w="19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4"/>
                <w:szCs w:val="14"/>
                <w:color w:val="582C83"/>
              </w:rPr>
              <w:t>•</w:t>
            </w:r>
          </w:p>
        </w:tc>
        <w:tc>
          <w:tcPr>
            <w:tcW w:w="3540" w:type="dxa"/>
            <w:vAlign w:val="bottom"/>
          </w:tcPr>
          <w:p>
            <w:pPr>
              <w:ind w:left="40"/>
              <w:spacing w:after="0"/>
              <w:rPr>
                <w:sz w:val="20"/>
                <w:szCs w:val="20"/>
                <w:color w:val="auto"/>
              </w:rPr>
            </w:pPr>
            <w:r>
              <w:rPr>
                <w:rFonts w:ascii="Arial" w:cs="Arial" w:eastAsia="Arial" w:hAnsi="Arial"/>
                <w:sz w:val="14"/>
                <w:szCs w:val="14"/>
                <w:color w:val="auto"/>
              </w:rPr>
              <w:t>acquisition-related items;</w:t>
            </w:r>
          </w:p>
        </w:tc>
        <w:tc>
          <w:tcPr>
            <w:tcW w:w="1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46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4"/>
                <w:szCs w:val="14"/>
                <w:color w:val="582C83"/>
              </w:rPr>
              <w:t>•</w:t>
            </w:r>
          </w:p>
        </w:tc>
        <w:tc>
          <w:tcPr>
            <w:tcW w:w="3540" w:type="dxa"/>
            <w:vAlign w:val="bottom"/>
          </w:tcPr>
          <w:p>
            <w:pPr>
              <w:ind w:left="40"/>
              <w:spacing w:after="0" w:line="161" w:lineRule="exact"/>
              <w:rPr>
                <w:sz w:val="20"/>
                <w:szCs w:val="20"/>
                <w:color w:val="auto"/>
              </w:rPr>
            </w:pPr>
            <w:r>
              <w:rPr>
                <w:rFonts w:ascii="Arial" w:cs="Arial" w:eastAsia="Arial" w:hAnsi="Arial"/>
                <w:sz w:val="14"/>
                <w:szCs w:val="14"/>
                <w:color w:val="auto"/>
              </w:rPr>
              <w:t>operating results from short</w:t>
            </w:r>
            <w:r>
              <w:rPr>
                <w:rFonts w:ascii="MS PGothic" w:cs="MS PGothic" w:eastAsia="MS PGothic" w:hAnsi="MS PGothic"/>
                <w:sz w:val="14"/>
                <w:szCs w:val="14"/>
                <w:color w:val="auto"/>
              </w:rPr>
              <w:t>‑</w:t>
            </w:r>
            <w:r>
              <w:rPr>
                <w:rFonts w:ascii="Arial" w:cs="Arial" w:eastAsia="Arial" w:hAnsi="Arial"/>
                <w:sz w:val="14"/>
                <w:szCs w:val="14"/>
                <w:color w:val="auto"/>
              </w:rPr>
              <w:t>term distributor</w:t>
            </w:r>
          </w:p>
        </w:tc>
        <w:tc>
          <w:tcPr>
            <w:tcW w:w="19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40" w:type="dxa"/>
            <w:vAlign w:val="bottom"/>
          </w:tcPr>
          <w:p>
            <w:pPr>
              <w:ind w:left="40"/>
              <w:spacing w:after="0"/>
              <w:rPr>
                <w:sz w:val="20"/>
                <w:szCs w:val="20"/>
                <w:color w:val="auto"/>
              </w:rPr>
            </w:pPr>
            <w:r>
              <w:rPr>
                <w:rFonts w:ascii="Arial" w:cs="Arial" w:eastAsia="Arial" w:hAnsi="Arial"/>
                <w:sz w:val="14"/>
                <w:szCs w:val="14"/>
                <w:color w:val="auto"/>
              </w:rPr>
              <w:t>agreements;</w:t>
            </w:r>
          </w:p>
        </w:tc>
        <w:tc>
          <w:tcPr>
            <w:tcW w:w="19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4"/>
                <w:szCs w:val="14"/>
                <w:color w:val="582C83"/>
              </w:rPr>
              <w:t>•</w:t>
            </w:r>
          </w:p>
        </w:tc>
        <w:tc>
          <w:tcPr>
            <w:tcW w:w="3540" w:type="dxa"/>
            <w:vAlign w:val="bottom"/>
          </w:tcPr>
          <w:p>
            <w:pPr>
              <w:ind w:left="40"/>
              <w:spacing w:after="0"/>
              <w:rPr>
                <w:sz w:val="20"/>
                <w:szCs w:val="20"/>
                <w:color w:val="auto"/>
              </w:rPr>
            </w:pPr>
            <w:r>
              <w:rPr>
                <w:rFonts w:ascii="Arial" w:cs="Arial" w:eastAsia="Arial" w:hAnsi="Arial"/>
                <w:sz w:val="14"/>
                <w:szCs w:val="14"/>
                <w:color w:val="auto"/>
              </w:rPr>
              <w:t>the European Commission legal matter;</w:t>
            </w:r>
          </w:p>
        </w:tc>
        <w:tc>
          <w:tcPr>
            <w:tcW w:w="1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4"/>
                <w:szCs w:val="14"/>
                <w:color w:val="582C83"/>
              </w:rPr>
              <w:t>•</w:t>
            </w:r>
          </w:p>
        </w:tc>
        <w:tc>
          <w:tcPr>
            <w:tcW w:w="3540" w:type="dxa"/>
            <w:vAlign w:val="bottom"/>
          </w:tcPr>
          <w:p>
            <w:pPr>
              <w:ind w:left="40"/>
              <w:spacing w:after="0"/>
              <w:rPr>
                <w:sz w:val="20"/>
                <w:szCs w:val="20"/>
                <w:color w:val="auto"/>
              </w:rPr>
            </w:pPr>
            <w:r>
              <w:rPr>
                <w:rFonts w:ascii="Arial" w:cs="Arial" w:eastAsia="Arial" w:hAnsi="Arial"/>
                <w:sz w:val="14"/>
                <w:szCs w:val="14"/>
                <w:color w:val="auto"/>
              </w:rPr>
              <w:t>incremental costs due to the war in Ukraine;</w:t>
            </w:r>
          </w:p>
        </w:tc>
        <w:tc>
          <w:tcPr>
            <w:tcW w:w="19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460" w:type="dxa"/>
            <w:vAlign w:val="bottom"/>
          </w:tcPr>
          <w:p>
            <w:pPr>
              <w:spacing w:after="0"/>
              <w:rPr>
                <w:sz w:val="20"/>
                <w:szCs w:val="20"/>
                <w:color w:val="auto"/>
              </w:rPr>
            </w:pPr>
          </w:p>
        </w:tc>
        <w:tc>
          <w:tcPr>
            <w:tcW w:w="140" w:type="dxa"/>
            <w:vAlign w:val="bottom"/>
          </w:tcPr>
          <w:p>
            <w:pPr>
              <w:ind w:left="60"/>
              <w:spacing w:after="0"/>
              <w:rPr>
                <w:sz w:val="20"/>
                <w:szCs w:val="20"/>
                <w:color w:val="auto"/>
              </w:rPr>
            </w:pPr>
            <w:r>
              <w:rPr>
                <w:rFonts w:ascii="Arial" w:cs="Arial" w:eastAsia="Arial" w:hAnsi="Arial"/>
                <w:sz w:val="17"/>
                <w:szCs w:val="17"/>
                <w:color w:val="582C83"/>
              </w:rPr>
              <w:t>•</w:t>
            </w:r>
          </w:p>
        </w:tc>
        <w:tc>
          <w:tcPr>
            <w:tcW w:w="3540" w:type="dxa"/>
            <w:vAlign w:val="bottom"/>
          </w:tcPr>
          <w:p>
            <w:pPr>
              <w:ind w:left="40"/>
              <w:spacing w:after="0"/>
              <w:rPr>
                <w:sz w:val="20"/>
                <w:szCs w:val="20"/>
                <w:color w:val="auto"/>
              </w:rPr>
            </w:pPr>
            <w:r>
              <w:rPr>
                <w:rFonts w:ascii="Arial" w:cs="Arial" w:eastAsia="Arial" w:hAnsi="Arial"/>
                <w:sz w:val="14"/>
                <w:szCs w:val="14"/>
                <w:color w:val="auto"/>
              </w:rPr>
              <w:t>ERP System Implementation costs;</w:t>
            </w:r>
          </w:p>
        </w:tc>
        <w:tc>
          <w:tcPr>
            <w:tcW w:w="1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140" w:type="dxa"/>
            <w:vAlign w:val="bottom"/>
          </w:tcPr>
          <w:p>
            <w:pPr>
              <w:ind w:left="60"/>
              <w:spacing w:after="0"/>
              <w:rPr>
                <w:sz w:val="20"/>
                <w:szCs w:val="20"/>
                <w:color w:val="auto"/>
              </w:rPr>
            </w:pPr>
            <w:r>
              <w:rPr>
                <w:rFonts w:ascii="Arial" w:cs="Arial" w:eastAsia="Arial" w:hAnsi="Arial"/>
                <w:sz w:val="14"/>
                <w:szCs w:val="14"/>
                <w:color w:val="582C83"/>
              </w:rPr>
              <w:t>•</w:t>
            </w:r>
          </w:p>
        </w:tc>
        <w:tc>
          <w:tcPr>
            <w:tcW w:w="3540" w:type="dxa"/>
            <w:vAlign w:val="bottom"/>
          </w:tcPr>
          <w:p>
            <w:pPr>
              <w:ind w:left="40"/>
              <w:spacing w:after="0"/>
              <w:rPr>
                <w:sz w:val="20"/>
                <w:szCs w:val="20"/>
                <w:color w:val="auto"/>
              </w:rPr>
            </w:pPr>
            <w:r>
              <w:rPr>
                <w:rFonts w:ascii="Arial" w:cs="Arial" w:eastAsia="Arial" w:hAnsi="Arial"/>
                <w:sz w:val="14"/>
                <w:szCs w:val="14"/>
                <w:color w:val="auto"/>
              </w:rPr>
              <w:t>remeasurement of net monetary position of highly</w:t>
            </w:r>
          </w:p>
        </w:tc>
        <w:tc>
          <w:tcPr>
            <w:tcW w:w="1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40" w:type="dxa"/>
            <w:vAlign w:val="bottom"/>
          </w:tcPr>
          <w:p>
            <w:pPr>
              <w:ind w:left="40"/>
              <w:spacing w:after="0"/>
              <w:rPr>
                <w:sz w:val="20"/>
                <w:szCs w:val="20"/>
                <w:color w:val="auto"/>
              </w:rPr>
            </w:pPr>
            <w:r>
              <w:rPr>
                <w:rFonts w:ascii="Arial" w:cs="Arial" w:eastAsia="Arial" w:hAnsi="Arial"/>
                <w:sz w:val="14"/>
                <w:szCs w:val="14"/>
                <w:color w:val="auto"/>
              </w:rPr>
              <w:t>inflationary countries;</w:t>
            </w:r>
          </w:p>
        </w:tc>
        <w:tc>
          <w:tcPr>
            <w:tcW w:w="19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4"/>
                <w:szCs w:val="14"/>
                <w:color w:val="582C83"/>
              </w:rPr>
              <w:t>•</w:t>
            </w:r>
          </w:p>
        </w:tc>
        <w:tc>
          <w:tcPr>
            <w:tcW w:w="3540" w:type="dxa"/>
            <w:vAlign w:val="bottom"/>
          </w:tcPr>
          <w:p>
            <w:pPr>
              <w:ind w:left="40"/>
              <w:spacing w:after="0"/>
              <w:rPr>
                <w:sz w:val="20"/>
                <w:szCs w:val="20"/>
                <w:color w:val="auto"/>
              </w:rPr>
            </w:pPr>
            <w:r>
              <w:rPr>
                <w:rFonts w:ascii="Arial" w:cs="Arial" w:eastAsia="Arial" w:hAnsi="Arial"/>
                <w:sz w:val="14"/>
                <w:szCs w:val="14"/>
                <w:color w:val="auto"/>
              </w:rPr>
              <w:t>pension participation changes; and</w:t>
            </w:r>
          </w:p>
        </w:tc>
        <w:tc>
          <w:tcPr>
            <w:tcW w:w="19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60" w:type="dxa"/>
            <w:vAlign w:val="bottom"/>
            <w:tcBorders>
              <w:bottom w:val="single" w:sz="8" w:color="582C83"/>
            </w:tcBorders>
          </w:tcPr>
          <w:p>
            <w:pPr>
              <w:spacing w:after="0"/>
              <w:rPr>
                <w:sz w:val="19"/>
                <w:szCs w:val="19"/>
                <w:color w:val="auto"/>
              </w:rPr>
            </w:pPr>
          </w:p>
        </w:tc>
        <w:tc>
          <w:tcPr>
            <w:tcW w:w="140" w:type="dxa"/>
            <w:vAlign w:val="bottom"/>
            <w:tcBorders>
              <w:bottom w:val="single" w:sz="8" w:color="582C83"/>
            </w:tcBorders>
          </w:tcPr>
          <w:p>
            <w:pPr>
              <w:ind w:left="60"/>
              <w:spacing w:after="0"/>
              <w:rPr>
                <w:sz w:val="20"/>
                <w:szCs w:val="20"/>
                <w:color w:val="auto"/>
              </w:rPr>
            </w:pPr>
            <w:r>
              <w:rPr>
                <w:rFonts w:ascii="Arial" w:cs="Arial" w:eastAsia="Arial" w:hAnsi="Arial"/>
                <w:sz w:val="14"/>
                <w:szCs w:val="14"/>
                <w:color w:val="582C83"/>
              </w:rPr>
              <w:t>•</w:t>
            </w:r>
          </w:p>
        </w:tc>
        <w:tc>
          <w:tcPr>
            <w:tcW w:w="3540" w:type="dxa"/>
            <w:vAlign w:val="bottom"/>
            <w:tcBorders>
              <w:bottom w:val="single" w:sz="8" w:color="582C83"/>
            </w:tcBorders>
          </w:tcPr>
          <w:p>
            <w:pPr>
              <w:ind w:left="40"/>
              <w:spacing w:after="0"/>
              <w:rPr>
                <w:sz w:val="20"/>
                <w:szCs w:val="20"/>
                <w:color w:val="auto"/>
              </w:rPr>
            </w:pPr>
            <w:r>
              <w:rPr>
                <w:rFonts w:ascii="Arial" w:cs="Arial" w:eastAsia="Arial" w:hAnsi="Arial"/>
                <w:sz w:val="14"/>
                <w:szCs w:val="14"/>
                <w:color w:val="auto"/>
              </w:rPr>
              <w:t>resolution of tax matters.</w:t>
            </w:r>
          </w:p>
        </w:tc>
        <w:tc>
          <w:tcPr>
            <w:tcW w:w="1920" w:type="dxa"/>
            <w:vAlign w:val="bottom"/>
            <w:tcBorders>
              <w:bottom w:val="single" w:sz="8" w:color="582C83"/>
            </w:tcBorders>
          </w:tcPr>
          <w:p>
            <w:pPr>
              <w:spacing w:after="0"/>
              <w:rPr>
                <w:sz w:val="19"/>
                <w:szCs w:val="19"/>
                <w:color w:val="auto"/>
              </w:rPr>
            </w:pPr>
          </w:p>
        </w:tc>
        <w:tc>
          <w:tcPr>
            <w:tcW w:w="1980" w:type="dxa"/>
            <w:vAlign w:val="bottom"/>
            <w:tcBorders>
              <w:bottom w:val="single" w:sz="8" w:color="582C83"/>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46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Adjusted EPS</w:t>
            </w:r>
          </w:p>
        </w:tc>
        <w:tc>
          <w:tcPr>
            <w:tcW w:w="3680" w:type="dxa"/>
            <w:vAlign w:val="bottom"/>
            <w:gridSpan w:val="2"/>
            <w:shd w:val="clear" w:color="auto" w:fill="E0DBEA"/>
          </w:tcPr>
          <w:p>
            <w:pPr>
              <w:ind w:left="60"/>
              <w:spacing w:after="0"/>
              <w:rPr>
                <w:sz w:val="20"/>
                <w:szCs w:val="20"/>
                <w:color w:val="auto"/>
              </w:rPr>
            </w:pPr>
            <w:r>
              <w:rPr>
                <w:rFonts w:ascii="Arial" w:cs="Arial" w:eastAsia="Arial" w:hAnsi="Arial"/>
                <w:sz w:val="14"/>
                <w:szCs w:val="14"/>
                <w:color w:val="auto"/>
              </w:rPr>
              <w:t>Adjusted EPS is defined as diluted EPS attributable to</w:t>
            </w:r>
          </w:p>
        </w:tc>
        <w:tc>
          <w:tcPr>
            <w:tcW w:w="1920" w:type="dxa"/>
            <w:vAlign w:val="bottom"/>
            <w:shd w:val="clear" w:color="auto" w:fill="E0DBEA"/>
          </w:tcPr>
          <w:p>
            <w:pPr>
              <w:ind w:left="140"/>
              <w:spacing w:after="0"/>
              <w:rPr>
                <w:sz w:val="20"/>
                <w:szCs w:val="20"/>
                <w:color w:val="auto"/>
              </w:rPr>
            </w:pPr>
            <w:r>
              <w:rPr>
                <w:rFonts w:ascii="Arial" w:cs="Arial" w:eastAsia="Arial" w:hAnsi="Arial"/>
                <w:sz w:val="14"/>
                <w:szCs w:val="14"/>
                <w:i w:val="1"/>
                <w:iCs w:val="1"/>
                <w:color w:val="auto"/>
              </w:rPr>
              <w:t>Adjusted EPS Growth:</w:t>
            </w:r>
          </w:p>
        </w:tc>
        <w:tc>
          <w:tcPr>
            <w:tcW w:w="1980" w:type="dxa"/>
            <w:vAlign w:val="bottom"/>
            <w:shd w:val="clear" w:color="auto" w:fill="E0DBEA"/>
          </w:tcPr>
          <w:p>
            <w:pPr>
              <w:ind w:left="120"/>
              <w:spacing w:after="0"/>
              <w:rPr>
                <w:sz w:val="20"/>
                <w:szCs w:val="20"/>
                <w:color w:val="auto"/>
              </w:rPr>
            </w:pPr>
            <w:r>
              <w:rPr>
                <w:rFonts w:ascii="Arial" w:cs="Arial" w:eastAsia="Arial" w:hAnsi="Arial"/>
                <w:sz w:val="14"/>
                <w:szCs w:val="14"/>
                <w:color w:val="auto"/>
              </w:rPr>
              <w:t>Indicator of overall business</w:t>
            </w:r>
          </w:p>
        </w:tc>
        <w:tc>
          <w:tcPr>
            <w:tcW w:w="0" w:type="dxa"/>
            <w:vAlign w:val="bottom"/>
          </w:tcPr>
          <w:p>
            <w:pPr>
              <w:spacing w:after="0"/>
              <w:rPr>
                <w:sz w:val="1"/>
                <w:szCs w:val="1"/>
                <w:color w:val="auto"/>
              </w:rPr>
            </w:pPr>
          </w:p>
        </w:tc>
      </w:tr>
      <w:tr>
        <w:trPr>
          <w:trHeight w:val="162"/>
        </w:trPr>
        <w:tc>
          <w:tcPr>
            <w:tcW w:w="146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Growth</w:t>
            </w:r>
          </w:p>
        </w:tc>
        <w:tc>
          <w:tcPr>
            <w:tcW w:w="3680" w:type="dxa"/>
            <w:vAlign w:val="bottom"/>
            <w:gridSpan w:val="2"/>
            <w:shd w:val="clear" w:color="auto" w:fill="E0DBEA"/>
          </w:tcPr>
          <w:p>
            <w:pPr>
              <w:ind w:left="60"/>
              <w:spacing w:after="0"/>
              <w:rPr>
                <w:sz w:val="20"/>
                <w:szCs w:val="20"/>
                <w:color w:val="auto"/>
              </w:rPr>
            </w:pPr>
            <w:r>
              <w:rPr>
                <w:rFonts w:ascii="Arial" w:cs="Arial" w:eastAsia="Arial" w:hAnsi="Arial"/>
                <w:sz w:val="14"/>
                <w:szCs w:val="14"/>
                <w:color w:val="auto"/>
              </w:rPr>
              <w:t>Mondelēz International from continuing operations (the</w:t>
            </w:r>
          </w:p>
        </w:tc>
        <w:tc>
          <w:tcPr>
            <w:tcW w:w="1920" w:type="dxa"/>
            <w:vAlign w:val="bottom"/>
            <w:shd w:val="clear" w:color="auto" w:fill="E0DBEA"/>
          </w:tcPr>
          <w:p>
            <w:pPr>
              <w:ind w:left="140"/>
              <w:spacing w:after="0"/>
              <w:rPr>
                <w:sz w:val="20"/>
                <w:szCs w:val="20"/>
                <w:color w:val="auto"/>
              </w:rPr>
            </w:pPr>
            <w:r>
              <w:rPr>
                <w:rFonts w:ascii="Arial" w:cs="Arial" w:eastAsia="Arial" w:hAnsi="Arial"/>
                <w:sz w:val="14"/>
                <w:szCs w:val="14"/>
                <w:color w:val="auto"/>
              </w:rPr>
              <w:t>Defined as the year-over-</w:t>
            </w:r>
          </w:p>
        </w:tc>
        <w:tc>
          <w:tcPr>
            <w:tcW w:w="1980" w:type="dxa"/>
            <w:vAlign w:val="bottom"/>
            <w:shd w:val="clear" w:color="auto" w:fill="E0DBEA"/>
          </w:tcPr>
          <w:p>
            <w:pPr>
              <w:ind w:left="120"/>
              <w:spacing w:after="0"/>
              <w:rPr>
                <w:sz w:val="20"/>
                <w:szCs w:val="20"/>
                <w:color w:val="auto"/>
              </w:rPr>
            </w:pPr>
            <w:r>
              <w:rPr>
                <w:rFonts w:ascii="Arial" w:cs="Arial" w:eastAsia="Arial" w:hAnsi="Arial"/>
                <w:sz w:val="14"/>
                <w:szCs w:val="14"/>
                <w:color w:val="auto"/>
              </w:rPr>
              <w:t>trends and performance,</w:t>
            </w:r>
          </w:p>
        </w:tc>
        <w:tc>
          <w:tcPr>
            <w:tcW w:w="0" w:type="dxa"/>
            <w:vAlign w:val="bottom"/>
          </w:tcPr>
          <w:p>
            <w:pPr>
              <w:spacing w:after="0"/>
              <w:rPr>
                <w:sz w:val="1"/>
                <w:szCs w:val="1"/>
                <w:color w:val="auto"/>
              </w:rPr>
            </w:pPr>
          </w:p>
        </w:tc>
      </w:tr>
      <w:tr>
        <w:trPr>
          <w:trHeight w:val="162"/>
        </w:trPr>
        <w:tc>
          <w:tcPr>
            <w:tcW w:w="1460" w:type="dxa"/>
            <w:vAlign w:val="bottom"/>
            <w:shd w:val="clear" w:color="auto" w:fill="E0DBEA"/>
          </w:tcPr>
          <w:p>
            <w:pPr>
              <w:ind w:left="60"/>
              <w:spacing w:after="0"/>
              <w:rPr>
                <w:sz w:val="20"/>
                <w:szCs w:val="20"/>
                <w:color w:val="auto"/>
              </w:rPr>
            </w:pPr>
            <w:r>
              <w:rPr>
                <w:rFonts w:ascii="Arial" w:cs="Arial" w:eastAsia="Arial" w:hAnsi="Arial"/>
                <w:sz w:val="14"/>
                <w:szCs w:val="14"/>
                <w:b w:val="1"/>
                <w:bCs w:val="1"/>
                <w:color w:val="auto"/>
              </w:rPr>
              <w:t>(PSUs)</w:t>
            </w:r>
          </w:p>
        </w:tc>
        <w:tc>
          <w:tcPr>
            <w:tcW w:w="3680" w:type="dxa"/>
            <w:vAlign w:val="bottom"/>
            <w:gridSpan w:val="2"/>
            <w:shd w:val="clear" w:color="auto" w:fill="E0DBEA"/>
          </w:tcPr>
          <w:p>
            <w:pPr>
              <w:ind w:left="60"/>
              <w:spacing w:after="0"/>
              <w:rPr>
                <w:sz w:val="20"/>
                <w:szCs w:val="20"/>
                <w:color w:val="auto"/>
              </w:rPr>
            </w:pPr>
            <w:r>
              <w:rPr>
                <w:rFonts w:ascii="Arial" w:cs="Arial" w:eastAsia="Arial" w:hAnsi="Arial"/>
                <w:sz w:val="14"/>
                <w:szCs w:val="14"/>
                <w:color w:val="auto"/>
              </w:rPr>
              <w:t>most comparable U.S. GAAP financial measure)</w:t>
            </w:r>
          </w:p>
        </w:tc>
        <w:tc>
          <w:tcPr>
            <w:tcW w:w="1920" w:type="dxa"/>
            <w:vAlign w:val="bottom"/>
            <w:shd w:val="clear" w:color="auto" w:fill="E0DBEA"/>
          </w:tcPr>
          <w:p>
            <w:pPr>
              <w:ind w:left="140"/>
              <w:spacing w:after="0"/>
              <w:rPr>
                <w:sz w:val="20"/>
                <w:szCs w:val="20"/>
                <w:color w:val="auto"/>
              </w:rPr>
            </w:pPr>
            <w:r>
              <w:rPr>
                <w:rFonts w:ascii="Arial" w:cs="Arial" w:eastAsia="Arial" w:hAnsi="Arial"/>
                <w:sz w:val="14"/>
                <w:szCs w:val="14"/>
                <w:color w:val="auto"/>
              </w:rPr>
              <w:t>year constant currency</w:t>
            </w:r>
          </w:p>
        </w:tc>
        <w:tc>
          <w:tcPr>
            <w:tcW w:w="1980" w:type="dxa"/>
            <w:vAlign w:val="bottom"/>
            <w:shd w:val="clear" w:color="auto" w:fill="E0DBEA"/>
          </w:tcPr>
          <w:p>
            <w:pPr>
              <w:ind w:left="120"/>
              <w:spacing w:after="0"/>
              <w:rPr>
                <w:sz w:val="20"/>
                <w:szCs w:val="20"/>
                <w:color w:val="auto"/>
              </w:rPr>
            </w:pPr>
            <w:r>
              <w:rPr>
                <w:rFonts w:ascii="Arial" w:cs="Arial" w:eastAsia="Arial" w:hAnsi="Arial"/>
                <w:sz w:val="14"/>
                <w:szCs w:val="14"/>
                <w:color w:val="auto"/>
              </w:rPr>
              <w:t>based on what business</w:t>
            </w:r>
          </w:p>
        </w:tc>
        <w:tc>
          <w:tcPr>
            <w:tcW w:w="0" w:type="dxa"/>
            <w:vAlign w:val="bottom"/>
          </w:tcPr>
          <w:p>
            <w:pPr>
              <w:spacing w:after="0"/>
              <w:rPr>
                <w:sz w:val="1"/>
                <w:szCs w:val="1"/>
                <w:color w:val="auto"/>
              </w:rPr>
            </w:pPr>
          </w:p>
        </w:tc>
      </w:tr>
      <w:tr>
        <w:trPr>
          <w:trHeight w:val="175"/>
        </w:trPr>
        <w:tc>
          <w:tcPr>
            <w:tcW w:w="1460" w:type="dxa"/>
            <w:vAlign w:val="bottom"/>
            <w:shd w:val="clear" w:color="auto" w:fill="E0DBEA"/>
          </w:tcPr>
          <w:p>
            <w:pPr>
              <w:spacing w:after="0"/>
              <w:rPr>
                <w:sz w:val="15"/>
                <w:szCs w:val="15"/>
                <w:color w:val="auto"/>
              </w:rPr>
            </w:pPr>
          </w:p>
        </w:tc>
        <w:tc>
          <w:tcPr>
            <w:tcW w:w="3680" w:type="dxa"/>
            <w:vAlign w:val="bottom"/>
            <w:gridSpan w:val="2"/>
            <w:shd w:val="clear" w:color="auto" w:fill="E0DBEA"/>
          </w:tcPr>
          <w:p>
            <w:pPr>
              <w:ind w:left="60"/>
              <w:spacing w:after="0"/>
              <w:rPr>
                <w:sz w:val="20"/>
                <w:szCs w:val="20"/>
                <w:color w:val="auto"/>
              </w:rPr>
            </w:pPr>
            <w:r>
              <w:rPr>
                <w:rFonts w:ascii="Arial" w:cs="Arial" w:eastAsia="Arial" w:hAnsi="Arial"/>
                <w:sz w:val="14"/>
                <w:szCs w:val="14"/>
                <w:color w:val="auto"/>
              </w:rPr>
              <w:t>excluding the impacts net of the related income tax</w:t>
            </w:r>
          </w:p>
        </w:tc>
        <w:tc>
          <w:tcPr>
            <w:tcW w:w="1920" w:type="dxa"/>
            <w:vAlign w:val="bottom"/>
            <w:shd w:val="clear" w:color="auto" w:fill="E0DBEA"/>
          </w:tcPr>
          <w:p>
            <w:pPr>
              <w:ind w:left="140"/>
              <w:spacing w:after="0"/>
              <w:rPr>
                <w:sz w:val="20"/>
                <w:szCs w:val="20"/>
                <w:color w:val="auto"/>
              </w:rPr>
            </w:pPr>
            <w:r>
              <w:rPr>
                <w:rFonts w:ascii="Arial" w:cs="Arial" w:eastAsia="Arial" w:hAnsi="Arial"/>
                <w:sz w:val="14"/>
                <w:szCs w:val="14"/>
                <w:color w:val="auto"/>
              </w:rPr>
              <w:t>growth calculated at prior</w:t>
            </w:r>
          </w:p>
        </w:tc>
        <w:tc>
          <w:tcPr>
            <w:tcW w:w="1980" w:type="dxa"/>
            <w:vAlign w:val="bottom"/>
            <w:shd w:val="clear" w:color="auto" w:fill="E0DBEA"/>
          </w:tcPr>
          <w:p>
            <w:pPr>
              <w:ind w:left="120"/>
              <w:spacing w:after="0"/>
              <w:rPr>
                <w:sz w:val="20"/>
                <w:szCs w:val="20"/>
                <w:color w:val="auto"/>
              </w:rPr>
            </w:pPr>
            <w:r>
              <w:rPr>
                <w:rFonts w:ascii="Arial" w:cs="Arial" w:eastAsia="Arial" w:hAnsi="Arial"/>
                <w:sz w:val="14"/>
                <w:szCs w:val="14"/>
                <w:color w:val="auto"/>
              </w:rPr>
              <w:t>leaders can control.</w:t>
            </w:r>
          </w:p>
        </w:tc>
        <w:tc>
          <w:tcPr>
            <w:tcW w:w="0" w:type="dxa"/>
            <w:vAlign w:val="bottom"/>
          </w:tcPr>
          <w:p>
            <w:pPr>
              <w:spacing w:after="0"/>
              <w:rPr>
                <w:sz w:val="1"/>
                <w:szCs w:val="1"/>
                <w:color w:val="auto"/>
              </w:rPr>
            </w:pPr>
          </w:p>
        </w:tc>
      </w:tr>
      <w:tr>
        <w:trPr>
          <w:trHeight w:val="162"/>
        </w:trPr>
        <w:tc>
          <w:tcPr>
            <w:tcW w:w="1460" w:type="dxa"/>
            <w:vAlign w:val="bottom"/>
            <w:shd w:val="clear" w:color="auto" w:fill="E0DBEA"/>
          </w:tcPr>
          <w:p>
            <w:pPr>
              <w:spacing w:after="0"/>
              <w:rPr>
                <w:sz w:val="14"/>
                <w:szCs w:val="14"/>
                <w:color w:val="auto"/>
              </w:rPr>
            </w:pPr>
          </w:p>
        </w:tc>
        <w:tc>
          <w:tcPr>
            <w:tcW w:w="3680" w:type="dxa"/>
            <w:vAlign w:val="bottom"/>
            <w:gridSpan w:val="2"/>
            <w:shd w:val="clear" w:color="auto" w:fill="E0DBEA"/>
          </w:tcPr>
          <w:p>
            <w:pPr>
              <w:ind w:left="60"/>
              <w:spacing w:after="0"/>
              <w:rPr>
                <w:sz w:val="20"/>
                <w:szCs w:val="20"/>
                <w:color w:val="auto"/>
              </w:rPr>
            </w:pPr>
            <w:r>
              <w:rPr>
                <w:rFonts w:ascii="Arial" w:cs="Arial" w:eastAsia="Arial" w:hAnsi="Arial"/>
                <w:sz w:val="14"/>
                <w:szCs w:val="14"/>
                <w:color w:val="auto"/>
              </w:rPr>
              <w:t>effects of:</w:t>
            </w:r>
          </w:p>
        </w:tc>
        <w:tc>
          <w:tcPr>
            <w:tcW w:w="1920" w:type="dxa"/>
            <w:vAlign w:val="bottom"/>
            <w:shd w:val="clear" w:color="auto" w:fill="E0DBEA"/>
          </w:tcPr>
          <w:p>
            <w:pPr>
              <w:ind w:left="140"/>
              <w:spacing w:after="0"/>
              <w:rPr>
                <w:sz w:val="20"/>
                <w:szCs w:val="20"/>
                <w:color w:val="auto"/>
              </w:rPr>
            </w:pPr>
            <w:r>
              <w:rPr>
                <w:rFonts w:ascii="Arial" w:cs="Arial" w:eastAsia="Arial" w:hAnsi="Arial"/>
                <w:sz w:val="14"/>
                <w:szCs w:val="14"/>
                <w:color w:val="auto"/>
              </w:rPr>
              <w:t>year currency exchange</w:t>
            </w:r>
          </w:p>
        </w:tc>
        <w:tc>
          <w:tcPr>
            <w:tcW w:w="1980" w:type="dxa"/>
            <w:vAlign w:val="bottom"/>
            <w:shd w:val="clear" w:color="auto" w:fill="E0DB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shd w:val="clear" w:color="auto" w:fill="E0DBEA"/>
          </w:tcPr>
          <w:p>
            <w:pPr>
              <w:spacing w:after="0"/>
              <w:rPr>
                <w:sz w:val="14"/>
                <w:szCs w:val="14"/>
                <w:color w:val="auto"/>
              </w:rPr>
            </w:pPr>
          </w:p>
        </w:tc>
        <w:tc>
          <w:tcPr>
            <w:tcW w:w="140" w:type="dxa"/>
            <w:vAlign w:val="bottom"/>
            <w:vMerge w:val="restart"/>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3540" w:type="dxa"/>
            <w:vAlign w:val="bottom"/>
            <w:vMerge w:val="restart"/>
            <w:shd w:val="clear" w:color="auto" w:fill="E0DBEA"/>
          </w:tcPr>
          <w:p>
            <w:pPr>
              <w:ind w:left="40"/>
              <w:spacing w:after="0"/>
              <w:rPr>
                <w:sz w:val="20"/>
                <w:szCs w:val="20"/>
                <w:color w:val="auto"/>
              </w:rPr>
            </w:pPr>
            <w:r>
              <w:rPr>
                <w:rFonts w:ascii="Arial" w:cs="Arial" w:eastAsia="Arial" w:hAnsi="Arial"/>
                <w:sz w:val="14"/>
                <w:szCs w:val="14"/>
                <w:color w:val="auto"/>
              </w:rPr>
              <w:t>restructuring charges;</w:t>
            </w:r>
          </w:p>
        </w:tc>
        <w:tc>
          <w:tcPr>
            <w:tcW w:w="1920" w:type="dxa"/>
            <w:vAlign w:val="bottom"/>
            <w:shd w:val="clear" w:color="auto" w:fill="E0DBEA"/>
          </w:tcPr>
          <w:p>
            <w:pPr>
              <w:ind w:left="140"/>
              <w:spacing w:after="0"/>
              <w:rPr>
                <w:sz w:val="20"/>
                <w:szCs w:val="20"/>
                <w:color w:val="auto"/>
              </w:rPr>
            </w:pPr>
            <w:r>
              <w:rPr>
                <w:rFonts w:ascii="Arial" w:cs="Arial" w:eastAsia="Arial" w:hAnsi="Arial"/>
                <w:sz w:val="14"/>
                <w:szCs w:val="14"/>
                <w:color w:val="auto"/>
              </w:rPr>
              <w:t>rates and based on the</w:t>
            </w:r>
          </w:p>
        </w:tc>
        <w:tc>
          <w:tcPr>
            <w:tcW w:w="1980" w:type="dxa"/>
            <w:vAlign w:val="bottom"/>
            <w:shd w:val="clear" w:color="auto" w:fill="E0DB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shd w:val="clear" w:color="auto" w:fill="E0DBEA"/>
          </w:tcPr>
          <w:p>
            <w:pPr>
              <w:spacing w:after="0"/>
              <w:rPr>
                <w:sz w:val="14"/>
                <w:szCs w:val="14"/>
                <w:color w:val="auto"/>
              </w:rPr>
            </w:pPr>
          </w:p>
        </w:tc>
        <w:tc>
          <w:tcPr>
            <w:tcW w:w="140" w:type="dxa"/>
            <w:vAlign w:val="bottom"/>
            <w:vMerge w:val="continue"/>
            <w:shd w:val="clear" w:color="auto" w:fill="E0DBEA"/>
          </w:tcPr>
          <w:p>
            <w:pPr>
              <w:spacing w:after="0"/>
              <w:rPr>
                <w:sz w:val="14"/>
                <w:szCs w:val="14"/>
                <w:color w:val="auto"/>
              </w:rPr>
            </w:pPr>
          </w:p>
        </w:tc>
        <w:tc>
          <w:tcPr>
            <w:tcW w:w="3540" w:type="dxa"/>
            <w:vAlign w:val="bottom"/>
            <w:vMerge w:val="continue"/>
            <w:shd w:val="clear" w:color="auto" w:fill="E0DBEA"/>
          </w:tcPr>
          <w:p>
            <w:pPr>
              <w:spacing w:after="0"/>
              <w:rPr>
                <w:sz w:val="14"/>
                <w:szCs w:val="14"/>
                <w:color w:val="auto"/>
              </w:rPr>
            </w:pPr>
          </w:p>
        </w:tc>
        <w:tc>
          <w:tcPr>
            <w:tcW w:w="1920" w:type="dxa"/>
            <w:vAlign w:val="bottom"/>
            <w:shd w:val="clear" w:color="auto" w:fill="E0DBEA"/>
          </w:tcPr>
          <w:p>
            <w:pPr>
              <w:ind w:left="140"/>
              <w:spacing w:after="0"/>
              <w:rPr>
                <w:sz w:val="20"/>
                <w:szCs w:val="20"/>
                <w:color w:val="auto"/>
              </w:rPr>
            </w:pPr>
            <w:r>
              <w:rPr>
                <w:rFonts w:ascii="Arial" w:cs="Arial" w:eastAsia="Arial" w:hAnsi="Arial"/>
                <w:sz w:val="14"/>
                <w:szCs w:val="14"/>
                <w:color w:val="auto"/>
              </w:rPr>
              <w:t>definition of Adjusted EPS</w:t>
            </w:r>
          </w:p>
        </w:tc>
        <w:tc>
          <w:tcPr>
            <w:tcW w:w="1980" w:type="dxa"/>
            <w:vAlign w:val="bottom"/>
            <w:shd w:val="clear" w:color="auto" w:fill="E0DBEA"/>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60" w:type="dxa"/>
            <w:vAlign w:val="bottom"/>
            <w:shd w:val="clear" w:color="auto" w:fill="E0DBEA"/>
          </w:tcPr>
          <w:p>
            <w:pPr>
              <w:spacing w:after="0"/>
              <w:rPr>
                <w:sz w:val="15"/>
                <w:szCs w:val="15"/>
                <w:color w:val="auto"/>
              </w:rPr>
            </w:pPr>
          </w:p>
        </w:tc>
        <w:tc>
          <w:tcPr>
            <w:tcW w:w="14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intangible asset impairment charges;</w:t>
            </w:r>
          </w:p>
        </w:tc>
        <w:tc>
          <w:tcPr>
            <w:tcW w:w="1920" w:type="dxa"/>
            <w:vAlign w:val="bottom"/>
            <w:shd w:val="clear" w:color="auto" w:fill="E0DBEA"/>
          </w:tcPr>
          <w:p>
            <w:pPr>
              <w:ind w:left="140"/>
              <w:spacing w:after="0"/>
              <w:rPr>
                <w:sz w:val="20"/>
                <w:szCs w:val="20"/>
                <w:color w:val="auto"/>
              </w:rPr>
            </w:pPr>
            <w:r>
              <w:rPr>
                <w:rFonts w:ascii="Arial" w:cs="Arial" w:eastAsia="Arial" w:hAnsi="Arial"/>
                <w:sz w:val="14"/>
                <w:szCs w:val="14"/>
                <w:color w:val="auto"/>
              </w:rPr>
              <w:t>used for each year of the</w:t>
            </w:r>
          </w:p>
        </w:tc>
        <w:tc>
          <w:tcPr>
            <w:tcW w:w="1980" w:type="dxa"/>
            <w:vAlign w:val="bottom"/>
            <w:shd w:val="clear" w:color="auto" w:fill="E0DBEA"/>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460" w:type="dxa"/>
            <w:vAlign w:val="bottom"/>
            <w:shd w:val="clear" w:color="auto" w:fill="E0DBEA"/>
          </w:tcPr>
          <w:p>
            <w:pPr>
              <w:spacing w:after="0"/>
              <w:rPr>
                <w:sz w:val="17"/>
                <w:szCs w:val="17"/>
                <w:color w:val="auto"/>
              </w:rPr>
            </w:pPr>
          </w:p>
        </w:tc>
        <w:tc>
          <w:tcPr>
            <w:tcW w:w="14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3540" w:type="dxa"/>
            <w:vAlign w:val="bottom"/>
            <w:shd w:val="clear" w:color="auto" w:fill="E0DBEA"/>
          </w:tcPr>
          <w:p>
            <w:pPr>
              <w:ind w:left="40"/>
              <w:spacing w:after="0" w:line="161" w:lineRule="exact"/>
              <w:rPr>
                <w:sz w:val="20"/>
                <w:szCs w:val="20"/>
                <w:color w:val="auto"/>
              </w:rPr>
            </w:pPr>
            <w:r>
              <w:rPr>
                <w:rFonts w:ascii="Arial" w:cs="Arial" w:eastAsia="Arial" w:hAnsi="Arial"/>
                <w:sz w:val="14"/>
                <w:szCs w:val="14"/>
                <w:color w:val="auto"/>
              </w:rPr>
              <w:t>mark</w:t>
            </w:r>
            <w:r>
              <w:rPr>
                <w:rFonts w:ascii="MS PGothic" w:cs="MS PGothic" w:eastAsia="MS PGothic" w:hAnsi="MS PGothic"/>
                <w:sz w:val="14"/>
                <w:szCs w:val="14"/>
                <w:color w:val="auto"/>
              </w:rPr>
              <w:t>‑</w:t>
            </w:r>
            <w:r>
              <w:rPr>
                <w:rFonts w:ascii="Arial" w:cs="Arial" w:eastAsia="Arial" w:hAnsi="Arial"/>
                <w:sz w:val="14"/>
                <w:szCs w:val="14"/>
                <w:color w:val="auto"/>
              </w:rPr>
              <w:t>to</w:t>
            </w:r>
            <w:r>
              <w:rPr>
                <w:rFonts w:ascii="MS PGothic" w:cs="MS PGothic" w:eastAsia="MS PGothic" w:hAnsi="MS PGothic"/>
                <w:sz w:val="14"/>
                <w:szCs w:val="14"/>
                <w:color w:val="auto"/>
              </w:rPr>
              <w:t>‑</w:t>
            </w:r>
            <w:r>
              <w:rPr>
                <w:rFonts w:ascii="Arial" w:cs="Arial" w:eastAsia="Arial" w:hAnsi="Arial"/>
                <w:sz w:val="14"/>
                <w:szCs w:val="14"/>
                <w:color w:val="auto"/>
              </w:rPr>
              <w:t>market impacts from commodity and foreign</w:t>
            </w:r>
          </w:p>
        </w:tc>
        <w:tc>
          <w:tcPr>
            <w:tcW w:w="1920" w:type="dxa"/>
            <w:vAlign w:val="bottom"/>
            <w:shd w:val="clear" w:color="auto" w:fill="E0DBEA"/>
          </w:tcPr>
          <w:p>
            <w:pPr>
              <w:ind w:left="140"/>
              <w:spacing w:after="0"/>
              <w:rPr>
                <w:sz w:val="20"/>
                <w:szCs w:val="20"/>
                <w:color w:val="auto"/>
              </w:rPr>
            </w:pPr>
            <w:r>
              <w:rPr>
                <w:rFonts w:ascii="Arial" w:cs="Arial" w:eastAsia="Arial" w:hAnsi="Arial"/>
                <w:sz w:val="14"/>
                <w:szCs w:val="14"/>
                <w:color w:val="auto"/>
              </w:rPr>
              <w:t>three-year performance</w:t>
            </w:r>
          </w:p>
        </w:tc>
        <w:tc>
          <w:tcPr>
            <w:tcW w:w="1980" w:type="dxa"/>
            <w:vAlign w:val="bottom"/>
            <w:shd w:val="clear" w:color="auto" w:fill="E0DBEA"/>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E0DBEA"/>
          </w:tcPr>
          <w:p>
            <w:pPr>
              <w:spacing w:after="0"/>
              <w:rPr>
                <w:sz w:val="16"/>
                <w:szCs w:val="16"/>
                <w:color w:val="auto"/>
              </w:rPr>
            </w:pPr>
          </w:p>
        </w:tc>
        <w:tc>
          <w:tcPr>
            <w:tcW w:w="140" w:type="dxa"/>
            <w:vAlign w:val="bottom"/>
            <w:shd w:val="clear" w:color="auto" w:fill="E0DBEA"/>
          </w:tcPr>
          <w:p>
            <w:pPr>
              <w:spacing w:after="0"/>
              <w:rPr>
                <w:sz w:val="16"/>
                <w:szCs w:val="16"/>
                <w:color w:val="auto"/>
              </w:rPr>
            </w:pPr>
          </w:p>
        </w:tc>
        <w:tc>
          <w:tcPr>
            <w:tcW w:w="3540" w:type="dxa"/>
            <w:vAlign w:val="bottom"/>
            <w:vMerge w:val="restart"/>
            <w:shd w:val="clear" w:color="auto" w:fill="E0DBEA"/>
          </w:tcPr>
          <w:p>
            <w:pPr>
              <w:ind w:left="40"/>
              <w:spacing w:after="0"/>
              <w:rPr>
                <w:sz w:val="20"/>
                <w:szCs w:val="20"/>
                <w:color w:val="auto"/>
              </w:rPr>
            </w:pPr>
            <w:r>
              <w:rPr>
                <w:rFonts w:ascii="Arial" w:cs="Arial" w:eastAsia="Arial" w:hAnsi="Arial"/>
                <w:sz w:val="14"/>
                <w:szCs w:val="14"/>
                <w:color w:val="auto"/>
              </w:rPr>
              <w:t>currency derivative contracts economically hedging</w:t>
            </w:r>
          </w:p>
        </w:tc>
        <w:tc>
          <w:tcPr>
            <w:tcW w:w="1920" w:type="dxa"/>
            <w:vAlign w:val="bottom"/>
            <w:shd w:val="clear" w:color="auto" w:fill="E0DBEA"/>
          </w:tcPr>
          <w:p>
            <w:pPr>
              <w:ind w:left="140"/>
              <w:spacing w:after="0"/>
              <w:rPr>
                <w:sz w:val="20"/>
                <w:szCs w:val="20"/>
                <w:color w:val="auto"/>
              </w:rPr>
            </w:pPr>
            <w:r>
              <w:rPr>
                <w:rFonts w:ascii="Arial" w:cs="Arial" w:eastAsia="Arial" w:hAnsi="Arial"/>
                <w:sz w:val="14"/>
                <w:szCs w:val="14"/>
                <w:color w:val="auto"/>
              </w:rPr>
              <w:t>cycle.</w:t>
            </w:r>
          </w:p>
        </w:tc>
        <w:tc>
          <w:tcPr>
            <w:tcW w:w="1980" w:type="dxa"/>
            <w:vAlign w:val="bottom"/>
            <w:shd w:val="clear" w:color="auto" w:fill="E0DBEA"/>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1460" w:type="dxa"/>
            <w:vAlign w:val="bottom"/>
            <w:shd w:val="clear" w:color="auto" w:fill="E0DBEA"/>
          </w:tcPr>
          <w:p>
            <w:pPr>
              <w:spacing w:after="0"/>
              <w:rPr>
                <w:sz w:val="3"/>
                <w:szCs w:val="3"/>
                <w:color w:val="auto"/>
              </w:rPr>
            </w:pPr>
          </w:p>
        </w:tc>
        <w:tc>
          <w:tcPr>
            <w:tcW w:w="140" w:type="dxa"/>
            <w:vAlign w:val="bottom"/>
            <w:shd w:val="clear" w:color="auto" w:fill="E0DBEA"/>
          </w:tcPr>
          <w:p>
            <w:pPr>
              <w:spacing w:after="0"/>
              <w:rPr>
                <w:sz w:val="3"/>
                <w:szCs w:val="3"/>
                <w:color w:val="auto"/>
              </w:rPr>
            </w:pPr>
          </w:p>
        </w:tc>
        <w:tc>
          <w:tcPr>
            <w:tcW w:w="3540" w:type="dxa"/>
            <w:vAlign w:val="bottom"/>
            <w:vMerge w:val="continue"/>
            <w:shd w:val="clear" w:color="auto" w:fill="E0DBEA"/>
          </w:tcPr>
          <w:p>
            <w:pPr>
              <w:spacing w:after="0"/>
              <w:rPr>
                <w:sz w:val="3"/>
                <w:szCs w:val="3"/>
                <w:color w:val="auto"/>
              </w:rPr>
            </w:pPr>
          </w:p>
        </w:tc>
        <w:tc>
          <w:tcPr>
            <w:tcW w:w="1920" w:type="dxa"/>
            <w:vAlign w:val="bottom"/>
            <w:shd w:val="clear" w:color="auto" w:fill="E0DBEA"/>
          </w:tcPr>
          <w:p>
            <w:pPr>
              <w:spacing w:after="0"/>
              <w:rPr>
                <w:sz w:val="3"/>
                <w:szCs w:val="3"/>
                <w:color w:val="auto"/>
              </w:rPr>
            </w:pPr>
          </w:p>
        </w:tc>
        <w:tc>
          <w:tcPr>
            <w:tcW w:w="1980" w:type="dxa"/>
            <w:vAlign w:val="bottom"/>
            <w:shd w:val="clear" w:color="auto" w:fill="E0DBEA"/>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460" w:type="dxa"/>
            <w:vAlign w:val="bottom"/>
            <w:shd w:val="clear" w:color="auto" w:fill="E0DBEA"/>
          </w:tcPr>
          <w:p>
            <w:pPr>
              <w:spacing w:after="0"/>
              <w:rPr>
                <w:sz w:val="16"/>
                <w:szCs w:val="16"/>
                <w:color w:val="auto"/>
              </w:rPr>
            </w:pPr>
          </w:p>
        </w:tc>
        <w:tc>
          <w:tcPr>
            <w:tcW w:w="140" w:type="dxa"/>
            <w:vAlign w:val="bottom"/>
            <w:shd w:val="clear" w:color="auto" w:fill="E0DBEA"/>
          </w:tcPr>
          <w:p>
            <w:pPr>
              <w:spacing w:after="0"/>
              <w:rPr>
                <w:sz w:val="16"/>
                <w:szCs w:val="16"/>
                <w:color w:val="auto"/>
              </w:rPr>
            </w:pP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forecasted transactions;</w:t>
            </w:r>
          </w:p>
        </w:tc>
        <w:tc>
          <w:tcPr>
            <w:tcW w:w="1920" w:type="dxa"/>
            <w:vAlign w:val="bottom"/>
            <w:shd w:val="clear" w:color="auto" w:fill="E0DBEA"/>
          </w:tcPr>
          <w:p>
            <w:pPr>
              <w:spacing w:after="0"/>
              <w:rPr>
                <w:sz w:val="16"/>
                <w:szCs w:val="16"/>
                <w:color w:val="auto"/>
              </w:rPr>
            </w:pPr>
          </w:p>
        </w:tc>
        <w:tc>
          <w:tcPr>
            <w:tcW w:w="1980" w:type="dxa"/>
            <w:vAlign w:val="bottom"/>
            <w:shd w:val="clear" w:color="auto" w:fill="E0DBEA"/>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E0DBEA"/>
          </w:tcPr>
          <w:p>
            <w:pPr>
              <w:spacing w:after="0"/>
              <w:rPr>
                <w:sz w:val="18"/>
                <w:szCs w:val="18"/>
                <w:color w:val="auto"/>
              </w:rPr>
            </w:pPr>
          </w:p>
        </w:tc>
        <w:tc>
          <w:tcPr>
            <w:tcW w:w="14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acquisition-related items;</w:t>
            </w:r>
          </w:p>
        </w:tc>
        <w:tc>
          <w:tcPr>
            <w:tcW w:w="1920" w:type="dxa"/>
            <w:vAlign w:val="bottom"/>
            <w:shd w:val="clear" w:color="auto" w:fill="E0DBEA"/>
          </w:tcPr>
          <w:p>
            <w:pPr>
              <w:spacing w:after="0"/>
              <w:rPr>
                <w:sz w:val="18"/>
                <w:szCs w:val="18"/>
                <w:color w:val="auto"/>
              </w:rPr>
            </w:pPr>
          </w:p>
        </w:tc>
        <w:tc>
          <w:tcPr>
            <w:tcW w:w="1980" w:type="dxa"/>
            <w:vAlign w:val="bottom"/>
            <w:shd w:val="clear" w:color="auto" w:fill="E0DBEA"/>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60" w:type="dxa"/>
            <w:vAlign w:val="bottom"/>
            <w:shd w:val="clear" w:color="auto" w:fill="E0DBEA"/>
          </w:tcPr>
          <w:p>
            <w:pPr>
              <w:spacing w:after="0"/>
              <w:rPr>
                <w:sz w:val="19"/>
                <w:szCs w:val="19"/>
                <w:color w:val="auto"/>
              </w:rPr>
            </w:pPr>
          </w:p>
        </w:tc>
        <w:tc>
          <w:tcPr>
            <w:tcW w:w="14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divestiture-related items;</w:t>
            </w:r>
          </w:p>
        </w:tc>
        <w:tc>
          <w:tcPr>
            <w:tcW w:w="1920" w:type="dxa"/>
            <w:vAlign w:val="bottom"/>
            <w:shd w:val="clear" w:color="auto" w:fill="E0DBEA"/>
          </w:tcPr>
          <w:p>
            <w:pPr>
              <w:spacing w:after="0"/>
              <w:rPr>
                <w:sz w:val="19"/>
                <w:szCs w:val="19"/>
                <w:color w:val="auto"/>
              </w:rPr>
            </w:pPr>
          </w:p>
        </w:tc>
        <w:tc>
          <w:tcPr>
            <w:tcW w:w="1980" w:type="dxa"/>
            <w:vAlign w:val="bottom"/>
            <w:shd w:val="clear" w:color="auto" w:fill="E0DBEA"/>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460" w:type="dxa"/>
            <w:vAlign w:val="bottom"/>
            <w:shd w:val="clear" w:color="auto" w:fill="E0DBEA"/>
          </w:tcPr>
          <w:p>
            <w:pPr>
              <w:spacing w:after="0"/>
              <w:rPr>
                <w:sz w:val="19"/>
                <w:szCs w:val="19"/>
                <w:color w:val="auto"/>
              </w:rPr>
            </w:pPr>
          </w:p>
        </w:tc>
        <w:tc>
          <w:tcPr>
            <w:tcW w:w="14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3540" w:type="dxa"/>
            <w:vAlign w:val="bottom"/>
            <w:shd w:val="clear" w:color="auto" w:fill="E0DBEA"/>
          </w:tcPr>
          <w:p>
            <w:pPr>
              <w:ind w:left="40"/>
              <w:spacing w:after="0" w:line="161" w:lineRule="exact"/>
              <w:rPr>
                <w:sz w:val="20"/>
                <w:szCs w:val="20"/>
                <w:color w:val="auto"/>
              </w:rPr>
            </w:pPr>
            <w:r>
              <w:rPr>
                <w:rFonts w:ascii="Arial" w:cs="Arial" w:eastAsia="Arial" w:hAnsi="Arial"/>
                <w:sz w:val="14"/>
                <w:szCs w:val="14"/>
                <w:color w:val="auto"/>
              </w:rPr>
              <w:t>operating results from short</w:t>
            </w:r>
            <w:r>
              <w:rPr>
                <w:rFonts w:ascii="MS PGothic" w:cs="MS PGothic" w:eastAsia="MS PGothic" w:hAnsi="MS PGothic"/>
                <w:sz w:val="14"/>
                <w:szCs w:val="14"/>
                <w:color w:val="auto"/>
              </w:rPr>
              <w:t>‑</w:t>
            </w:r>
            <w:r>
              <w:rPr>
                <w:rFonts w:ascii="Arial" w:cs="Arial" w:eastAsia="Arial" w:hAnsi="Arial"/>
                <w:sz w:val="14"/>
                <w:szCs w:val="14"/>
                <w:color w:val="auto"/>
              </w:rPr>
              <w:t>term distributor</w:t>
            </w:r>
          </w:p>
        </w:tc>
        <w:tc>
          <w:tcPr>
            <w:tcW w:w="1920" w:type="dxa"/>
            <w:vAlign w:val="bottom"/>
            <w:shd w:val="clear" w:color="auto" w:fill="E0DBEA"/>
          </w:tcPr>
          <w:p>
            <w:pPr>
              <w:spacing w:after="0"/>
              <w:rPr>
                <w:sz w:val="19"/>
                <w:szCs w:val="19"/>
                <w:color w:val="auto"/>
              </w:rPr>
            </w:pPr>
          </w:p>
        </w:tc>
        <w:tc>
          <w:tcPr>
            <w:tcW w:w="1980" w:type="dxa"/>
            <w:vAlign w:val="bottom"/>
            <w:shd w:val="clear" w:color="auto" w:fill="E0DBEA"/>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460" w:type="dxa"/>
            <w:vAlign w:val="bottom"/>
            <w:shd w:val="clear" w:color="auto" w:fill="E0DBEA"/>
          </w:tcPr>
          <w:p>
            <w:pPr>
              <w:spacing w:after="0"/>
              <w:rPr>
                <w:sz w:val="16"/>
                <w:szCs w:val="16"/>
                <w:color w:val="auto"/>
              </w:rPr>
            </w:pPr>
          </w:p>
        </w:tc>
        <w:tc>
          <w:tcPr>
            <w:tcW w:w="140" w:type="dxa"/>
            <w:vAlign w:val="bottom"/>
            <w:shd w:val="clear" w:color="auto" w:fill="E0DBEA"/>
          </w:tcPr>
          <w:p>
            <w:pPr>
              <w:spacing w:after="0"/>
              <w:rPr>
                <w:sz w:val="16"/>
                <w:szCs w:val="16"/>
                <w:color w:val="auto"/>
              </w:rPr>
            </w:pP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agreements;</w:t>
            </w:r>
          </w:p>
        </w:tc>
        <w:tc>
          <w:tcPr>
            <w:tcW w:w="1920" w:type="dxa"/>
            <w:vAlign w:val="bottom"/>
            <w:shd w:val="clear" w:color="auto" w:fill="E0DBEA"/>
          </w:tcPr>
          <w:p>
            <w:pPr>
              <w:spacing w:after="0"/>
              <w:rPr>
                <w:sz w:val="16"/>
                <w:szCs w:val="16"/>
                <w:color w:val="auto"/>
              </w:rPr>
            </w:pPr>
          </w:p>
        </w:tc>
        <w:tc>
          <w:tcPr>
            <w:tcW w:w="1980" w:type="dxa"/>
            <w:vAlign w:val="bottom"/>
            <w:shd w:val="clear" w:color="auto" w:fill="E0DBEA"/>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460" w:type="dxa"/>
            <w:vAlign w:val="bottom"/>
            <w:shd w:val="clear" w:color="auto" w:fill="E0DBEA"/>
          </w:tcPr>
          <w:p>
            <w:pPr>
              <w:spacing w:after="0"/>
              <w:rPr>
                <w:sz w:val="21"/>
                <w:szCs w:val="21"/>
                <w:color w:val="auto"/>
              </w:rPr>
            </w:pPr>
          </w:p>
        </w:tc>
        <w:tc>
          <w:tcPr>
            <w:tcW w:w="140" w:type="dxa"/>
            <w:vAlign w:val="bottom"/>
            <w:shd w:val="clear" w:color="auto" w:fill="E0DBEA"/>
          </w:tcPr>
          <w:p>
            <w:pPr>
              <w:ind w:left="60"/>
              <w:spacing w:after="0"/>
              <w:rPr>
                <w:sz w:val="20"/>
                <w:szCs w:val="20"/>
                <w:color w:val="auto"/>
              </w:rPr>
            </w:pPr>
            <w:r>
              <w:rPr>
                <w:rFonts w:ascii="Arial" w:cs="Arial" w:eastAsia="Arial" w:hAnsi="Arial"/>
                <w:sz w:val="17"/>
                <w:szCs w:val="17"/>
                <w:color w:val="582C83"/>
              </w:rPr>
              <w:t>•</w:t>
            </w: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ERP System Implementation costs;</w:t>
            </w:r>
          </w:p>
        </w:tc>
        <w:tc>
          <w:tcPr>
            <w:tcW w:w="1920" w:type="dxa"/>
            <w:vAlign w:val="bottom"/>
            <w:shd w:val="clear" w:color="auto" w:fill="E0DBEA"/>
          </w:tcPr>
          <w:p>
            <w:pPr>
              <w:spacing w:after="0"/>
              <w:rPr>
                <w:sz w:val="21"/>
                <w:szCs w:val="21"/>
                <w:color w:val="auto"/>
              </w:rPr>
            </w:pPr>
          </w:p>
        </w:tc>
        <w:tc>
          <w:tcPr>
            <w:tcW w:w="1980" w:type="dxa"/>
            <w:vAlign w:val="bottom"/>
            <w:shd w:val="clear" w:color="auto" w:fill="E0DBEA"/>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460" w:type="dxa"/>
            <w:vAlign w:val="bottom"/>
            <w:shd w:val="clear" w:color="auto" w:fill="E0DBEA"/>
          </w:tcPr>
          <w:p>
            <w:pPr>
              <w:spacing w:after="0"/>
              <w:rPr>
                <w:sz w:val="20"/>
                <w:szCs w:val="20"/>
                <w:color w:val="auto"/>
              </w:rPr>
            </w:pPr>
          </w:p>
        </w:tc>
        <w:tc>
          <w:tcPr>
            <w:tcW w:w="14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remeasurement of net monetary position of highly</w:t>
            </w:r>
          </w:p>
        </w:tc>
        <w:tc>
          <w:tcPr>
            <w:tcW w:w="1920" w:type="dxa"/>
            <w:vAlign w:val="bottom"/>
            <w:shd w:val="clear" w:color="auto" w:fill="E0DBEA"/>
          </w:tcPr>
          <w:p>
            <w:pPr>
              <w:spacing w:after="0"/>
              <w:rPr>
                <w:sz w:val="20"/>
                <w:szCs w:val="20"/>
                <w:color w:val="auto"/>
              </w:rPr>
            </w:pPr>
          </w:p>
        </w:tc>
        <w:tc>
          <w:tcPr>
            <w:tcW w:w="1980" w:type="dxa"/>
            <w:vAlign w:val="bottom"/>
            <w:shd w:val="clear" w:color="auto" w:fill="E0DBEA"/>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460" w:type="dxa"/>
            <w:vAlign w:val="bottom"/>
            <w:shd w:val="clear" w:color="auto" w:fill="E0DBEA"/>
          </w:tcPr>
          <w:p>
            <w:pPr>
              <w:spacing w:after="0"/>
              <w:rPr>
                <w:sz w:val="16"/>
                <w:szCs w:val="16"/>
                <w:color w:val="auto"/>
              </w:rPr>
            </w:pPr>
          </w:p>
        </w:tc>
        <w:tc>
          <w:tcPr>
            <w:tcW w:w="140" w:type="dxa"/>
            <w:vAlign w:val="bottom"/>
            <w:shd w:val="clear" w:color="auto" w:fill="E0DBEA"/>
          </w:tcPr>
          <w:p>
            <w:pPr>
              <w:spacing w:after="0"/>
              <w:rPr>
                <w:sz w:val="16"/>
                <w:szCs w:val="16"/>
                <w:color w:val="auto"/>
              </w:rPr>
            </w:pP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inflationary countries;</w:t>
            </w:r>
          </w:p>
        </w:tc>
        <w:tc>
          <w:tcPr>
            <w:tcW w:w="1920" w:type="dxa"/>
            <w:vAlign w:val="bottom"/>
            <w:shd w:val="clear" w:color="auto" w:fill="E0DBEA"/>
          </w:tcPr>
          <w:p>
            <w:pPr>
              <w:spacing w:after="0"/>
              <w:rPr>
                <w:sz w:val="16"/>
                <w:szCs w:val="16"/>
                <w:color w:val="auto"/>
              </w:rPr>
            </w:pPr>
          </w:p>
        </w:tc>
        <w:tc>
          <w:tcPr>
            <w:tcW w:w="1980" w:type="dxa"/>
            <w:vAlign w:val="bottom"/>
            <w:shd w:val="clear" w:color="auto" w:fill="E0DBEA"/>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E0DBEA"/>
          </w:tcPr>
          <w:p>
            <w:pPr>
              <w:spacing w:after="0"/>
              <w:rPr>
                <w:sz w:val="18"/>
                <w:szCs w:val="18"/>
                <w:color w:val="auto"/>
              </w:rPr>
            </w:pPr>
          </w:p>
        </w:tc>
        <w:tc>
          <w:tcPr>
            <w:tcW w:w="14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pension participation charges;</w:t>
            </w:r>
          </w:p>
        </w:tc>
        <w:tc>
          <w:tcPr>
            <w:tcW w:w="1920" w:type="dxa"/>
            <w:vAlign w:val="bottom"/>
            <w:shd w:val="clear" w:color="auto" w:fill="E0DBEA"/>
          </w:tcPr>
          <w:p>
            <w:pPr>
              <w:spacing w:after="0"/>
              <w:rPr>
                <w:sz w:val="18"/>
                <w:szCs w:val="18"/>
                <w:color w:val="auto"/>
              </w:rPr>
            </w:pPr>
          </w:p>
        </w:tc>
        <w:tc>
          <w:tcPr>
            <w:tcW w:w="1980" w:type="dxa"/>
            <w:vAlign w:val="bottom"/>
            <w:shd w:val="clear" w:color="auto" w:fill="E0DB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shd w:val="clear" w:color="auto" w:fill="E0DBEA"/>
          </w:tcPr>
          <w:p>
            <w:pPr>
              <w:spacing w:after="0"/>
              <w:rPr>
                <w:sz w:val="19"/>
                <w:szCs w:val="19"/>
                <w:color w:val="auto"/>
              </w:rPr>
            </w:pPr>
          </w:p>
        </w:tc>
        <w:tc>
          <w:tcPr>
            <w:tcW w:w="14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resolution of tax matters;</w:t>
            </w:r>
          </w:p>
        </w:tc>
        <w:tc>
          <w:tcPr>
            <w:tcW w:w="1920" w:type="dxa"/>
            <w:vAlign w:val="bottom"/>
            <w:shd w:val="clear" w:color="auto" w:fill="E0DBEA"/>
          </w:tcPr>
          <w:p>
            <w:pPr>
              <w:spacing w:after="0"/>
              <w:rPr>
                <w:sz w:val="19"/>
                <w:szCs w:val="19"/>
                <w:color w:val="auto"/>
              </w:rPr>
            </w:pPr>
          </w:p>
        </w:tc>
        <w:tc>
          <w:tcPr>
            <w:tcW w:w="1980" w:type="dxa"/>
            <w:vAlign w:val="bottom"/>
            <w:shd w:val="clear" w:color="auto" w:fill="E0DBEA"/>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E0DBEA"/>
          </w:tcPr>
          <w:p>
            <w:pPr>
              <w:spacing w:after="0"/>
              <w:rPr>
                <w:sz w:val="18"/>
                <w:szCs w:val="18"/>
                <w:color w:val="auto"/>
              </w:rPr>
            </w:pPr>
          </w:p>
        </w:tc>
        <w:tc>
          <w:tcPr>
            <w:tcW w:w="14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the European Commission legal matter;</w:t>
            </w:r>
          </w:p>
        </w:tc>
        <w:tc>
          <w:tcPr>
            <w:tcW w:w="1920" w:type="dxa"/>
            <w:vAlign w:val="bottom"/>
            <w:shd w:val="clear" w:color="auto" w:fill="E0DBEA"/>
          </w:tcPr>
          <w:p>
            <w:pPr>
              <w:spacing w:after="0"/>
              <w:rPr>
                <w:sz w:val="18"/>
                <w:szCs w:val="18"/>
                <w:color w:val="auto"/>
              </w:rPr>
            </w:pPr>
          </w:p>
        </w:tc>
        <w:tc>
          <w:tcPr>
            <w:tcW w:w="1980" w:type="dxa"/>
            <w:vAlign w:val="bottom"/>
            <w:shd w:val="clear" w:color="auto" w:fill="E0DBEA"/>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460" w:type="dxa"/>
            <w:vAlign w:val="bottom"/>
            <w:shd w:val="clear" w:color="auto" w:fill="E0DBEA"/>
          </w:tcPr>
          <w:p>
            <w:pPr>
              <w:spacing w:after="0"/>
              <w:rPr>
                <w:sz w:val="21"/>
                <w:szCs w:val="21"/>
                <w:color w:val="auto"/>
              </w:rPr>
            </w:pPr>
          </w:p>
        </w:tc>
        <w:tc>
          <w:tcPr>
            <w:tcW w:w="140" w:type="dxa"/>
            <w:vAlign w:val="bottom"/>
            <w:shd w:val="clear" w:color="auto" w:fill="E0DBEA"/>
          </w:tcPr>
          <w:p>
            <w:pPr>
              <w:ind w:left="60"/>
              <w:spacing w:after="0"/>
              <w:rPr>
                <w:sz w:val="20"/>
                <w:szCs w:val="20"/>
                <w:color w:val="auto"/>
              </w:rPr>
            </w:pPr>
            <w:r>
              <w:rPr>
                <w:rFonts w:ascii="Arial" w:cs="Arial" w:eastAsia="Arial" w:hAnsi="Arial"/>
                <w:sz w:val="17"/>
                <w:szCs w:val="17"/>
                <w:color w:val="582C83"/>
              </w:rPr>
              <w:t>•</w:t>
            </w: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initial impacts from enacted tax law changes;</w:t>
            </w:r>
          </w:p>
        </w:tc>
        <w:tc>
          <w:tcPr>
            <w:tcW w:w="1920" w:type="dxa"/>
            <w:vAlign w:val="bottom"/>
            <w:shd w:val="clear" w:color="auto" w:fill="E0DBEA"/>
          </w:tcPr>
          <w:p>
            <w:pPr>
              <w:spacing w:after="0"/>
              <w:rPr>
                <w:sz w:val="21"/>
                <w:szCs w:val="21"/>
                <w:color w:val="auto"/>
              </w:rPr>
            </w:pPr>
          </w:p>
        </w:tc>
        <w:tc>
          <w:tcPr>
            <w:tcW w:w="1980" w:type="dxa"/>
            <w:vAlign w:val="bottom"/>
            <w:shd w:val="clear" w:color="auto" w:fill="E0DBEA"/>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460" w:type="dxa"/>
            <w:vAlign w:val="bottom"/>
            <w:shd w:val="clear" w:color="auto" w:fill="E0DBEA"/>
          </w:tcPr>
          <w:p>
            <w:pPr>
              <w:spacing w:after="0"/>
              <w:rPr>
                <w:sz w:val="20"/>
                <w:szCs w:val="20"/>
                <w:color w:val="auto"/>
              </w:rPr>
            </w:pPr>
          </w:p>
        </w:tc>
        <w:tc>
          <w:tcPr>
            <w:tcW w:w="14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incremental costs due to the war in Ukraine;</w:t>
            </w:r>
          </w:p>
        </w:tc>
        <w:tc>
          <w:tcPr>
            <w:tcW w:w="1920" w:type="dxa"/>
            <w:vAlign w:val="bottom"/>
            <w:shd w:val="clear" w:color="auto" w:fill="E0DBEA"/>
          </w:tcPr>
          <w:p>
            <w:pPr>
              <w:spacing w:after="0"/>
              <w:rPr>
                <w:sz w:val="20"/>
                <w:szCs w:val="20"/>
                <w:color w:val="auto"/>
              </w:rPr>
            </w:pPr>
          </w:p>
        </w:tc>
        <w:tc>
          <w:tcPr>
            <w:tcW w:w="1980" w:type="dxa"/>
            <w:vAlign w:val="bottom"/>
            <w:shd w:val="clear" w:color="auto" w:fill="E0DBEA"/>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E0DBEA"/>
          </w:tcPr>
          <w:p>
            <w:pPr>
              <w:spacing w:after="0"/>
              <w:rPr>
                <w:sz w:val="18"/>
                <w:szCs w:val="18"/>
                <w:color w:val="auto"/>
              </w:rPr>
            </w:pPr>
          </w:p>
        </w:tc>
        <w:tc>
          <w:tcPr>
            <w:tcW w:w="14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gains or losses on marketable securities; and</w:t>
            </w:r>
          </w:p>
        </w:tc>
        <w:tc>
          <w:tcPr>
            <w:tcW w:w="1920" w:type="dxa"/>
            <w:vAlign w:val="bottom"/>
            <w:shd w:val="clear" w:color="auto" w:fill="E0DBEA"/>
          </w:tcPr>
          <w:p>
            <w:pPr>
              <w:spacing w:after="0"/>
              <w:rPr>
                <w:sz w:val="18"/>
                <w:szCs w:val="18"/>
                <w:color w:val="auto"/>
              </w:rPr>
            </w:pPr>
          </w:p>
        </w:tc>
        <w:tc>
          <w:tcPr>
            <w:tcW w:w="1980" w:type="dxa"/>
            <w:vAlign w:val="bottom"/>
            <w:shd w:val="clear" w:color="auto" w:fill="E0DBEA"/>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460" w:type="dxa"/>
            <w:vAlign w:val="bottom"/>
            <w:shd w:val="clear" w:color="auto" w:fill="E0DBEA"/>
          </w:tcPr>
          <w:p>
            <w:pPr>
              <w:spacing w:after="0"/>
              <w:rPr>
                <w:sz w:val="19"/>
                <w:szCs w:val="19"/>
                <w:color w:val="auto"/>
              </w:rPr>
            </w:pPr>
          </w:p>
        </w:tc>
        <w:tc>
          <w:tcPr>
            <w:tcW w:w="140" w:type="dxa"/>
            <w:vAlign w:val="bottom"/>
            <w:shd w:val="clear" w:color="auto" w:fill="E0DBEA"/>
          </w:tcPr>
          <w:p>
            <w:pPr>
              <w:ind w:left="60"/>
              <w:spacing w:after="0"/>
              <w:rPr>
                <w:sz w:val="20"/>
                <w:szCs w:val="20"/>
                <w:color w:val="auto"/>
              </w:rPr>
            </w:pPr>
            <w:r>
              <w:rPr>
                <w:rFonts w:ascii="Arial" w:cs="Arial" w:eastAsia="Arial" w:hAnsi="Arial"/>
                <w:sz w:val="14"/>
                <w:szCs w:val="14"/>
                <w:color w:val="582C83"/>
              </w:rPr>
              <w:t>•</w:t>
            </w:r>
          </w:p>
        </w:tc>
        <w:tc>
          <w:tcPr>
            <w:tcW w:w="3540" w:type="dxa"/>
            <w:vAlign w:val="bottom"/>
            <w:shd w:val="clear" w:color="auto" w:fill="E0DBEA"/>
          </w:tcPr>
          <w:p>
            <w:pPr>
              <w:ind w:left="40"/>
              <w:spacing w:after="0"/>
              <w:rPr>
                <w:sz w:val="20"/>
                <w:szCs w:val="20"/>
                <w:color w:val="auto"/>
              </w:rPr>
            </w:pPr>
            <w:r>
              <w:rPr>
                <w:rFonts w:ascii="Arial" w:cs="Arial" w:eastAsia="Arial" w:hAnsi="Arial"/>
                <w:sz w:val="14"/>
                <w:szCs w:val="14"/>
                <w:color w:val="auto"/>
              </w:rPr>
              <w:t>gains or losses on equity method</w:t>
            </w:r>
          </w:p>
        </w:tc>
        <w:tc>
          <w:tcPr>
            <w:tcW w:w="1920" w:type="dxa"/>
            <w:vAlign w:val="bottom"/>
            <w:shd w:val="clear" w:color="auto" w:fill="E0DBEA"/>
          </w:tcPr>
          <w:p>
            <w:pPr>
              <w:spacing w:after="0"/>
              <w:rPr>
                <w:sz w:val="19"/>
                <w:szCs w:val="19"/>
                <w:color w:val="auto"/>
              </w:rPr>
            </w:pPr>
          </w:p>
        </w:tc>
        <w:tc>
          <w:tcPr>
            <w:tcW w:w="1980" w:type="dxa"/>
            <w:vAlign w:val="bottom"/>
            <w:shd w:val="clear" w:color="auto" w:fill="E0DBEA"/>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460" w:type="dxa"/>
            <w:vAlign w:val="bottom"/>
            <w:tcBorders>
              <w:bottom w:val="single" w:sz="8" w:color="582C83"/>
            </w:tcBorders>
            <w:shd w:val="clear" w:color="auto" w:fill="E0DBEA"/>
          </w:tcPr>
          <w:p>
            <w:pPr>
              <w:spacing w:after="0"/>
              <w:rPr>
                <w:sz w:val="16"/>
                <w:szCs w:val="16"/>
                <w:color w:val="auto"/>
              </w:rPr>
            </w:pPr>
          </w:p>
        </w:tc>
        <w:tc>
          <w:tcPr>
            <w:tcW w:w="140" w:type="dxa"/>
            <w:vAlign w:val="bottom"/>
            <w:tcBorders>
              <w:bottom w:val="single" w:sz="8" w:color="582C83"/>
            </w:tcBorders>
            <w:shd w:val="clear" w:color="auto" w:fill="E0DBEA"/>
          </w:tcPr>
          <w:p>
            <w:pPr>
              <w:spacing w:after="0"/>
              <w:rPr>
                <w:sz w:val="16"/>
                <w:szCs w:val="16"/>
                <w:color w:val="auto"/>
              </w:rPr>
            </w:pPr>
          </w:p>
        </w:tc>
        <w:tc>
          <w:tcPr>
            <w:tcW w:w="3540" w:type="dxa"/>
            <w:vAlign w:val="bottom"/>
            <w:tcBorders>
              <w:bottom w:val="single" w:sz="8" w:color="582C83"/>
            </w:tcBorders>
            <w:shd w:val="clear" w:color="auto" w:fill="E0DBEA"/>
          </w:tcPr>
          <w:p>
            <w:pPr>
              <w:ind w:left="40"/>
              <w:spacing w:after="0"/>
              <w:rPr>
                <w:sz w:val="20"/>
                <w:szCs w:val="20"/>
                <w:color w:val="auto"/>
              </w:rPr>
            </w:pPr>
            <w:r>
              <w:rPr>
                <w:rFonts w:ascii="Arial" w:cs="Arial" w:eastAsia="Arial" w:hAnsi="Arial"/>
                <w:sz w:val="14"/>
                <w:szCs w:val="14"/>
                <w:color w:val="auto"/>
              </w:rPr>
              <w:t>investment transactions.</w:t>
            </w:r>
          </w:p>
        </w:tc>
        <w:tc>
          <w:tcPr>
            <w:tcW w:w="1920" w:type="dxa"/>
            <w:vAlign w:val="bottom"/>
            <w:tcBorders>
              <w:bottom w:val="single" w:sz="8" w:color="582C83"/>
            </w:tcBorders>
            <w:shd w:val="clear" w:color="auto" w:fill="E0DBEA"/>
          </w:tcPr>
          <w:p>
            <w:pPr>
              <w:spacing w:after="0"/>
              <w:rPr>
                <w:sz w:val="16"/>
                <w:szCs w:val="16"/>
                <w:color w:val="auto"/>
              </w:rPr>
            </w:pPr>
          </w:p>
        </w:tc>
        <w:tc>
          <w:tcPr>
            <w:tcW w:w="1980" w:type="dxa"/>
            <w:vAlign w:val="bottom"/>
            <w:tcBorders>
              <w:bottom w:val="single" w:sz="8" w:color="582C83"/>
            </w:tcBorders>
            <w:shd w:val="clear" w:color="auto" w:fill="E0DBEA"/>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460" w:type="dxa"/>
            <w:vAlign w:val="bottom"/>
          </w:tcPr>
          <w:p>
            <w:pPr>
              <w:ind w:left="60"/>
              <w:spacing w:after="0"/>
              <w:rPr>
                <w:sz w:val="20"/>
                <w:szCs w:val="20"/>
                <w:color w:val="auto"/>
              </w:rPr>
            </w:pPr>
            <w:r>
              <w:rPr>
                <w:rFonts w:ascii="Arial" w:cs="Arial" w:eastAsia="Arial" w:hAnsi="Arial"/>
                <w:sz w:val="14"/>
                <w:szCs w:val="14"/>
                <w:b w:val="1"/>
                <w:bCs w:val="1"/>
                <w:color w:val="auto"/>
              </w:rPr>
              <w:t>Free Cash Flow</w:t>
            </w:r>
          </w:p>
        </w:tc>
        <w:tc>
          <w:tcPr>
            <w:tcW w:w="3680" w:type="dxa"/>
            <w:vAlign w:val="bottom"/>
            <w:gridSpan w:val="2"/>
          </w:tcPr>
          <w:p>
            <w:pPr>
              <w:ind w:left="60"/>
              <w:spacing w:after="0"/>
              <w:rPr>
                <w:sz w:val="20"/>
                <w:szCs w:val="20"/>
                <w:color w:val="auto"/>
              </w:rPr>
            </w:pPr>
            <w:r>
              <w:rPr>
                <w:rFonts w:ascii="Arial" w:cs="Arial" w:eastAsia="Arial" w:hAnsi="Arial"/>
                <w:sz w:val="14"/>
                <w:szCs w:val="14"/>
                <w:color w:val="auto"/>
              </w:rPr>
              <w:t>Free Cash Flow is defined as Net Cash Provided By</w:t>
            </w:r>
          </w:p>
        </w:tc>
        <w:tc>
          <w:tcPr>
            <w:tcW w:w="1920" w:type="dxa"/>
            <w:vAlign w:val="bottom"/>
          </w:tcPr>
          <w:p>
            <w:pPr>
              <w:spacing w:after="0"/>
              <w:rPr>
                <w:sz w:val="15"/>
                <w:szCs w:val="15"/>
                <w:color w:val="auto"/>
              </w:rPr>
            </w:pPr>
          </w:p>
        </w:tc>
        <w:tc>
          <w:tcPr>
            <w:tcW w:w="1980" w:type="dxa"/>
            <w:vAlign w:val="bottom"/>
          </w:tcPr>
          <w:p>
            <w:pPr>
              <w:ind w:left="120"/>
              <w:spacing w:after="0"/>
              <w:rPr>
                <w:sz w:val="20"/>
                <w:szCs w:val="20"/>
                <w:color w:val="auto"/>
              </w:rPr>
            </w:pPr>
            <w:r>
              <w:rPr>
                <w:rFonts w:ascii="Arial" w:cs="Arial" w:eastAsia="Arial" w:hAnsi="Arial"/>
                <w:sz w:val="14"/>
                <w:szCs w:val="14"/>
                <w:color w:val="auto"/>
              </w:rPr>
              <w:t>Reflects financial liquidity,</w:t>
            </w:r>
          </w:p>
        </w:tc>
        <w:tc>
          <w:tcPr>
            <w:tcW w:w="0" w:type="dxa"/>
            <w:vAlign w:val="bottom"/>
          </w:tcPr>
          <w:p>
            <w:pPr>
              <w:spacing w:after="0"/>
              <w:rPr>
                <w:sz w:val="1"/>
                <w:szCs w:val="1"/>
                <w:color w:val="auto"/>
              </w:rPr>
            </w:pPr>
          </w:p>
        </w:tc>
      </w:tr>
      <w:tr>
        <w:trPr>
          <w:trHeight w:val="175"/>
        </w:trPr>
        <w:tc>
          <w:tcPr>
            <w:tcW w:w="1460" w:type="dxa"/>
            <w:vAlign w:val="bottom"/>
          </w:tcPr>
          <w:p>
            <w:pPr>
              <w:ind w:left="60"/>
              <w:spacing w:after="0"/>
              <w:rPr>
                <w:sz w:val="20"/>
                <w:szCs w:val="20"/>
                <w:color w:val="auto"/>
              </w:rPr>
            </w:pPr>
            <w:r>
              <w:rPr>
                <w:rFonts w:ascii="Arial" w:cs="Arial" w:eastAsia="Arial" w:hAnsi="Arial"/>
                <w:sz w:val="14"/>
                <w:szCs w:val="14"/>
                <w:b w:val="1"/>
                <w:bCs w:val="1"/>
                <w:color w:val="auto"/>
              </w:rPr>
              <w:t>(AIP)</w:t>
            </w:r>
          </w:p>
        </w:tc>
        <w:tc>
          <w:tcPr>
            <w:tcW w:w="3680" w:type="dxa"/>
            <w:vAlign w:val="bottom"/>
            <w:gridSpan w:val="2"/>
          </w:tcPr>
          <w:p>
            <w:pPr>
              <w:ind w:left="60"/>
              <w:spacing w:after="0"/>
              <w:rPr>
                <w:sz w:val="20"/>
                <w:szCs w:val="20"/>
                <w:color w:val="auto"/>
              </w:rPr>
            </w:pPr>
            <w:r>
              <w:rPr>
                <w:rFonts w:ascii="Arial" w:cs="Arial" w:eastAsia="Arial" w:hAnsi="Arial"/>
                <w:sz w:val="14"/>
                <w:szCs w:val="14"/>
                <w:color w:val="auto"/>
              </w:rPr>
              <w:t>Operating Activities less capital expenditures.</w:t>
            </w:r>
          </w:p>
        </w:tc>
        <w:tc>
          <w:tcPr>
            <w:tcW w:w="1920" w:type="dxa"/>
            <w:vAlign w:val="bottom"/>
          </w:tcPr>
          <w:p>
            <w:pPr>
              <w:spacing w:after="0"/>
              <w:rPr>
                <w:sz w:val="15"/>
                <w:szCs w:val="15"/>
                <w:color w:val="auto"/>
              </w:rPr>
            </w:pPr>
          </w:p>
        </w:tc>
        <w:tc>
          <w:tcPr>
            <w:tcW w:w="1980" w:type="dxa"/>
            <w:vAlign w:val="bottom"/>
          </w:tcPr>
          <w:p>
            <w:pPr>
              <w:ind w:left="120"/>
              <w:spacing w:after="0"/>
              <w:rPr>
                <w:sz w:val="20"/>
                <w:szCs w:val="20"/>
                <w:color w:val="auto"/>
              </w:rPr>
            </w:pPr>
            <w:r>
              <w:rPr>
                <w:rFonts w:ascii="Arial" w:cs="Arial" w:eastAsia="Arial" w:hAnsi="Arial"/>
                <w:sz w:val="14"/>
                <w:szCs w:val="14"/>
                <w:color w:val="auto"/>
              </w:rPr>
              <w:t>working capital efficiency,</w:t>
            </w: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80" w:type="dxa"/>
            <w:vAlign w:val="bottom"/>
          </w:tcPr>
          <w:p>
            <w:pPr>
              <w:ind w:left="120"/>
              <w:spacing w:after="0"/>
              <w:rPr>
                <w:sz w:val="20"/>
                <w:szCs w:val="20"/>
                <w:color w:val="auto"/>
              </w:rPr>
            </w:pPr>
            <w:r>
              <w:rPr>
                <w:rFonts w:ascii="Arial" w:cs="Arial" w:eastAsia="Arial" w:hAnsi="Arial"/>
                <w:sz w:val="14"/>
                <w:szCs w:val="14"/>
                <w:color w:val="auto"/>
              </w:rPr>
              <w:t>and financial health.</w:t>
            </w:r>
          </w:p>
        </w:tc>
        <w:tc>
          <w:tcPr>
            <w:tcW w:w="0" w:type="dxa"/>
            <w:vAlign w:val="bottom"/>
          </w:tcPr>
          <w:p>
            <w:pPr>
              <w:spacing w:after="0"/>
              <w:rPr>
                <w:sz w:val="1"/>
                <w:szCs w:val="1"/>
                <w:color w:val="auto"/>
              </w:rPr>
            </w:pPr>
          </w:p>
        </w:tc>
      </w:tr>
      <w:tr>
        <w:trPr>
          <w:trHeight w:val="21"/>
        </w:trPr>
        <w:tc>
          <w:tcPr>
            <w:tcW w:w="1460" w:type="dxa"/>
            <w:vAlign w:val="bottom"/>
            <w:tcBorders>
              <w:bottom w:val="single" w:sz="8" w:color="582C83"/>
            </w:tcBorders>
          </w:tcPr>
          <w:p>
            <w:pPr>
              <w:spacing w:after="0" w:line="20" w:lineRule="exact"/>
              <w:rPr>
                <w:sz w:val="1"/>
                <w:szCs w:val="1"/>
                <w:color w:val="auto"/>
              </w:rPr>
            </w:pPr>
          </w:p>
        </w:tc>
        <w:tc>
          <w:tcPr>
            <w:tcW w:w="140" w:type="dxa"/>
            <w:vAlign w:val="bottom"/>
            <w:tcBorders>
              <w:bottom w:val="single" w:sz="8" w:color="582C83"/>
            </w:tcBorders>
          </w:tcPr>
          <w:p>
            <w:pPr>
              <w:spacing w:after="0" w:line="20" w:lineRule="exact"/>
              <w:rPr>
                <w:sz w:val="1"/>
                <w:szCs w:val="1"/>
                <w:color w:val="auto"/>
              </w:rPr>
            </w:pPr>
          </w:p>
        </w:tc>
        <w:tc>
          <w:tcPr>
            <w:tcW w:w="3540" w:type="dxa"/>
            <w:vAlign w:val="bottom"/>
            <w:tcBorders>
              <w:bottom w:val="single" w:sz="8" w:color="582C83"/>
            </w:tcBorders>
          </w:tcPr>
          <w:p>
            <w:pPr>
              <w:spacing w:after="0" w:line="20" w:lineRule="exact"/>
              <w:rPr>
                <w:sz w:val="1"/>
                <w:szCs w:val="1"/>
                <w:color w:val="auto"/>
              </w:rPr>
            </w:pPr>
          </w:p>
        </w:tc>
        <w:tc>
          <w:tcPr>
            <w:tcW w:w="1920" w:type="dxa"/>
            <w:vAlign w:val="bottom"/>
            <w:tcBorders>
              <w:bottom w:val="single" w:sz="8" w:color="582C83"/>
            </w:tcBorders>
          </w:tcPr>
          <w:p>
            <w:pPr>
              <w:spacing w:after="0" w:line="20" w:lineRule="exact"/>
              <w:rPr>
                <w:sz w:val="1"/>
                <w:szCs w:val="1"/>
                <w:color w:val="auto"/>
              </w:rPr>
            </w:pPr>
          </w:p>
        </w:tc>
        <w:tc>
          <w:tcPr>
            <w:tcW w:w="1980" w:type="dxa"/>
            <w:vAlign w:val="bottom"/>
            <w:tcBorders>
              <w:bottom w:val="single" w:sz="8" w:color="582C83"/>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124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2133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10375" cy="213360"/>
                    </a:xfrm>
                    <a:prstGeom prst="rect">
                      <a:avLst/>
                    </a:prstGeom>
                    <a:noFill/>
                  </pic:spPr>
                </pic:pic>
              </a:graphicData>
            </a:graphic>
          </wp:anchor>
        </w:drawing>
      </w:r>
    </w:p>
    <w:p>
      <w:pPr>
        <w:sectPr>
          <w:pgSz w:w="11900" w:h="16838" w:orient="portrait"/>
          <w:cols w:equalWidth="0" w:num="1">
            <w:col w:w="9040"/>
          </w:cols>
          <w:pgMar w:left="1420" w:top="1440" w:right="1439" w:bottom="457" w:gutter="0" w:footer="0" w:header="0"/>
        </w:sectPr>
      </w:pPr>
    </w:p>
    <w:bookmarkStart w:id="108" w:name="page109"/>
    <w:bookmarkEnd w:id="108"/>
    <w:p>
      <w:pPr>
        <w:ind w:left="402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642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10375" cy="8642985"/>
                    </a:xfrm>
                    <a:prstGeom prst="rect">
                      <a:avLst/>
                    </a:prstGeom>
                    <a:noFill/>
                  </pic:spPr>
                </pic:pic>
              </a:graphicData>
            </a:graphic>
          </wp:anchor>
        </w:drawing>
        <w:t>ANNEX A: FINANCIAL MEASURES DEFINITIONS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adjustments to our GAAP measures are defined as follows:</w:t>
      </w:r>
    </w:p>
    <w:p>
      <w:pPr>
        <w:spacing w:after="0" w:line="129" w:lineRule="exact"/>
        <w:rPr>
          <w:sz w:val="20"/>
          <w:szCs w:val="20"/>
          <w:color w:val="auto"/>
        </w:rPr>
      </w:pPr>
    </w:p>
    <w:p>
      <w:pPr>
        <w:ind w:right="159"/>
        <w:spacing w:after="0" w:line="279" w:lineRule="auto"/>
        <w:rPr>
          <w:sz w:val="20"/>
          <w:szCs w:val="20"/>
          <w:color w:val="auto"/>
        </w:rPr>
      </w:pPr>
      <w:r>
        <w:rPr>
          <w:rFonts w:ascii="Arial" w:cs="Arial" w:eastAsia="Arial" w:hAnsi="Arial"/>
          <w:sz w:val="17"/>
          <w:szCs w:val="17"/>
          <w:b w:val="1"/>
          <w:bCs w:val="1"/>
          <w:color w:val="auto"/>
        </w:rPr>
        <w:t xml:space="preserve">Restructuring charges </w:t>
      </w:r>
      <w:r>
        <w:rPr>
          <w:rFonts w:ascii="Arial" w:cs="Arial" w:eastAsia="Arial" w:hAnsi="Arial"/>
          <w:sz w:val="17"/>
          <w:szCs w:val="17"/>
          <w:color w:val="auto"/>
        </w:rPr>
        <w:t>– Includes restructuring charges incurred under the Simplify to Grow Program as well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 subsequent restructuring actions starting in the fourth quarter of 2025. The Simplify to Grow program comprised charges such as severance, asset write-downs and other costs of implementing that program, partially offset by gains on sales of assets disposed of in connection with the program. We completed the Simplify to Grow Program in the fourth quarter of 2024. Following the completion of the program, any adjustments to the liabilities for previously recorded charges continue to be reflected within this item. Beginning in the fourth quarter of 2025, we started implementing new restructuring actions to reduce our cost structure and streamline our operations. The charges associated with these actions primarily relate to severance and other implementation costs.</w:t>
      </w:r>
    </w:p>
    <w:p>
      <w:pPr>
        <w:spacing w:after="0" w:line="72" w:lineRule="exact"/>
        <w:rPr>
          <w:sz w:val="20"/>
          <w:szCs w:val="20"/>
          <w:color w:val="auto"/>
        </w:rPr>
      </w:pPr>
    </w:p>
    <w:p>
      <w:pPr>
        <w:ind w:right="39"/>
        <w:spacing w:after="0" w:line="317" w:lineRule="auto"/>
        <w:rPr>
          <w:sz w:val="20"/>
          <w:szCs w:val="20"/>
          <w:color w:val="auto"/>
        </w:rPr>
      </w:pPr>
      <w:r>
        <w:rPr>
          <w:rFonts w:ascii="Arial" w:cs="Arial" w:eastAsia="Arial" w:hAnsi="Arial"/>
          <w:sz w:val="17"/>
          <w:szCs w:val="17"/>
          <w:b w:val="1"/>
          <w:bCs w:val="1"/>
          <w:color w:val="auto"/>
        </w:rPr>
        <w:t xml:space="preserve">Intangible asset impairment charges </w:t>
      </w:r>
      <w:r>
        <w:rPr>
          <w:rFonts w:ascii="Arial" w:cs="Arial" w:eastAsia="Arial" w:hAnsi="Arial"/>
          <w:sz w:val="17"/>
          <w:szCs w:val="17"/>
          <w:color w:val="auto"/>
        </w:rPr>
        <w:t>– Reflects non-cash impairments of certain of our brands in connection with our</w:t>
      </w:r>
      <w:r>
        <w:rPr>
          <w:rFonts w:ascii="Arial" w:cs="Arial" w:eastAsia="Arial" w:hAnsi="Arial"/>
          <w:sz w:val="17"/>
          <w:szCs w:val="17"/>
          <w:b w:val="1"/>
          <w:bCs w:val="1"/>
          <w:color w:val="auto"/>
        </w:rPr>
        <w:t xml:space="preserve"> </w:t>
      </w:r>
      <w:r>
        <w:rPr>
          <w:rFonts w:ascii="Arial" w:cs="Arial" w:eastAsia="Arial" w:hAnsi="Arial"/>
          <w:sz w:val="17"/>
          <w:szCs w:val="17"/>
          <w:color w:val="auto"/>
        </w:rPr>
        <w:t>indefinite-life intangible asset impairment testing.</w:t>
      </w:r>
    </w:p>
    <w:p>
      <w:pPr>
        <w:spacing w:after="0" w:line="37" w:lineRule="exact"/>
        <w:rPr>
          <w:sz w:val="20"/>
          <w:szCs w:val="20"/>
          <w:color w:val="auto"/>
        </w:rPr>
      </w:pPr>
    </w:p>
    <w:p>
      <w:pPr>
        <w:ind w:right="59"/>
        <w:spacing w:after="0" w:line="279" w:lineRule="auto"/>
        <w:rPr>
          <w:sz w:val="20"/>
          <w:szCs w:val="20"/>
          <w:color w:val="auto"/>
        </w:rPr>
      </w:pPr>
      <w:r>
        <w:rPr>
          <w:rFonts w:ascii="Arial" w:cs="Arial" w:eastAsia="Arial" w:hAnsi="Arial"/>
          <w:sz w:val="17"/>
          <w:szCs w:val="17"/>
          <w:b w:val="1"/>
          <w:bCs w:val="1"/>
          <w:color w:val="auto"/>
        </w:rPr>
        <w:t xml:space="preserve">Mark-to-market impacts from derivatives </w:t>
      </w:r>
      <w:r>
        <w:rPr>
          <w:rFonts w:ascii="Arial" w:cs="Arial" w:eastAsia="Arial" w:hAnsi="Arial"/>
          <w:sz w:val="17"/>
          <w:szCs w:val="17"/>
          <w:color w:val="auto"/>
        </w:rPr>
        <w:t>– We exclude unrealized gains and losses (mark-to-market impacts)</w:t>
      </w:r>
      <w:r>
        <w:rPr>
          <w:rFonts w:ascii="Arial" w:cs="Arial" w:eastAsia="Arial" w:hAnsi="Arial"/>
          <w:sz w:val="17"/>
          <w:szCs w:val="17"/>
          <w:b w:val="1"/>
          <w:bCs w:val="1"/>
          <w:color w:val="auto"/>
        </w:rPr>
        <w:t xml:space="preserve"> </w:t>
      </w:r>
      <w:r>
        <w:rPr>
          <w:rFonts w:ascii="Arial" w:cs="Arial" w:eastAsia="Arial" w:hAnsi="Arial"/>
          <w:sz w:val="17"/>
          <w:szCs w:val="17"/>
          <w:color w:val="auto"/>
        </w:rPr>
        <w:t>from commodity and foreign currency derivative contracts economically hedging forecasted transactions from our non-GAAP earnings measures. The mark-to-market impacts of those derivatives are excluded until the related gains or losses are realized. Since we purchase commodity and foreign currency derivative contracts to mitigate price volatility primarily for inventory requirements in future periods, we make this adjustment to remove the volatility of these future inventory purchases on current operating results to facilitate comparisons of our underlying operating performance across periods.</w:t>
      </w:r>
    </w:p>
    <w:p>
      <w:pPr>
        <w:spacing w:after="0" w:line="70" w:lineRule="exact"/>
        <w:rPr>
          <w:sz w:val="20"/>
          <w:szCs w:val="20"/>
          <w:color w:val="auto"/>
        </w:rPr>
      </w:pPr>
    </w:p>
    <w:p>
      <w:pPr>
        <w:ind w:right="19"/>
        <w:spacing w:after="0" w:line="279" w:lineRule="auto"/>
        <w:rPr>
          <w:sz w:val="20"/>
          <w:szCs w:val="20"/>
          <w:color w:val="auto"/>
        </w:rPr>
      </w:pPr>
      <w:r>
        <w:rPr>
          <w:rFonts w:ascii="Arial" w:cs="Arial" w:eastAsia="Arial" w:hAnsi="Arial"/>
          <w:sz w:val="17"/>
          <w:szCs w:val="17"/>
          <w:b w:val="1"/>
          <w:bCs w:val="1"/>
          <w:color w:val="auto"/>
        </w:rPr>
        <w:t xml:space="preserve">Acquisition-related items </w:t>
      </w:r>
      <w:r>
        <w:rPr>
          <w:rFonts w:ascii="Arial" w:cs="Arial" w:eastAsia="Arial" w:hAnsi="Arial"/>
          <w:sz w:val="17"/>
          <w:szCs w:val="17"/>
          <w:color w:val="auto"/>
        </w:rPr>
        <w:t>– Includes acquisition-related costs, acquisition integration costs, contingent 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adjustments, inventory step-ups and gains from acquisitions. Acquisition-related costs include third-party advisor, investment, banking and legal fees. Acquisition integration costs include costs related to the integration of operations from acquisitions. Contingent consideration adjustments include any changes made to contingent compensation liabilities for earn-outs related to acquisitions that do not relate to recurring employee compensation expense. Other acquisition-related items include incremental costs from inventory step-ups associated with acquired companies related to the fair market valuation of the acquired inventory and acquisition gains from the remeasurement of an existing noncontrolling investment to fair value when the company acquires a controlling interest in the investee.</w:t>
      </w:r>
    </w:p>
    <w:p>
      <w:pPr>
        <w:spacing w:after="0" w:line="72" w:lineRule="exact"/>
        <w:rPr>
          <w:sz w:val="20"/>
          <w:szCs w:val="20"/>
          <w:color w:val="auto"/>
        </w:rPr>
      </w:pPr>
    </w:p>
    <w:p>
      <w:pPr>
        <w:ind w:right="39"/>
        <w:spacing w:after="0" w:line="279" w:lineRule="auto"/>
        <w:rPr>
          <w:sz w:val="20"/>
          <w:szCs w:val="20"/>
          <w:color w:val="auto"/>
        </w:rPr>
      </w:pPr>
      <w:r>
        <w:rPr>
          <w:rFonts w:ascii="Arial" w:cs="Arial" w:eastAsia="Arial" w:hAnsi="Arial"/>
          <w:sz w:val="17"/>
          <w:szCs w:val="17"/>
          <w:b w:val="1"/>
          <w:bCs w:val="1"/>
          <w:color w:val="auto"/>
        </w:rPr>
        <w:t xml:space="preserve">Divestiture-related items </w:t>
      </w:r>
      <w:r>
        <w:rPr>
          <w:rFonts w:ascii="Arial" w:cs="Arial" w:eastAsia="Arial" w:hAnsi="Arial"/>
          <w:sz w:val="17"/>
          <w:szCs w:val="17"/>
          <w:color w:val="auto"/>
        </w:rPr>
        <w:t>– Includes operating results from divestitures, divestiture-related costs and gains/(losses) on</w:t>
      </w:r>
      <w:r>
        <w:rPr>
          <w:rFonts w:ascii="Arial" w:cs="Arial" w:eastAsia="Arial" w:hAnsi="Arial"/>
          <w:sz w:val="17"/>
          <w:szCs w:val="17"/>
          <w:b w:val="1"/>
          <w:bCs w:val="1"/>
          <w:color w:val="auto"/>
        </w:rPr>
        <w:t xml:space="preserve"> </w:t>
      </w:r>
      <w:r>
        <w:rPr>
          <w:rFonts w:ascii="Arial" w:cs="Arial" w:eastAsia="Arial" w:hAnsi="Arial"/>
          <w:sz w:val="17"/>
          <w:szCs w:val="17"/>
          <w:color w:val="auto"/>
        </w:rPr>
        <w:t>divestitures. Divestitures may include sales of businesses, exits of major product lines upon completion of a sale or licensing agreement or sales of equity method investments. Divestiture-related costs include costs incurred in relation to the preparation and completion of divestiture transactions (including one-time costs such as severance related to the elimination of stranded costs) as well as costs incurred associated with publicly announced processes to sell businesses. For 2024 and 2023, operating results from divestitures also include the operating results from the company’s JDE Peet’s equity method investment earnings, which was sold in the fourth quarter of 2024.</w:t>
      </w:r>
    </w:p>
    <w:p>
      <w:pPr>
        <w:spacing w:after="0" w:line="70" w:lineRule="exact"/>
        <w:rPr>
          <w:sz w:val="20"/>
          <w:szCs w:val="20"/>
          <w:color w:val="auto"/>
        </w:rPr>
      </w:pPr>
    </w:p>
    <w:p>
      <w:pPr>
        <w:ind w:right="119"/>
        <w:spacing w:after="0" w:line="288" w:lineRule="auto"/>
        <w:rPr>
          <w:sz w:val="20"/>
          <w:szCs w:val="20"/>
          <w:color w:val="auto"/>
        </w:rPr>
      </w:pPr>
      <w:r>
        <w:rPr>
          <w:rFonts w:ascii="Arial" w:cs="Arial" w:eastAsia="Arial" w:hAnsi="Arial"/>
          <w:sz w:val="17"/>
          <w:szCs w:val="17"/>
          <w:b w:val="1"/>
          <w:bCs w:val="1"/>
          <w:color w:val="auto"/>
        </w:rPr>
        <w:t xml:space="preserve">Operating results from short-term distributor agreements </w:t>
      </w:r>
      <w:r>
        <w:rPr>
          <w:rFonts w:ascii="Arial" w:cs="Arial" w:eastAsia="Arial" w:hAnsi="Arial"/>
          <w:sz w:val="17"/>
          <w:szCs w:val="17"/>
          <w:color w:val="auto"/>
        </w:rPr>
        <w:t>– Reflects the operating results from short-term</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distributor agreements that have been executed in conjunction with the sale of a business. Our agreement with the buyer of the developed market gum business to distribute gum products in certain European markets ended in the first quarter of 2024.</w:t>
      </w:r>
    </w:p>
    <w:p>
      <w:pPr>
        <w:spacing w:after="0" w:line="61" w:lineRule="exact"/>
        <w:rPr>
          <w:sz w:val="20"/>
          <w:szCs w:val="20"/>
          <w:color w:val="auto"/>
        </w:rPr>
      </w:pPr>
    </w:p>
    <w:p>
      <w:pPr>
        <w:ind w:right="99"/>
        <w:spacing w:after="0" w:line="282" w:lineRule="auto"/>
        <w:rPr>
          <w:sz w:val="20"/>
          <w:szCs w:val="20"/>
          <w:color w:val="auto"/>
        </w:rPr>
      </w:pPr>
      <w:r>
        <w:rPr>
          <w:rFonts w:ascii="Arial" w:cs="Arial" w:eastAsia="Arial" w:hAnsi="Arial"/>
          <w:sz w:val="17"/>
          <w:szCs w:val="17"/>
          <w:b w:val="1"/>
          <w:bCs w:val="1"/>
          <w:color w:val="auto"/>
        </w:rPr>
        <w:t xml:space="preserve">Incremental costs due to war in Ukraine </w:t>
      </w:r>
      <w:r>
        <w:rPr>
          <w:rFonts w:ascii="Arial" w:cs="Arial" w:eastAsia="Arial" w:hAnsi="Arial"/>
          <w:sz w:val="17"/>
          <w:szCs w:val="17"/>
          <w:color w:val="auto"/>
        </w:rPr>
        <w:t>– In February 2022, Russia began a military invasion of Ukraine and we</w:t>
      </w:r>
      <w:r>
        <w:rPr>
          <w:rFonts w:ascii="Arial" w:cs="Arial" w:eastAsia="Arial" w:hAnsi="Arial"/>
          <w:sz w:val="17"/>
          <w:szCs w:val="17"/>
          <w:b w:val="1"/>
          <w:bCs w:val="1"/>
          <w:color w:val="auto"/>
        </w:rPr>
        <w:t xml:space="preserve"> </w:t>
      </w:r>
      <w:r>
        <w:rPr>
          <w:rFonts w:ascii="Arial" w:cs="Arial" w:eastAsia="Arial" w:hAnsi="Arial"/>
          <w:sz w:val="17"/>
          <w:szCs w:val="17"/>
          <w:color w:val="auto"/>
        </w:rPr>
        <w:t>temporarily stopped our production and closed our manufacturing facilities in Trostyanets and Vyshhorod due to damage incurred during the conflict. In the second quarter of 2024, we fully resumed production at both facilities after completing targeted repairs. Incremental costs incurred by the company related to the ongoing war in Ukraine relate to asset write-downs, net of recoveries as well as other costs, including committed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582C83"/>
        </w:rPr>
        <w:t>2026 PROXY STATEMENT |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17907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10375" cy="1790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ANNEX A: FINANCIAL MEASURES DEFINITIONS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79"/>
        <w:spacing w:after="0" w:line="282" w:lineRule="auto"/>
        <w:rPr>
          <w:sz w:val="20"/>
          <w:szCs w:val="20"/>
          <w:color w:val="auto"/>
        </w:rPr>
      </w:pPr>
      <w:r>
        <w:rPr>
          <w:rFonts w:ascii="Arial" w:cs="Arial" w:eastAsia="Arial" w:hAnsi="Arial"/>
          <w:sz w:val="17"/>
          <w:szCs w:val="17"/>
          <w:b w:val="1"/>
          <w:bCs w:val="1"/>
          <w:color w:val="auto"/>
        </w:rPr>
        <w:t xml:space="preserve">European Commission legal matter – </w:t>
      </w:r>
      <w:r>
        <w:rPr>
          <w:rFonts w:ascii="Arial" w:cs="Arial" w:eastAsia="Arial" w:hAnsi="Arial"/>
          <w:sz w:val="17"/>
          <w:szCs w:val="17"/>
          <w:color w:val="auto"/>
        </w:rPr>
        <w:t>In November 2019, the European Commission informed us that it initiated an</w:t>
      </w:r>
      <w:r>
        <w:rPr>
          <w:rFonts w:ascii="Arial" w:cs="Arial" w:eastAsia="Arial" w:hAnsi="Arial"/>
          <w:sz w:val="17"/>
          <w:szCs w:val="17"/>
          <w:b w:val="1"/>
          <w:bCs w:val="1"/>
          <w:color w:val="auto"/>
        </w:rPr>
        <w:t xml:space="preserve"> </w:t>
      </w:r>
      <w:r>
        <w:rPr>
          <w:rFonts w:ascii="Arial" w:cs="Arial" w:eastAsia="Arial" w:hAnsi="Arial"/>
          <w:sz w:val="17"/>
          <w:szCs w:val="17"/>
          <w:color w:val="auto"/>
        </w:rPr>
        <w:t>investigation into our alleged infringement of European Union competition law through certain practices allegedly restricting cross-border trade within the European Economic Area. We reached a negotiated resolution to this matter in the second quarter of 2024. We adjusted our accrual accordingly and fulfilled our payment obligation in August 2024. Due to the unique nature of this matter, we believe it to be infrequent and unusual and therefore exclude it from our</w:t>
      </w:r>
    </w:p>
    <w:p>
      <w:pPr>
        <w:sectPr>
          <w:pgSz w:w="11900" w:h="16838" w:orient="portrait"/>
          <w:cols w:equalWidth="0" w:num="1">
            <w:col w:w="9039"/>
          </w:cols>
          <w:pgMar w:left="1420" w:top="502" w:right="1440" w:bottom="0" w:gutter="0" w:footer="0" w:header="0"/>
        </w:sectPr>
      </w:pPr>
    </w:p>
    <w:bookmarkStart w:id="109" w:name="page110"/>
    <w:bookmarkEnd w:id="109"/>
    <w:p>
      <w:pPr>
        <w:spacing w:after="0" w:line="99" w:lineRule="exact"/>
        <w:rPr>
          <w:sz w:val="20"/>
          <w:szCs w:val="20"/>
          <w:color w:val="auto"/>
        </w:rPr>
      </w:pPr>
    </w:p>
    <w:p>
      <w:pPr>
        <w:ind w:right="19"/>
        <w:spacing w:after="0" w:line="280" w:lineRule="auto"/>
        <w:rPr>
          <w:sz w:val="20"/>
          <w:szCs w:val="20"/>
          <w:color w:val="auto"/>
        </w:rPr>
      </w:pPr>
      <w:r>
        <w:rPr>
          <w:rFonts w:ascii="Arial" w:cs="Arial" w:eastAsia="Arial" w:hAnsi="Arial"/>
          <w:sz w:val="17"/>
          <w:szCs w:val="17"/>
          <w:color w:val="auto"/>
        </w:rPr>
        <w:t xml:space="preserve">non-GAAP earnings measures to better facilitate comparisons of our underlying operating performance across periods. </w:t>
      </w:r>
      <w:r>
        <w:rPr>
          <w:rFonts w:ascii="Arial" w:cs="Arial" w:eastAsia="Arial" w:hAnsi="Arial"/>
          <w:sz w:val="17"/>
          <w:szCs w:val="17"/>
          <w:b w:val="1"/>
          <w:bCs w:val="1"/>
          <w:color w:val="auto"/>
        </w:rPr>
        <w:t xml:space="preserve">ERP System Implementation costs </w:t>
      </w:r>
      <w:r>
        <w:rPr>
          <w:rFonts w:ascii="Arial" w:cs="Arial" w:eastAsia="Arial" w:hAnsi="Arial"/>
          <w:sz w:val="17"/>
          <w:szCs w:val="17"/>
          <w:color w:val="auto"/>
        </w:rPr>
        <w:t>– In July 2024, our Board of Directors approved funding of $1.2 billion for a multi-year systems transformation program to upgrade our global ERP and supply chain systems, which is comprised of both capital expenditures and operating expenses, of which a majority is expected to be operating expenses. The ERP System Implementation program will be implemented by region in several phases with spending continuing over the next three years, with expected completion by year-end 2028. The operating expenses associated with the ERP System Implementation represent incremental transformational costs above the normal ongoing level of spending on information technology to support operations. These expenses include third-party consulting fees, direct labor costs associated with the program, accelerated depreciation of our existing SAP financial systems and various other expenses, all associated with the implementation of our information technology upgrades.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-1424940</wp:posOffset>
            </wp:positionV>
            <wp:extent cx="6810375" cy="70656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10375" cy="7065645"/>
                    </a:xfrm>
                    <a:prstGeom prst="rect">
                      <a:avLst/>
                    </a:prstGeom>
                    <a:noFill/>
                  </pic:spPr>
                </pic:pic>
              </a:graphicData>
            </a:graphic>
          </wp:anchor>
        </w:drawing>
      </w:r>
    </w:p>
    <w:p>
      <w:pPr>
        <w:spacing w:after="0" w:line="49" w:lineRule="exact"/>
        <w:rPr>
          <w:sz w:val="20"/>
          <w:szCs w:val="20"/>
          <w:color w:val="auto"/>
        </w:rPr>
      </w:pPr>
    </w:p>
    <w:p>
      <w:pPr>
        <w:ind w:right="19"/>
        <w:spacing w:after="0" w:line="279" w:lineRule="auto"/>
        <w:rPr>
          <w:sz w:val="20"/>
          <w:szCs w:val="20"/>
          <w:color w:val="auto"/>
        </w:rPr>
      </w:pPr>
      <w:r>
        <w:rPr>
          <w:rFonts w:ascii="Arial" w:cs="Arial" w:eastAsia="Arial" w:hAnsi="Arial"/>
          <w:sz w:val="17"/>
          <w:szCs w:val="17"/>
          <w:b w:val="1"/>
          <w:bCs w:val="1"/>
          <w:color w:val="auto"/>
        </w:rPr>
        <w:t xml:space="preserve">Remeasurement of net monetary position of highly inflationary countries </w:t>
      </w:r>
      <w:r>
        <w:rPr>
          <w:rFonts w:ascii="Arial" w:cs="Arial" w:eastAsia="Arial" w:hAnsi="Arial"/>
          <w:sz w:val="17"/>
          <w:szCs w:val="17"/>
          <w:color w:val="auto"/>
        </w:rPr>
        <w:t>– Our operations in Argentina, Türkiye,</w:t>
      </w:r>
      <w:r>
        <w:rPr>
          <w:rFonts w:ascii="Arial" w:cs="Arial" w:eastAsia="Arial" w:hAnsi="Arial"/>
          <w:sz w:val="17"/>
          <w:szCs w:val="17"/>
          <w:b w:val="1"/>
          <w:bCs w:val="1"/>
          <w:color w:val="auto"/>
        </w:rPr>
        <w:t xml:space="preserve"> </w:t>
      </w:r>
      <w:r>
        <w:rPr>
          <w:rFonts w:ascii="Arial" w:cs="Arial" w:eastAsia="Arial" w:hAnsi="Arial"/>
          <w:sz w:val="17"/>
          <w:szCs w:val="17"/>
          <w:color w:val="auto"/>
        </w:rPr>
        <w:t>Egypt and Nigeria are currently accounted for as highly inflationary. We exclude remeasurement gains and losses of the monetary assets and liabilities of our subsidiaries in highly inflationary economies and the realized gains and losses from derivatives that mitigate the foreign currency volatility related to the remeasurement of the respective monetary assets or liabilities from our non-GAAP earnings measures to facilitate comparisons of our underlying operating performance across periods.</w:t>
      </w:r>
    </w:p>
    <w:p>
      <w:pPr>
        <w:spacing w:after="0" w:line="81" w:lineRule="exact"/>
        <w:rPr>
          <w:sz w:val="20"/>
          <w:szCs w:val="20"/>
          <w:color w:val="auto"/>
        </w:rPr>
      </w:pPr>
    </w:p>
    <w:p>
      <w:pPr>
        <w:ind w:right="19"/>
        <w:spacing w:after="0" w:line="282" w:lineRule="auto"/>
        <w:rPr>
          <w:sz w:val="20"/>
          <w:szCs w:val="20"/>
          <w:color w:val="auto"/>
        </w:rPr>
      </w:pPr>
      <w:r>
        <w:rPr>
          <w:rFonts w:ascii="Arial" w:cs="Arial" w:eastAsia="Arial" w:hAnsi="Arial"/>
          <w:sz w:val="17"/>
          <w:szCs w:val="17"/>
          <w:b w:val="1"/>
          <w:bCs w:val="1"/>
          <w:color w:val="auto"/>
        </w:rPr>
        <w:t xml:space="preserve">Pension participation changes </w:t>
      </w:r>
      <w:r>
        <w:rPr>
          <w:rFonts w:ascii="Arial" w:cs="Arial" w:eastAsia="Arial" w:hAnsi="Arial"/>
          <w:sz w:val="17"/>
          <w:szCs w:val="17"/>
          <w:color w:val="auto"/>
        </w:rPr>
        <w:t>– Consists of the charges incurred, primarily gains or losses from pension</w:t>
      </w:r>
      <w:r>
        <w:rPr>
          <w:rFonts w:ascii="Arial" w:cs="Arial" w:eastAsia="Arial" w:hAnsi="Arial"/>
          <w:sz w:val="17"/>
          <w:szCs w:val="17"/>
          <w:b w:val="1"/>
          <w:bCs w:val="1"/>
          <w:color w:val="auto"/>
        </w:rPr>
        <w:t xml:space="preserve"> </w:t>
      </w:r>
      <w:r>
        <w:rPr>
          <w:rFonts w:ascii="Arial" w:cs="Arial" w:eastAsia="Arial" w:hAnsi="Arial"/>
          <w:sz w:val="17"/>
          <w:szCs w:val="17"/>
          <w:color w:val="auto"/>
        </w:rPr>
        <w:t>curtailments and settlements, including settlement losses from the full or partial buy-out of our pension plans, as well as costs incurred when employee groups are withdrawn from multiemployer pension plans. We exclude these charges from our non-GAAP results because those amounts do not reflect our ongoing pension obligations.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Resolution of tax matters </w:t>
      </w:r>
      <w:r>
        <w:rPr>
          <w:rFonts w:ascii="Arial" w:cs="Arial" w:eastAsia="Arial" w:hAnsi="Arial"/>
          <w:sz w:val="17"/>
          <w:szCs w:val="17"/>
          <w:color w:val="auto"/>
        </w:rPr>
        <w:t>– Consists of the reversals and settlements of unusual and significant indirect tax matters.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Due to the unique nature of these resolutions, we believe it to be infrequent and therefore exclude it from our non-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GAAP earnings measures to better facilitate comparisons of our underlying operating performance across periods.</w:t>
      </w:r>
    </w:p>
    <w:p>
      <w:pPr>
        <w:spacing w:after="0" w:line="129" w:lineRule="exact"/>
        <w:rPr>
          <w:sz w:val="20"/>
          <w:szCs w:val="20"/>
          <w:color w:val="auto"/>
        </w:rPr>
      </w:pPr>
    </w:p>
    <w:p>
      <w:pPr>
        <w:ind w:right="199"/>
        <w:spacing w:after="0" w:line="282" w:lineRule="auto"/>
        <w:rPr>
          <w:sz w:val="20"/>
          <w:szCs w:val="20"/>
          <w:color w:val="auto"/>
        </w:rPr>
      </w:pPr>
      <w:r>
        <w:rPr>
          <w:rFonts w:ascii="Arial" w:cs="Arial" w:eastAsia="Arial" w:hAnsi="Arial"/>
          <w:sz w:val="17"/>
          <w:szCs w:val="17"/>
          <w:b w:val="1"/>
          <w:bCs w:val="1"/>
          <w:color w:val="auto"/>
        </w:rPr>
        <w:t xml:space="preserve">Initial impacts from enacted tax law changes </w:t>
      </w:r>
      <w:r>
        <w:rPr>
          <w:rFonts w:ascii="Arial" w:cs="Arial" w:eastAsia="Arial" w:hAnsi="Arial"/>
          <w:sz w:val="17"/>
          <w:szCs w:val="17"/>
          <w:color w:val="auto"/>
        </w:rPr>
        <w:t>– Initial impacts from enacted tax law changes include items such as</w:t>
      </w:r>
      <w:r>
        <w:rPr>
          <w:rFonts w:ascii="Arial" w:cs="Arial" w:eastAsia="Arial" w:hAnsi="Arial"/>
          <w:sz w:val="17"/>
          <w:szCs w:val="17"/>
          <w:b w:val="1"/>
          <w:bCs w:val="1"/>
          <w:color w:val="auto"/>
        </w:rPr>
        <w:t xml:space="preserve"> </w:t>
      </w:r>
      <w:r>
        <w:rPr>
          <w:rFonts w:ascii="Arial" w:cs="Arial" w:eastAsia="Arial" w:hAnsi="Arial"/>
          <w:sz w:val="17"/>
          <w:szCs w:val="17"/>
          <w:color w:val="auto"/>
        </w:rPr>
        <w:t>the remeasurement of deferred tax balances and transition taxes from tax reforms. We exclude initial impacts from enacted tax law changes from our non-GAAP financial measures as they do not reflect our ongoing tax obligations under the enacted tax law.</w:t>
      </w:r>
    </w:p>
    <w:p>
      <w:pPr>
        <w:spacing w:after="0" w:line="80" w:lineRule="exact"/>
        <w:rPr>
          <w:sz w:val="20"/>
          <w:szCs w:val="20"/>
          <w:color w:val="auto"/>
        </w:rPr>
      </w:pPr>
    </w:p>
    <w:p>
      <w:pPr>
        <w:ind w:right="159"/>
        <w:spacing w:after="0" w:line="291" w:lineRule="auto"/>
        <w:rPr>
          <w:sz w:val="20"/>
          <w:szCs w:val="20"/>
          <w:color w:val="auto"/>
        </w:rPr>
      </w:pPr>
      <w:r>
        <w:rPr>
          <w:rFonts w:ascii="Arial" w:cs="Arial" w:eastAsia="Arial" w:hAnsi="Arial"/>
          <w:sz w:val="17"/>
          <w:szCs w:val="17"/>
          <w:b w:val="1"/>
          <w:bCs w:val="1"/>
          <w:color w:val="auto"/>
        </w:rPr>
        <w:t xml:space="preserve">Gains and losses on marketable securities </w:t>
      </w:r>
      <w:r>
        <w:rPr>
          <w:rFonts w:ascii="Arial" w:cs="Arial" w:eastAsia="Arial" w:hAnsi="Arial"/>
          <w:sz w:val="17"/>
          <w:szCs w:val="17"/>
          <w:color w:val="auto"/>
        </w:rPr>
        <w:t>– We exclude gains and losses associated with the sale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marketable securities. These marketable securities gains or losses are not indicative of underlying operations and are excluded to better facilitate comparisons of our underlying operating performance across periods.</w:t>
      </w:r>
    </w:p>
    <w:p>
      <w:pPr>
        <w:spacing w:after="0" w:line="58" w:lineRule="exact"/>
        <w:rPr>
          <w:sz w:val="20"/>
          <w:szCs w:val="20"/>
          <w:color w:val="auto"/>
        </w:rPr>
      </w:pPr>
    </w:p>
    <w:p>
      <w:pPr>
        <w:ind w:right="379"/>
        <w:spacing w:after="0" w:line="288" w:lineRule="auto"/>
        <w:rPr>
          <w:sz w:val="20"/>
          <w:szCs w:val="20"/>
          <w:color w:val="auto"/>
        </w:rPr>
      </w:pPr>
      <w:r>
        <w:rPr>
          <w:rFonts w:ascii="Arial" w:cs="Arial" w:eastAsia="Arial" w:hAnsi="Arial"/>
          <w:sz w:val="17"/>
          <w:szCs w:val="17"/>
          <w:b w:val="1"/>
          <w:bCs w:val="1"/>
          <w:color w:val="auto"/>
        </w:rPr>
        <w:t xml:space="preserve">Gains and losses on equity method investment transactions </w:t>
      </w:r>
      <w:r>
        <w:rPr>
          <w:rFonts w:ascii="Arial" w:cs="Arial" w:eastAsia="Arial" w:hAnsi="Arial"/>
          <w:sz w:val="17"/>
          <w:szCs w:val="17"/>
          <w:color w:val="auto"/>
        </w:rPr>
        <w:t>– We exclude gains and losses from partial or full</w:t>
      </w:r>
      <w:r>
        <w:rPr>
          <w:rFonts w:ascii="Arial" w:cs="Arial" w:eastAsia="Arial" w:hAnsi="Arial"/>
          <w:sz w:val="17"/>
          <w:szCs w:val="17"/>
          <w:b w:val="1"/>
          <w:bCs w:val="1"/>
          <w:color w:val="auto"/>
        </w:rPr>
        <w:t xml:space="preserve"> </w:t>
      </w:r>
      <w:r>
        <w:rPr>
          <w:rFonts w:ascii="Arial" w:cs="Arial" w:eastAsia="Arial" w:hAnsi="Arial"/>
          <w:sz w:val="17"/>
          <w:szCs w:val="17"/>
          <w:color w:val="auto"/>
        </w:rPr>
        <w:t>sales of equity method investments, as well as impairments or other non-routine transactions related to those investments. In addition, we also exclude from our non-GAAP financial measures any gains or losses realized on economic hedges of sales proceeds from our equity method investment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126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33680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10375" cy="3368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20"/>
        <w:spacing w:after="0"/>
        <w:rPr>
          <w:sz w:val="20"/>
          <w:szCs w:val="20"/>
          <w:color w:val="auto"/>
        </w:rPr>
      </w:pPr>
      <w:r>
        <w:rPr>
          <w:rFonts w:ascii="Arial" w:cs="Arial" w:eastAsia="Arial" w:hAnsi="Arial"/>
          <w:sz w:val="21"/>
          <w:szCs w:val="21"/>
          <w:b w:val="1"/>
          <w:bCs w:val="1"/>
          <w:color w:val="auto"/>
        </w:rPr>
        <w:t>ANNEX A: FINANCIAL MEASURES DEFINITIONS</w:t>
      </w:r>
    </w:p>
    <w:p>
      <w:pPr>
        <w:spacing w:after="0" w:line="45" w:lineRule="exact"/>
        <w:rPr>
          <w:sz w:val="20"/>
          <w:szCs w:val="20"/>
          <w:color w:val="auto"/>
        </w:rPr>
      </w:pPr>
    </w:p>
    <w:p>
      <w:pPr>
        <w:ind w:left="6700"/>
        <w:spacing w:after="0" w:line="161" w:lineRule="exact"/>
        <w:rPr>
          <w:sz w:val="20"/>
          <w:szCs w:val="20"/>
          <w:color w:val="auto"/>
        </w:rPr>
      </w:pPr>
      <w:r>
        <w:rPr>
          <w:rFonts w:ascii="Arial" w:cs="Arial" w:eastAsia="Arial" w:hAnsi="Arial"/>
          <w:sz w:val="14"/>
          <w:szCs w:val="14"/>
          <w:color w:val="auto"/>
        </w:rPr>
        <w:t>GAAP to Non</w:t>
      </w:r>
      <w:r>
        <w:rPr>
          <w:rFonts w:ascii="MS PGothic" w:cs="MS PGothic" w:eastAsia="MS PGothic" w:hAnsi="MS PGothic"/>
          <w:sz w:val="14"/>
          <w:szCs w:val="14"/>
          <w:color w:val="auto"/>
        </w:rPr>
        <w:t>‑</w:t>
      </w:r>
      <w:r>
        <w:rPr>
          <w:rFonts w:ascii="Arial" w:cs="Arial" w:eastAsia="Arial" w:hAnsi="Arial"/>
          <w:sz w:val="14"/>
          <w:szCs w:val="14"/>
          <w:color w:val="auto"/>
        </w:rPr>
        <w:t>GAAP Reconciliations</w:t>
      </w:r>
    </w:p>
    <w:p>
      <w:pPr>
        <w:spacing w:after="0" w:line="200" w:lineRule="exact"/>
        <w:rPr>
          <w:sz w:val="20"/>
          <w:szCs w:val="20"/>
          <w:color w:val="auto"/>
        </w:rPr>
      </w:pPr>
    </w:p>
    <w:p>
      <w:pPr>
        <w:spacing w:after="0" w:line="229" w:lineRule="exact"/>
        <w:rPr>
          <w:sz w:val="20"/>
          <w:szCs w:val="20"/>
          <w:color w:val="auto"/>
        </w:rPr>
      </w:pPr>
    </w:p>
    <w:p>
      <w:pPr>
        <w:ind w:left="60"/>
        <w:spacing w:after="0" w:line="334" w:lineRule="exact"/>
        <w:rPr>
          <w:sz w:val="20"/>
          <w:szCs w:val="20"/>
          <w:color w:val="auto"/>
        </w:rPr>
      </w:pPr>
      <w:r>
        <w:rPr>
          <w:sz w:val="1"/>
          <w:szCs w:val="1"/>
          <w:color w:val="auto"/>
        </w:rPr>
        <w:drawing>
          <wp:inline distT="0" distB="0" distL="0" distR="0">
            <wp:extent cx="162560" cy="16319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29"/>
          <w:szCs w:val="29"/>
          <w:b w:val="1"/>
          <w:bCs w:val="1"/>
          <w:color w:val="auto"/>
        </w:rPr>
        <w:t xml:space="preserve"> GAAP TO NON</w:t>
      </w:r>
      <w:r>
        <w:rPr>
          <w:rFonts w:ascii="MS PGothic" w:cs="MS PGothic" w:eastAsia="MS PGothic" w:hAnsi="MS PGothic"/>
          <w:sz w:val="29"/>
          <w:szCs w:val="29"/>
          <w:color w:val="auto"/>
          <w:strike w:val="1"/>
        </w:rPr>
        <w:t>‑</w:t>
      </w:r>
      <w:r>
        <w:rPr>
          <w:rFonts w:ascii="Arial" w:cs="Arial" w:eastAsia="Arial" w:hAnsi="Arial"/>
          <w:sz w:val="29"/>
          <w:szCs w:val="29"/>
          <w:b w:val="1"/>
          <w:bCs w:val="1"/>
          <w:color w:val="auto"/>
        </w:rPr>
        <w:t>GAAP RECONCILIATIONS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Net Revenues to Organic Net Revenue</w:t>
            </w:r>
          </w:p>
        </w:tc>
        <w:tc>
          <w:tcPr>
            <w:tcW w:w="880" w:type="dxa"/>
            <w:vAlign w:val="bottom"/>
          </w:tcPr>
          <w:p>
            <w:pPr>
              <w:spacing w:after="0"/>
              <w:rPr>
                <w:sz w:val="15"/>
                <w:szCs w:val="15"/>
                <w:color w:val="auto"/>
              </w:rPr>
            </w:pPr>
          </w:p>
        </w:tc>
        <w:tc>
          <w:tcPr>
            <w:tcW w:w="3680" w:type="dxa"/>
            <w:vAlign w:val="bottom"/>
            <w:tcBorders>
              <w:bottom w:val="single" w:sz="8" w:color="582C83"/>
            </w:tcBorders>
            <w:gridSpan w:val="6"/>
          </w:tcPr>
          <w:p>
            <w:pPr>
              <w:ind w:left="340"/>
              <w:spacing w:after="0"/>
              <w:rPr>
                <w:sz w:val="20"/>
                <w:szCs w:val="20"/>
                <w:color w:val="auto"/>
              </w:rPr>
            </w:pPr>
            <w:r>
              <w:rPr>
                <w:rFonts w:ascii="Arial" w:cs="Arial" w:eastAsia="Arial" w:hAnsi="Arial"/>
                <w:sz w:val="14"/>
                <w:szCs w:val="14"/>
                <w:b w:val="1"/>
                <w:bCs w:val="1"/>
                <w:color w:val="auto"/>
              </w:rPr>
              <w:t>For the Twelve Months Ended December 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440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3"/>
                <w:szCs w:val="3"/>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2024</w:t>
            </w: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5"/>
        </w:trPr>
        <w:tc>
          <w:tcPr>
            <w:tcW w:w="440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(In millions of U.S. dollars) (Unaudited)</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00" w:type="dxa"/>
            <w:vAlign w:val="bottom"/>
            <w:tcBorders>
              <w:top w:val="single" w:sz="8" w:color="5A095E"/>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Reported (GAAP)</w:t>
            </w:r>
          </w:p>
        </w:tc>
        <w:tc>
          <w:tcPr>
            <w:tcW w:w="1520" w:type="dxa"/>
            <w:vAlign w:val="bottom"/>
            <w:tcBorders>
              <w:top w:val="single" w:sz="8" w:color="5A095E"/>
              <w:bottom w:val="single" w:sz="8" w:color="582C83"/>
            </w:tcBorders>
            <w:gridSpan w:val="2"/>
            <w:shd w:val="clear" w:color="auto" w:fill="E0DBEA"/>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5A095E"/>
              <w:bottom w:val="single" w:sz="8" w:color="582C83"/>
            </w:tcBorders>
            <w:shd w:val="clear" w:color="auto" w:fill="E0DBEA"/>
          </w:tcPr>
          <w:p>
            <w:pPr>
              <w:jc w:val="right"/>
              <w:ind w:right="388"/>
              <w:spacing w:after="0"/>
              <w:rPr>
                <w:sz w:val="20"/>
                <w:szCs w:val="20"/>
                <w:color w:val="auto"/>
              </w:rPr>
            </w:pPr>
            <w:r>
              <w:rPr>
                <w:rFonts w:ascii="Arial" w:cs="Arial" w:eastAsia="Arial" w:hAnsi="Arial"/>
                <w:sz w:val="14"/>
                <w:szCs w:val="14"/>
                <w:b w:val="1"/>
                <w:bCs w:val="1"/>
                <w:color w:val="auto"/>
              </w:rPr>
              <w:t>38,537</w:t>
            </w:r>
          </w:p>
        </w:tc>
        <w:tc>
          <w:tcPr>
            <w:tcW w:w="200" w:type="dxa"/>
            <w:vAlign w:val="bottom"/>
            <w:tcBorders>
              <w:top w:val="single" w:sz="8" w:color="5A095E"/>
              <w:bottom w:val="single" w:sz="8" w:color="582C83"/>
            </w:tcBorders>
            <w:shd w:val="clear" w:color="auto" w:fill="E0DBEA"/>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5A095E"/>
              <w:bottom w:val="single" w:sz="8" w:color="582C83"/>
            </w:tcBorders>
            <w:gridSpan w:val="2"/>
            <w:shd w:val="clear" w:color="auto" w:fill="E0DBEA"/>
          </w:tcPr>
          <w:p>
            <w:pPr>
              <w:jc w:val="right"/>
              <w:ind w:right="408"/>
              <w:spacing w:after="0"/>
              <w:rPr>
                <w:sz w:val="20"/>
                <w:szCs w:val="20"/>
                <w:color w:val="auto"/>
              </w:rPr>
            </w:pPr>
            <w:r>
              <w:rPr>
                <w:rFonts w:ascii="Arial" w:cs="Arial" w:eastAsia="Arial" w:hAnsi="Arial"/>
                <w:sz w:val="14"/>
                <w:szCs w:val="14"/>
                <w:b w:val="1"/>
                <w:bCs w:val="1"/>
                <w:color w:val="auto"/>
              </w:rPr>
              <w:t>36,441</w:t>
            </w:r>
          </w:p>
        </w:tc>
        <w:tc>
          <w:tcPr>
            <w:tcW w:w="800" w:type="dxa"/>
            <w:vAlign w:val="bottom"/>
            <w:tcBorders>
              <w:top w:val="single" w:sz="8" w:color="5A095E"/>
              <w:bottom w:val="single" w:sz="8" w:color="582C83"/>
            </w:tcBorders>
            <w:shd w:val="clear" w:color="auto" w:fill="E0DBEA"/>
          </w:tcPr>
          <w:p>
            <w:pPr>
              <w:jc w:val="center"/>
              <w:ind w:left="348"/>
              <w:spacing w:after="0"/>
              <w:rPr>
                <w:sz w:val="20"/>
                <w:szCs w:val="20"/>
                <w:color w:val="auto"/>
              </w:rPr>
            </w:pPr>
            <w:r>
              <w:rPr>
                <w:rFonts w:ascii="Arial" w:cs="Arial" w:eastAsia="Arial" w:hAnsi="Arial"/>
                <w:sz w:val="14"/>
                <w:szCs w:val="14"/>
                <w:b w:val="1"/>
                <w:bCs w:val="1"/>
                <w:color w:val="auto"/>
              </w:rPr>
              <w:t>5.8 %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60"/>
              <w:spacing w:after="0"/>
              <w:rPr>
                <w:sz w:val="20"/>
                <w:szCs w:val="20"/>
                <w:color w:val="auto"/>
              </w:rPr>
            </w:pPr>
            <w:r>
              <w:rPr>
                <w:rFonts w:ascii="Arial" w:cs="Arial" w:eastAsia="Arial" w:hAnsi="Arial"/>
                <w:sz w:val="14"/>
                <w:szCs w:val="14"/>
                <w:color w:val="auto"/>
              </w:rPr>
              <w:t>Divestitures</w:t>
            </w: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348"/>
              <w:spacing w:after="0"/>
              <w:rPr>
                <w:sz w:val="20"/>
                <w:szCs w:val="20"/>
                <w:color w:val="auto"/>
              </w:rPr>
            </w:pPr>
            <w:r>
              <w:rPr>
                <w:rFonts w:ascii="Arial" w:cs="Arial" w:eastAsia="Arial" w:hAnsi="Arial"/>
                <w:sz w:val="14"/>
                <w:szCs w:val="14"/>
                <w:color w:val="auto"/>
              </w:rPr>
              <w:t>(34)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368"/>
              <w:spacing w:after="0"/>
              <w:rPr>
                <w:sz w:val="20"/>
                <w:szCs w:val="20"/>
                <w:color w:val="auto"/>
              </w:rPr>
            </w:pPr>
            <w:r>
              <w:rPr>
                <w:rFonts w:ascii="Arial" w:cs="Arial" w:eastAsia="Arial" w:hAnsi="Arial"/>
                <w:sz w:val="14"/>
                <w:szCs w:val="14"/>
                <w:color w:val="auto"/>
                <w:w w:val="96"/>
              </w:rPr>
              <w:t>(41)</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00" w:type="dxa"/>
            <w:vAlign w:val="bottom"/>
            <w:tcBorders>
              <w:bottom w:val="single" w:sz="8" w:color="582C83"/>
            </w:tcBorders>
          </w:tcPr>
          <w:p>
            <w:pPr>
              <w:spacing w:after="0" w:line="20" w:lineRule="exact"/>
              <w:rPr>
                <w:sz w:val="1"/>
                <w:szCs w:val="1"/>
                <w:color w:val="auto"/>
              </w:rPr>
            </w:pPr>
          </w:p>
        </w:tc>
        <w:tc>
          <w:tcPr>
            <w:tcW w:w="880" w:type="dxa"/>
            <w:vAlign w:val="bottom"/>
            <w:tcBorders>
              <w:bottom w:val="single" w:sz="8" w:color="582C83"/>
            </w:tcBorders>
          </w:tcPr>
          <w:p>
            <w:pPr>
              <w:spacing w:after="0" w:line="20" w:lineRule="exact"/>
              <w:rPr>
                <w:sz w:val="1"/>
                <w:szCs w:val="1"/>
                <w:color w:val="auto"/>
              </w:rPr>
            </w:pPr>
          </w:p>
        </w:tc>
        <w:tc>
          <w:tcPr>
            <w:tcW w:w="640" w:type="dxa"/>
            <w:vAlign w:val="bottom"/>
            <w:tcBorders>
              <w:bottom w:val="single" w:sz="8" w:color="582C83"/>
            </w:tcBorders>
          </w:tcPr>
          <w:p>
            <w:pPr>
              <w:spacing w:after="0" w:line="20" w:lineRule="exact"/>
              <w:rPr>
                <w:sz w:val="1"/>
                <w:szCs w:val="1"/>
                <w:color w:val="auto"/>
              </w:rPr>
            </w:pPr>
          </w:p>
        </w:tc>
        <w:tc>
          <w:tcPr>
            <w:tcW w:w="1000" w:type="dxa"/>
            <w:vAlign w:val="bottom"/>
            <w:tcBorders>
              <w:bottom w:val="single" w:sz="8" w:color="582C83"/>
            </w:tcBorders>
          </w:tcPr>
          <w:p>
            <w:pPr>
              <w:spacing w:after="0" w:line="20" w:lineRule="exact"/>
              <w:rPr>
                <w:sz w:val="1"/>
                <w:szCs w:val="1"/>
                <w:color w:val="auto"/>
              </w:rPr>
            </w:pPr>
          </w:p>
        </w:tc>
        <w:tc>
          <w:tcPr>
            <w:tcW w:w="200" w:type="dxa"/>
            <w:vAlign w:val="bottom"/>
            <w:tcBorders>
              <w:bottom w:val="single" w:sz="8" w:color="582C83"/>
            </w:tcBorders>
          </w:tcPr>
          <w:p>
            <w:pPr>
              <w:spacing w:after="0" w:line="20" w:lineRule="exact"/>
              <w:rPr>
                <w:sz w:val="1"/>
                <w:szCs w:val="1"/>
                <w:color w:val="auto"/>
              </w:rPr>
            </w:pPr>
          </w:p>
        </w:tc>
        <w:tc>
          <w:tcPr>
            <w:tcW w:w="340" w:type="dxa"/>
            <w:vAlign w:val="bottom"/>
            <w:tcBorders>
              <w:bottom w:val="single" w:sz="8" w:color="582C83"/>
            </w:tcBorders>
          </w:tcPr>
          <w:p>
            <w:pPr>
              <w:spacing w:after="0" w:line="20" w:lineRule="exact"/>
              <w:rPr>
                <w:sz w:val="1"/>
                <w:szCs w:val="1"/>
                <w:color w:val="auto"/>
              </w:rPr>
            </w:pPr>
          </w:p>
        </w:tc>
        <w:tc>
          <w:tcPr>
            <w:tcW w:w="700" w:type="dxa"/>
            <w:vAlign w:val="bottom"/>
            <w:tcBorders>
              <w:bottom w:val="single" w:sz="8" w:color="582C83"/>
            </w:tcBorders>
          </w:tcPr>
          <w:p>
            <w:pPr>
              <w:spacing w:after="0" w:line="20" w:lineRule="exact"/>
              <w:rPr>
                <w:sz w:val="1"/>
                <w:szCs w:val="1"/>
                <w:color w:val="auto"/>
              </w:rPr>
            </w:pPr>
          </w:p>
        </w:tc>
        <w:tc>
          <w:tcPr>
            <w:tcW w:w="800" w:type="dxa"/>
            <w:vAlign w:val="bottom"/>
            <w:tcBorders>
              <w:bottom w:val="single" w:sz="8" w:color="582C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E0DBEA"/>
            </w:tcBorders>
            <w:shd w:val="clear" w:color="auto" w:fill="E0DBEA"/>
          </w:tcPr>
          <w:p>
            <w:pPr>
              <w:ind w:left="60"/>
              <w:spacing w:after="0"/>
              <w:rPr>
                <w:sz w:val="20"/>
                <w:szCs w:val="20"/>
                <w:color w:val="auto"/>
              </w:rPr>
            </w:pPr>
            <w:r>
              <w:rPr>
                <w:rFonts w:ascii="Arial" w:cs="Arial" w:eastAsia="Arial" w:hAnsi="Arial"/>
                <w:sz w:val="14"/>
                <w:szCs w:val="14"/>
                <w:color w:val="auto"/>
              </w:rPr>
              <w:t>Acquisitions</w:t>
            </w:r>
          </w:p>
        </w:tc>
        <w:tc>
          <w:tcPr>
            <w:tcW w:w="880" w:type="dxa"/>
            <w:vAlign w:val="bottom"/>
            <w:tcBorders>
              <w:bottom w:val="single" w:sz="8" w:color="E0DBEA"/>
            </w:tcBorders>
            <w:shd w:val="clear" w:color="auto" w:fill="E0DBEA"/>
          </w:tcPr>
          <w:p>
            <w:pPr>
              <w:spacing w:after="0"/>
              <w:rPr>
                <w:sz w:val="20"/>
                <w:szCs w:val="20"/>
                <w:color w:val="auto"/>
              </w:rPr>
            </w:pPr>
          </w:p>
        </w:tc>
        <w:tc>
          <w:tcPr>
            <w:tcW w:w="640" w:type="dxa"/>
            <w:vAlign w:val="bottom"/>
            <w:tcBorders>
              <w:bottom w:val="single" w:sz="8" w:color="E0DBEA"/>
            </w:tcBorders>
            <w:shd w:val="clear" w:color="auto" w:fill="E0DBEA"/>
          </w:tcPr>
          <w:p>
            <w:pPr>
              <w:spacing w:after="0"/>
              <w:rPr>
                <w:sz w:val="20"/>
                <w:szCs w:val="20"/>
                <w:color w:val="auto"/>
              </w:rPr>
            </w:pPr>
          </w:p>
        </w:tc>
        <w:tc>
          <w:tcPr>
            <w:tcW w:w="1000" w:type="dxa"/>
            <w:vAlign w:val="bottom"/>
            <w:tcBorders>
              <w:bottom w:val="single" w:sz="8" w:color="E0DBEA"/>
            </w:tcBorders>
            <w:shd w:val="clear" w:color="auto" w:fill="E0DBEA"/>
          </w:tcPr>
          <w:p>
            <w:pPr>
              <w:jc w:val="right"/>
              <w:ind w:right="348"/>
              <w:spacing w:after="0"/>
              <w:rPr>
                <w:sz w:val="20"/>
                <w:szCs w:val="20"/>
                <w:color w:val="auto"/>
              </w:rPr>
            </w:pPr>
            <w:r>
              <w:rPr>
                <w:rFonts w:ascii="Arial" w:cs="Arial" w:eastAsia="Arial" w:hAnsi="Arial"/>
                <w:sz w:val="14"/>
                <w:szCs w:val="14"/>
                <w:color w:val="auto"/>
              </w:rPr>
              <w:t>(316)</w:t>
            </w:r>
          </w:p>
        </w:tc>
        <w:tc>
          <w:tcPr>
            <w:tcW w:w="200" w:type="dxa"/>
            <w:vAlign w:val="bottom"/>
            <w:tcBorders>
              <w:bottom w:val="single" w:sz="8" w:color="E0DBEA"/>
            </w:tcBorders>
            <w:shd w:val="clear" w:color="auto" w:fill="E0DBEA"/>
          </w:tcPr>
          <w:p>
            <w:pPr>
              <w:spacing w:after="0"/>
              <w:rPr>
                <w:sz w:val="20"/>
                <w:szCs w:val="20"/>
                <w:color w:val="auto"/>
              </w:rPr>
            </w:pPr>
          </w:p>
        </w:tc>
        <w:tc>
          <w:tcPr>
            <w:tcW w:w="340" w:type="dxa"/>
            <w:vAlign w:val="bottom"/>
            <w:tcBorders>
              <w:bottom w:val="single" w:sz="8" w:color="E0DBEA"/>
            </w:tcBorders>
            <w:shd w:val="clear" w:color="auto" w:fill="E0DBEA"/>
          </w:tcPr>
          <w:p>
            <w:pPr>
              <w:spacing w:after="0"/>
              <w:rPr>
                <w:sz w:val="20"/>
                <w:szCs w:val="20"/>
                <w:color w:val="auto"/>
              </w:rPr>
            </w:pPr>
          </w:p>
        </w:tc>
        <w:tc>
          <w:tcPr>
            <w:tcW w:w="700" w:type="dxa"/>
            <w:vAlign w:val="bottom"/>
            <w:tcBorders>
              <w:bottom w:val="single" w:sz="8" w:color="E0DBEA"/>
            </w:tcBorders>
            <w:shd w:val="clear" w:color="auto" w:fill="E0DBEA"/>
          </w:tcPr>
          <w:p>
            <w:pPr>
              <w:jc w:val="right"/>
              <w:ind w:right="4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E0DBEA"/>
            </w:tcBorders>
            <w:shd w:val="clear" w:color="auto" w:fill="E0DBEA"/>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00" w:type="dxa"/>
            <w:vAlign w:val="bottom"/>
            <w:tcBorders>
              <w:top w:val="single" w:sz="8" w:color="582C83"/>
            </w:tcBorders>
          </w:tcPr>
          <w:p>
            <w:pPr>
              <w:ind w:left="60"/>
              <w:spacing w:after="0"/>
              <w:rPr>
                <w:sz w:val="20"/>
                <w:szCs w:val="20"/>
                <w:color w:val="auto"/>
              </w:rPr>
            </w:pPr>
            <w:r>
              <w:rPr>
                <w:rFonts w:ascii="Arial" w:cs="Arial" w:eastAsia="Arial" w:hAnsi="Arial"/>
                <w:sz w:val="14"/>
                <w:szCs w:val="14"/>
                <w:color w:val="auto"/>
              </w:rPr>
              <w:t>Operating results from short-term distributor agreements</w:t>
            </w:r>
          </w:p>
        </w:tc>
        <w:tc>
          <w:tcPr>
            <w:tcW w:w="880" w:type="dxa"/>
            <w:vAlign w:val="bottom"/>
            <w:tcBorders>
              <w:top w:val="single" w:sz="8" w:color="582C83"/>
            </w:tcBorders>
          </w:tcPr>
          <w:p>
            <w:pPr>
              <w:spacing w:after="0"/>
              <w:rPr>
                <w:sz w:val="18"/>
                <w:szCs w:val="18"/>
                <w:color w:val="auto"/>
              </w:rPr>
            </w:pPr>
          </w:p>
        </w:tc>
        <w:tc>
          <w:tcPr>
            <w:tcW w:w="640" w:type="dxa"/>
            <w:vAlign w:val="bottom"/>
            <w:tcBorders>
              <w:top w:val="single" w:sz="8" w:color="582C83"/>
            </w:tcBorders>
          </w:tcPr>
          <w:p>
            <w:pPr>
              <w:spacing w:after="0"/>
              <w:rPr>
                <w:sz w:val="18"/>
                <w:szCs w:val="18"/>
                <w:color w:val="auto"/>
              </w:rPr>
            </w:pPr>
          </w:p>
        </w:tc>
        <w:tc>
          <w:tcPr>
            <w:tcW w:w="1000" w:type="dxa"/>
            <w:vAlign w:val="bottom"/>
            <w:tcBorders>
              <w:top w:val="single" w:sz="8" w:color="582C83"/>
            </w:tcBorders>
          </w:tcPr>
          <w:p>
            <w:pPr>
              <w:jc w:val="right"/>
              <w:ind w:right="388"/>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582C83"/>
            </w:tcBorders>
          </w:tcPr>
          <w:p>
            <w:pPr>
              <w:spacing w:after="0"/>
              <w:rPr>
                <w:sz w:val="18"/>
                <w:szCs w:val="18"/>
                <w:color w:val="auto"/>
              </w:rPr>
            </w:pPr>
          </w:p>
        </w:tc>
        <w:tc>
          <w:tcPr>
            <w:tcW w:w="340" w:type="dxa"/>
            <w:vAlign w:val="bottom"/>
            <w:tcBorders>
              <w:top w:val="single" w:sz="8" w:color="582C83"/>
            </w:tcBorders>
          </w:tcPr>
          <w:p>
            <w:pPr>
              <w:spacing w:after="0"/>
              <w:rPr>
                <w:sz w:val="18"/>
                <w:szCs w:val="18"/>
                <w:color w:val="auto"/>
              </w:rPr>
            </w:pPr>
          </w:p>
        </w:tc>
        <w:tc>
          <w:tcPr>
            <w:tcW w:w="700" w:type="dxa"/>
            <w:vAlign w:val="bottom"/>
            <w:tcBorders>
              <w:top w:val="single" w:sz="8" w:color="582C83"/>
            </w:tcBorders>
          </w:tcPr>
          <w:p>
            <w:pPr>
              <w:jc w:val="right"/>
              <w:ind w:right="368"/>
              <w:spacing w:after="0"/>
              <w:rPr>
                <w:sz w:val="20"/>
                <w:szCs w:val="20"/>
                <w:color w:val="auto"/>
              </w:rPr>
            </w:pPr>
            <w:r>
              <w:rPr>
                <w:rFonts w:ascii="Arial" w:cs="Arial" w:eastAsia="Arial" w:hAnsi="Arial"/>
                <w:sz w:val="14"/>
                <w:szCs w:val="14"/>
                <w:color w:val="auto"/>
                <w:w w:val="96"/>
              </w:rPr>
              <w:t>(25)</w:t>
            </w:r>
          </w:p>
        </w:tc>
        <w:tc>
          <w:tcPr>
            <w:tcW w:w="800" w:type="dxa"/>
            <w:vAlign w:val="bottom"/>
            <w:tcBorders>
              <w:top w:val="single" w:sz="8" w:color="582C83"/>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00" w:type="dxa"/>
            <w:vAlign w:val="bottom"/>
            <w:tcBorders>
              <w:bottom w:val="single" w:sz="8" w:color="582C83"/>
            </w:tcBorders>
          </w:tcPr>
          <w:p>
            <w:pPr>
              <w:spacing w:after="0" w:line="20" w:lineRule="exact"/>
              <w:rPr>
                <w:sz w:val="1"/>
                <w:szCs w:val="1"/>
                <w:color w:val="auto"/>
              </w:rPr>
            </w:pPr>
          </w:p>
        </w:tc>
        <w:tc>
          <w:tcPr>
            <w:tcW w:w="880" w:type="dxa"/>
            <w:vAlign w:val="bottom"/>
            <w:tcBorders>
              <w:bottom w:val="single" w:sz="8" w:color="582C83"/>
            </w:tcBorders>
          </w:tcPr>
          <w:p>
            <w:pPr>
              <w:spacing w:after="0" w:line="20" w:lineRule="exact"/>
              <w:rPr>
                <w:sz w:val="1"/>
                <w:szCs w:val="1"/>
                <w:color w:val="auto"/>
              </w:rPr>
            </w:pPr>
          </w:p>
        </w:tc>
        <w:tc>
          <w:tcPr>
            <w:tcW w:w="640" w:type="dxa"/>
            <w:vAlign w:val="bottom"/>
            <w:tcBorders>
              <w:bottom w:val="single" w:sz="8" w:color="582C83"/>
            </w:tcBorders>
          </w:tcPr>
          <w:p>
            <w:pPr>
              <w:spacing w:after="0" w:line="20" w:lineRule="exact"/>
              <w:rPr>
                <w:sz w:val="1"/>
                <w:szCs w:val="1"/>
                <w:color w:val="auto"/>
              </w:rPr>
            </w:pPr>
          </w:p>
        </w:tc>
        <w:tc>
          <w:tcPr>
            <w:tcW w:w="1000" w:type="dxa"/>
            <w:vAlign w:val="bottom"/>
            <w:tcBorders>
              <w:bottom w:val="single" w:sz="8" w:color="582C83"/>
            </w:tcBorders>
          </w:tcPr>
          <w:p>
            <w:pPr>
              <w:spacing w:after="0" w:line="20" w:lineRule="exact"/>
              <w:rPr>
                <w:sz w:val="1"/>
                <w:szCs w:val="1"/>
                <w:color w:val="auto"/>
              </w:rPr>
            </w:pPr>
          </w:p>
        </w:tc>
        <w:tc>
          <w:tcPr>
            <w:tcW w:w="200" w:type="dxa"/>
            <w:vAlign w:val="bottom"/>
            <w:tcBorders>
              <w:bottom w:val="single" w:sz="8" w:color="582C83"/>
            </w:tcBorders>
          </w:tcPr>
          <w:p>
            <w:pPr>
              <w:spacing w:after="0" w:line="20" w:lineRule="exact"/>
              <w:rPr>
                <w:sz w:val="1"/>
                <w:szCs w:val="1"/>
                <w:color w:val="auto"/>
              </w:rPr>
            </w:pPr>
          </w:p>
        </w:tc>
        <w:tc>
          <w:tcPr>
            <w:tcW w:w="340" w:type="dxa"/>
            <w:vAlign w:val="bottom"/>
            <w:tcBorders>
              <w:bottom w:val="single" w:sz="8" w:color="582C83"/>
            </w:tcBorders>
          </w:tcPr>
          <w:p>
            <w:pPr>
              <w:spacing w:after="0" w:line="20" w:lineRule="exact"/>
              <w:rPr>
                <w:sz w:val="1"/>
                <w:szCs w:val="1"/>
                <w:color w:val="auto"/>
              </w:rPr>
            </w:pPr>
          </w:p>
        </w:tc>
        <w:tc>
          <w:tcPr>
            <w:tcW w:w="700" w:type="dxa"/>
            <w:vAlign w:val="bottom"/>
            <w:tcBorders>
              <w:bottom w:val="single" w:sz="8" w:color="582C83"/>
            </w:tcBorders>
          </w:tcPr>
          <w:p>
            <w:pPr>
              <w:spacing w:after="0" w:line="20" w:lineRule="exact"/>
              <w:rPr>
                <w:sz w:val="1"/>
                <w:szCs w:val="1"/>
                <w:color w:val="auto"/>
              </w:rPr>
            </w:pPr>
          </w:p>
        </w:tc>
        <w:tc>
          <w:tcPr>
            <w:tcW w:w="800" w:type="dxa"/>
            <w:vAlign w:val="bottom"/>
            <w:tcBorders>
              <w:bottom w:val="single" w:sz="8" w:color="582C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E0DBEA"/>
            </w:tcBorders>
            <w:shd w:val="clear" w:color="auto" w:fill="E0DBEA"/>
          </w:tcPr>
          <w:p>
            <w:pPr>
              <w:ind w:left="60"/>
              <w:spacing w:after="0"/>
              <w:rPr>
                <w:sz w:val="20"/>
                <w:szCs w:val="20"/>
                <w:color w:val="auto"/>
              </w:rPr>
            </w:pPr>
            <w:r>
              <w:rPr>
                <w:rFonts w:ascii="Arial" w:cs="Arial" w:eastAsia="Arial" w:hAnsi="Arial"/>
                <w:sz w:val="14"/>
                <w:szCs w:val="14"/>
                <w:color w:val="auto"/>
              </w:rPr>
              <w:t>Currency-related items</w:t>
            </w:r>
          </w:p>
        </w:tc>
        <w:tc>
          <w:tcPr>
            <w:tcW w:w="880" w:type="dxa"/>
            <w:vAlign w:val="bottom"/>
            <w:tcBorders>
              <w:bottom w:val="single" w:sz="8" w:color="E0DBEA"/>
            </w:tcBorders>
            <w:shd w:val="clear" w:color="auto" w:fill="E0DBEA"/>
          </w:tcPr>
          <w:p>
            <w:pPr>
              <w:spacing w:after="0"/>
              <w:rPr>
                <w:sz w:val="20"/>
                <w:szCs w:val="20"/>
                <w:color w:val="auto"/>
              </w:rPr>
            </w:pPr>
          </w:p>
        </w:tc>
        <w:tc>
          <w:tcPr>
            <w:tcW w:w="640" w:type="dxa"/>
            <w:vAlign w:val="bottom"/>
            <w:tcBorders>
              <w:bottom w:val="single" w:sz="8" w:color="E0DBEA"/>
            </w:tcBorders>
            <w:shd w:val="clear" w:color="auto" w:fill="E0DBEA"/>
          </w:tcPr>
          <w:p>
            <w:pPr>
              <w:spacing w:after="0"/>
              <w:rPr>
                <w:sz w:val="20"/>
                <w:szCs w:val="20"/>
                <w:color w:val="auto"/>
              </w:rPr>
            </w:pPr>
          </w:p>
        </w:tc>
        <w:tc>
          <w:tcPr>
            <w:tcW w:w="1000" w:type="dxa"/>
            <w:vAlign w:val="bottom"/>
            <w:tcBorders>
              <w:bottom w:val="single" w:sz="8" w:color="E0DBEA"/>
            </w:tcBorders>
            <w:shd w:val="clear" w:color="auto" w:fill="E0DBEA"/>
          </w:tcPr>
          <w:p>
            <w:pPr>
              <w:jc w:val="right"/>
              <w:ind w:right="348"/>
              <w:spacing w:after="0"/>
              <w:rPr>
                <w:sz w:val="20"/>
                <w:szCs w:val="20"/>
                <w:color w:val="auto"/>
              </w:rPr>
            </w:pPr>
            <w:r>
              <w:rPr>
                <w:rFonts w:ascii="Arial" w:cs="Arial" w:eastAsia="Arial" w:hAnsi="Arial"/>
                <w:sz w:val="14"/>
                <w:szCs w:val="14"/>
                <w:color w:val="auto"/>
              </w:rPr>
              <w:t>(241)</w:t>
            </w:r>
          </w:p>
        </w:tc>
        <w:tc>
          <w:tcPr>
            <w:tcW w:w="200" w:type="dxa"/>
            <w:vAlign w:val="bottom"/>
            <w:tcBorders>
              <w:bottom w:val="single" w:sz="8" w:color="E0DBEA"/>
            </w:tcBorders>
            <w:shd w:val="clear" w:color="auto" w:fill="E0DBEA"/>
          </w:tcPr>
          <w:p>
            <w:pPr>
              <w:spacing w:after="0"/>
              <w:rPr>
                <w:sz w:val="20"/>
                <w:szCs w:val="20"/>
                <w:color w:val="auto"/>
              </w:rPr>
            </w:pPr>
          </w:p>
        </w:tc>
        <w:tc>
          <w:tcPr>
            <w:tcW w:w="340" w:type="dxa"/>
            <w:vAlign w:val="bottom"/>
            <w:tcBorders>
              <w:bottom w:val="single" w:sz="8" w:color="E0DBEA"/>
            </w:tcBorders>
            <w:shd w:val="clear" w:color="auto" w:fill="E0DBEA"/>
          </w:tcPr>
          <w:p>
            <w:pPr>
              <w:spacing w:after="0"/>
              <w:rPr>
                <w:sz w:val="20"/>
                <w:szCs w:val="20"/>
                <w:color w:val="auto"/>
              </w:rPr>
            </w:pPr>
          </w:p>
        </w:tc>
        <w:tc>
          <w:tcPr>
            <w:tcW w:w="700" w:type="dxa"/>
            <w:vAlign w:val="bottom"/>
            <w:tcBorders>
              <w:bottom w:val="single" w:sz="8" w:color="E0DBEA"/>
            </w:tcBorders>
            <w:shd w:val="clear" w:color="auto" w:fill="E0DBEA"/>
          </w:tcPr>
          <w:p>
            <w:pPr>
              <w:jc w:val="right"/>
              <w:ind w:right="4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E0DBEA"/>
            </w:tcBorders>
            <w:shd w:val="clear" w:color="auto" w:fill="E0DBEA"/>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00" w:type="dxa"/>
            <w:vAlign w:val="bottom"/>
            <w:tcBorders>
              <w:top w:val="single" w:sz="8" w:color="582C83"/>
              <w:bottom w:val="single" w:sz="8" w:color="582C83"/>
            </w:tcBorders>
          </w:tcPr>
          <w:p>
            <w:pPr>
              <w:ind w:left="60"/>
              <w:spacing w:after="0" w:line="161" w:lineRule="exact"/>
              <w:rPr>
                <w:sz w:val="20"/>
                <w:szCs w:val="20"/>
                <w:color w:val="auto"/>
              </w:rPr>
            </w:pPr>
            <w:r>
              <w:rPr>
                <w:rFonts w:ascii="Arial" w:cs="Arial" w:eastAsia="Arial" w:hAnsi="Arial"/>
                <w:sz w:val="14"/>
                <w:szCs w:val="14"/>
                <w:b w:val="1"/>
                <w:bCs w:val="1"/>
                <w:color w:val="auto"/>
              </w:rPr>
              <w:t>Organic (Non</w:t>
            </w:r>
            <w:r>
              <w:rPr>
                <w:rFonts w:ascii="MS PGothic" w:cs="MS PGothic" w:eastAsia="MS PGothic" w:hAnsi="MS PGothic"/>
                <w:sz w:val="14"/>
                <w:szCs w:val="14"/>
                <w:color w:val="auto"/>
                <w:strike w:val="1"/>
              </w:rPr>
              <w:t>‑</w:t>
            </w:r>
            <w:r>
              <w:rPr>
                <w:rFonts w:ascii="Arial" w:cs="Arial" w:eastAsia="Arial" w:hAnsi="Arial"/>
                <w:sz w:val="14"/>
                <w:szCs w:val="14"/>
                <w:b w:val="1"/>
                <w:bCs w:val="1"/>
                <w:color w:val="auto"/>
              </w:rPr>
              <w:t>GAAP)</w:t>
            </w:r>
          </w:p>
        </w:tc>
        <w:tc>
          <w:tcPr>
            <w:tcW w:w="1520" w:type="dxa"/>
            <w:vAlign w:val="bottom"/>
            <w:tcBorders>
              <w:top w:val="single" w:sz="8" w:color="582C83"/>
              <w:bottom w:val="single" w:sz="8" w:color="582C83"/>
            </w:tcBorders>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582C83"/>
              <w:bottom w:val="single" w:sz="8" w:color="582C83"/>
            </w:tcBorders>
          </w:tcPr>
          <w:p>
            <w:pPr>
              <w:jc w:val="right"/>
              <w:ind w:right="388"/>
              <w:spacing w:after="0"/>
              <w:rPr>
                <w:sz w:val="20"/>
                <w:szCs w:val="20"/>
                <w:color w:val="auto"/>
              </w:rPr>
            </w:pPr>
            <w:r>
              <w:rPr>
                <w:rFonts w:ascii="Arial" w:cs="Arial" w:eastAsia="Arial" w:hAnsi="Arial"/>
                <w:sz w:val="14"/>
                <w:szCs w:val="14"/>
                <w:b w:val="1"/>
                <w:bCs w:val="1"/>
                <w:color w:val="auto"/>
              </w:rPr>
              <w:t>37,946</w:t>
            </w:r>
          </w:p>
        </w:tc>
        <w:tc>
          <w:tcPr>
            <w:tcW w:w="200" w:type="dxa"/>
            <w:vAlign w:val="bottom"/>
            <w:tcBorders>
              <w:top w:val="single" w:sz="8" w:color="582C83"/>
              <w:bottom w:val="single" w:sz="8" w:color="582C83"/>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582C83"/>
              <w:bottom w:val="single" w:sz="8" w:color="582C83"/>
            </w:tcBorders>
            <w:gridSpan w:val="2"/>
          </w:tcPr>
          <w:p>
            <w:pPr>
              <w:jc w:val="right"/>
              <w:ind w:right="408"/>
              <w:spacing w:after="0"/>
              <w:rPr>
                <w:sz w:val="20"/>
                <w:szCs w:val="20"/>
                <w:color w:val="auto"/>
              </w:rPr>
            </w:pPr>
            <w:r>
              <w:rPr>
                <w:rFonts w:ascii="Arial" w:cs="Arial" w:eastAsia="Arial" w:hAnsi="Arial"/>
                <w:sz w:val="14"/>
                <w:szCs w:val="14"/>
                <w:b w:val="1"/>
                <w:bCs w:val="1"/>
                <w:color w:val="auto"/>
              </w:rPr>
              <w:t>36,375</w:t>
            </w:r>
          </w:p>
        </w:tc>
        <w:tc>
          <w:tcPr>
            <w:tcW w:w="800" w:type="dxa"/>
            <w:vAlign w:val="bottom"/>
            <w:tcBorders>
              <w:top w:val="single" w:sz="8" w:color="582C83"/>
              <w:bottom w:val="single" w:sz="8" w:color="582C83"/>
            </w:tcBorders>
          </w:tcPr>
          <w:p>
            <w:pPr>
              <w:jc w:val="center"/>
              <w:ind w:left="348"/>
              <w:spacing w:after="0"/>
              <w:rPr>
                <w:sz w:val="20"/>
                <w:szCs w:val="20"/>
                <w:color w:val="auto"/>
              </w:rPr>
            </w:pPr>
            <w:r>
              <w:rPr>
                <w:rFonts w:ascii="Arial" w:cs="Arial" w:eastAsia="Arial" w:hAnsi="Arial"/>
                <w:sz w:val="14"/>
                <w:szCs w:val="14"/>
                <w:b w:val="1"/>
                <w:bCs w:val="1"/>
                <w:color w:val="auto"/>
              </w:rPr>
              <w:t>4.3 %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7"/>
        </w:trPr>
        <w:tc>
          <w:tcPr>
            <w:tcW w:w="4400" w:type="dxa"/>
            <w:vAlign w:val="bottom"/>
          </w:tcPr>
          <w:p>
            <w:pPr>
              <w:spacing w:after="0"/>
              <w:rPr>
                <w:sz w:val="24"/>
                <w:szCs w:val="24"/>
                <w:color w:val="auto"/>
              </w:rPr>
            </w:pPr>
          </w:p>
        </w:tc>
        <w:tc>
          <w:tcPr>
            <w:tcW w:w="15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24"/>
                <w:szCs w:val="24"/>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43"/>
        </w:trPr>
        <w:tc>
          <w:tcPr>
            <w:tcW w:w="4400" w:type="dxa"/>
            <w:vAlign w:val="bottom"/>
          </w:tcPr>
          <w:p>
            <w:pPr>
              <w:ind w:left="60"/>
              <w:spacing w:after="0"/>
              <w:rPr>
                <w:sz w:val="20"/>
                <w:szCs w:val="20"/>
                <w:color w:val="auto"/>
              </w:rPr>
            </w:pPr>
            <w:r>
              <w:rPr>
                <w:rFonts w:ascii="Arial" w:cs="Arial" w:eastAsia="Arial" w:hAnsi="Arial"/>
                <w:sz w:val="14"/>
                <w:szCs w:val="14"/>
                <w:b w:val="1"/>
                <w:bCs w:val="1"/>
                <w:color w:val="auto"/>
              </w:rPr>
              <w:t>Reported (GAAP)</w:t>
            </w:r>
          </w:p>
        </w:tc>
        <w:tc>
          <w:tcPr>
            <w:tcW w:w="15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  10,935</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  14,257</w:t>
            </w:r>
          </w:p>
        </w:tc>
        <w:tc>
          <w:tcPr>
            <w:tcW w:w="200" w:type="dxa"/>
            <w:vAlign w:val="bottom"/>
          </w:tcPr>
          <w:p>
            <w:pPr>
              <w:spacing w:after="0"/>
              <w:rPr>
                <w:sz w:val="21"/>
                <w:szCs w:val="21"/>
                <w:color w:val="auto"/>
              </w:rPr>
            </w:pPr>
          </w:p>
        </w:tc>
        <w:tc>
          <w:tcPr>
            <w:tcW w:w="340" w:type="dxa"/>
            <w:vAlign w:val="bottom"/>
          </w:tcPr>
          <w:p>
            <w:pPr>
              <w:ind w:left="26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(3,322)</w:t>
            </w:r>
          </w:p>
        </w:tc>
        <w:tc>
          <w:tcPr>
            <w:tcW w:w="86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auto"/>
              </w:rPr>
              <w:t>(23.3)%</w:t>
            </w:r>
          </w:p>
        </w:tc>
        <w:tc>
          <w:tcPr>
            <w:tcW w:w="0" w:type="dxa"/>
            <w:vAlign w:val="bottom"/>
          </w:tcPr>
          <w:p>
            <w:pPr>
              <w:spacing w:after="0"/>
              <w:rPr>
                <w:sz w:val="1"/>
                <w:szCs w:val="1"/>
                <w:color w:val="auto"/>
              </w:rPr>
            </w:pPr>
          </w:p>
        </w:tc>
      </w:tr>
      <w:tr>
        <w:trPr>
          <w:trHeight w:val="237"/>
        </w:trPr>
        <w:tc>
          <w:tcPr>
            <w:tcW w:w="4400" w:type="dxa"/>
            <w:vAlign w:val="bottom"/>
          </w:tcPr>
          <w:p>
            <w:pPr>
              <w:ind w:left="60"/>
              <w:spacing w:after="0"/>
              <w:rPr>
                <w:sz w:val="20"/>
                <w:szCs w:val="20"/>
                <w:color w:val="auto"/>
              </w:rPr>
            </w:pPr>
            <w:r>
              <w:rPr>
                <w:rFonts w:ascii="Arial" w:cs="Arial" w:eastAsia="Arial" w:hAnsi="Arial"/>
                <w:sz w:val="14"/>
                <w:szCs w:val="14"/>
                <w:color w:val="auto"/>
              </w:rPr>
              <w:t>Restructuring charges</w:t>
            </w:r>
          </w:p>
        </w:tc>
        <w:tc>
          <w:tcPr>
            <w:tcW w:w="1520" w:type="dxa"/>
            <w:vAlign w:val="bottom"/>
            <w:gridSpan w:val="2"/>
          </w:tcPr>
          <w:p>
            <w:pPr>
              <w:jc w:val="right"/>
              <w:ind w:right="28"/>
              <w:spacing w:after="0"/>
              <w:rPr>
                <w:sz w:val="20"/>
                <w:szCs w:val="20"/>
                <w:color w:val="auto"/>
              </w:rPr>
            </w:pPr>
            <w:r>
              <w:rPr>
                <w:rFonts w:ascii="Arial" w:cs="Arial" w:eastAsia="Arial" w:hAnsi="Arial"/>
                <w:sz w:val="14"/>
                <w:szCs w:val="14"/>
                <w:color w:val="auto"/>
              </w:rPr>
              <w:t>(3)</w:t>
            </w:r>
          </w:p>
        </w:tc>
        <w:tc>
          <w:tcPr>
            <w:tcW w:w="1000" w:type="dxa"/>
            <w:vAlign w:val="bottom"/>
          </w:tcPr>
          <w:p>
            <w:pPr>
              <w:jc w:val="right"/>
              <w:spacing w:after="0"/>
              <w:rPr>
                <w:sz w:val="20"/>
                <w:szCs w:val="20"/>
                <w:color w:val="auto"/>
              </w:rPr>
            </w:pPr>
            <w:r>
              <w:rPr>
                <w:rFonts w:ascii="Arial" w:cs="Arial" w:eastAsia="Arial" w:hAnsi="Arial"/>
                <w:sz w:val="14"/>
                <w:szCs w:val="14"/>
                <w:color w:val="auto"/>
              </w:rPr>
              <w:t>30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937" w:orient="portrait"/>
          <w:cols w:equalWidth="0" w:num="1">
            <w:col w:w="9039"/>
          </w:cols>
          <w:pgMar w:left="1420" w:top="104" w:right="1440" w:bottom="0" w:gutter="0" w:footer="0" w:header="0"/>
        </w:sectPr>
      </w:pPr>
    </w:p>
    <w:bookmarkStart w:id="110" w:name="page111"/>
    <w:bookmarkEnd w:id="110"/>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0" w:type="dxa"/>
            <w:vAlign w:val="bottom"/>
          </w:tcPr>
          <w:p>
            <w:pPr>
              <w:spacing w:after="0"/>
              <w:rPr>
                <w:sz w:val="23"/>
                <w:szCs w:val="23"/>
                <w:color w:val="auto"/>
              </w:rPr>
            </w:pPr>
          </w:p>
        </w:tc>
        <w:tc>
          <w:tcPr>
            <w:tcW w:w="4700" w:type="dxa"/>
            <w:vAlign w:val="bottom"/>
            <w:vMerge w:val="restart"/>
          </w:tcPr>
          <w:p>
            <w:pPr>
              <w:ind w:left="40"/>
              <w:spacing w:after="0" w:line="322" w:lineRule="exact"/>
              <w:rPr>
                <w:sz w:val="20"/>
                <w:szCs w:val="20"/>
                <w:color w:val="auto"/>
              </w:rPr>
            </w:pPr>
            <w:r>
              <w:rPr>
                <w:rFonts w:ascii="Arial" w:cs="Arial" w:eastAsia="Arial" w:hAnsi="Arial"/>
                <w:sz w:val="28"/>
                <w:szCs w:val="28"/>
                <w:b w:val="1"/>
                <w:bCs w:val="1"/>
                <w:color w:val="auto"/>
                <w:w w:val="81"/>
                <w:vertAlign w:val="subscript"/>
              </w:rPr>
              <w:t>Gross</w:t>
            </w:r>
            <w:r>
              <w:rPr>
                <w:rFonts w:ascii="Arial" w:cs="Arial" w:eastAsia="Arial" w:hAnsi="Arial"/>
                <w:sz w:val="14"/>
                <w:szCs w:val="14"/>
                <w:color w:val="auto"/>
                <w:w w:val="81"/>
              </w:rPr>
              <w:t>Mark</w:t>
            </w:r>
            <w:r>
              <w:rPr>
                <w:rFonts w:ascii="MS PGothic" w:cs="MS PGothic" w:eastAsia="MS PGothic" w:hAnsi="MS PGothic"/>
                <w:sz w:val="14"/>
                <w:szCs w:val="14"/>
                <w:color w:val="auto"/>
                <w:w w:val="81"/>
              </w:rPr>
              <w:t>‑</w:t>
            </w:r>
            <w:r>
              <w:rPr>
                <w:rFonts w:ascii="Arial" w:cs="Arial" w:eastAsia="Arial" w:hAnsi="Arial"/>
                <w:sz w:val="14"/>
                <w:szCs w:val="14"/>
                <w:color w:val="auto"/>
                <w:w w:val="81"/>
              </w:rPr>
              <w:t>to</w:t>
            </w:r>
            <w:r>
              <w:rPr>
                <w:rFonts w:ascii="Arial" w:cs="Arial" w:eastAsia="Arial" w:hAnsi="Arial"/>
                <w:sz w:val="28"/>
                <w:szCs w:val="28"/>
                <w:b w:val="1"/>
                <w:bCs w:val="1"/>
                <w:color w:val="auto"/>
                <w:w w:val="81"/>
                <w:vertAlign w:val="subscript"/>
              </w:rPr>
              <w:t>Profit</w:t>
            </w:r>
            <w:r>
              <w:rPr>
                <w:rFonts w:ascii="MS PGothic" w:cs="MS PGothic" w:eastAsia="MS PGothic" w:hAnsi="MS PGothic"/>
                <w:sz w:val="14"/>
                <w:szCs w:val="14"/>
                <w:color w:val="auto"/>
                <w:w w:val="81"/>
              </w:rPr>
              <w:t>‑</w:t>
            </w:r>
            <w:r>
              <w:rPr>
                <w:rFonts w:ascii="Arial" w:cs="Arial" w:eastAsia="Arial" w:hAnsi="Arial"/>
                <w:sz w:val="14"/>
                <w:szCs w:val="14"/>
                <w:color w:val="auto"/>
                <w:w w:val="81"/>
              </w:rPr>
              <w:t>market</w:t>
            </w:r>
            <w:r>
              <w:rPr>
                <w:rFonts w:ascii="Arial" w:cs="Arial" w:eastAsia="Arial" w:hAnsi="Arial"/>
                <w:sz w:val="28"/>
                <w:szCs w:val="28"/>
                <w:b w:val="1"/>
                <w:bCs w:val="1"/>
                <w:color w:val="auto"/>
                <w:w w:val="81"/>
                <w:vertAlign w:val="subscript"/>
              </w:rPr>
              <w:t>to</w:t>
            </w:r>
            <w:r>
              <w:rPr>
                <w:rFonts w:ascii="Arial" w:cs="Arial" w:eastAsia="Arial" w:hAnsi="Arial"/>
                <w:sz w:val="14"/>
                <w:szCs w:val="14"/>
                <w:color w:val="auto"/>
                <w:w w:val="81"/>
              </w:rPr>
              <w:t xml:space="preserve"> losse</w:t>
            </w:r>
            <w:r>
              <w:rPr>
                <w:rFonts w:ascii="Arial" w:cs="Arial" w:eastAsia="Arial" w:hAnsi="Arial"/>
                <w:sz w:val="28"/>
                <w:szCs w:val="28"/>
                <w:b w:val="1"/>
                <w:bCs w:val="1"/>
                <w:color w:val="auto"/>
                <w:w w:val="81"/>
                <w:vertAlign w:val="subscript"/>
              </w:rPr>
              <w:t>Adju</w:t>
            </w:r>
            <w:r>
              <w:rPr>
                <w:rFonts w:ascii="Arial" w:cs="Arial" w:eastAsia="Arial" w:hAnsi="Arial"/>
                <w:sz w:val="14"/>
                <w:szCs w:val="14"/>
                <w:b w:val="1"/>
                <w:bCs w:val="1"/>
                <w:color w:val="auto"/>
                <w:w w:val="81"/>
              </w:rPr>
              <w:t>s</w:t>
            </w:r>
            <w:r>
              <w:rPr>
                <w:rFonts w:ascii="Arial" w:cs="Arial" w:eastAsia="Arial" w:hAnsi="Arial"/>
                <w:sz w:val="14"/>
                <w:szCs w:val="14"/>
                <w:color w:val="auto"/>
                <w:w w:val="81"/>
              </w:rPr>
              <w:t>/(gains)</w:t>
            </w:r>
            <w:r>
              <w:rPr>
                <w:rFonts w:ascii="Arial" w:cs="Arial" w:eastAsia="Arial" w:hAnsi="Arial"/>
                <w:sz w:val="28"/>
                <w:szCs w:val="28"/>
                <w:b w:val="1"/>
                <w:bCs w:val="1"/>
                <w:color w:val="auto"/>
                <w:w w:val="81"/>
                <w:vertAlign w:val="subscript"/>
              </w:rPr>
              <w:t>tedGross</w:t>
            </w:r>
            <w:r>
              <w:rPr>
                <w:rFonts w:ascii="Arial" w:cs="Arial" w:eastAsia="Arial" w:hAnsi="Arial"/>
                <w:sz w:val="14"/>
                <w:szCs w:val="14"/>
                <w:color w:val="auto"/>
                <w:w w:val="81"/>
              </w:rPr>
              <w:t>from</w:t>
            </w:r>
            <w:r>
              <w:rPr>
                <w:rFonts w:ascii="Arial" w:cs="Arial" w:eastAsia="Arial" w:hAnsi="Arial"/>
                <w:sz w:val="28"/>
                <w:szCs w:val="28"/>
                <w:b w:val="1"/>
                <w:bCs w:val="1"/>
                <w:color w:val="auto"/>
                <w:w w:val="81"/>
                <w:vertAlign w:val="subscript"/>
              </w:rPr>
              <w:t>Profit</w:t>
            </w:r>
            <w:r>
              <w:rPr>
                <w:rFonts w:ascii="Arial" w:cs="Arial" w:eastAsia="Arial" w:hAnsi="Arial"/>
                <w:sz w:val="14"/>
                <w:szCs w:val="14"/>
                <w:color w:val="auto"/>
                <w:w w:val="81"/>
              </w:rPr>
              <w:t>derivatives</w:t>
            </w:r>
          </w:p>
        </w:tc>
        <w:tc>
          <w:tcPr>
            <w:tcW w:w="560" w:type="dxa"/>
            <w:vAlign w:val="bottom"/>
          </w:tcPr>
          <w:p>
            <w:pPr>
              <w:spacing w:after="0"/>
              <w:rPr>
                <w:sz w:val="23"/>
                <w:szCs w:val="23"/>
                <w:color w:val="auto"/>
              </w:rPr>
            </w:pPr>
          </w:p>
        </w:tc>
        <w:tc>
          <w:tcPr>
            <w:tcW w:w="3760" w:type="dxa"/>
            <w:vAlign w:val="bottom"/>
            <w:gridSpan w:val="6"/>
          </w:tcPr>
          <w:p>
            <w:pPr>
              <w:jc w:val="right"/>
              <w:ind w:right="588"/>
              <w:spacing w:after="0"/>
              <w:rPr>
                <w:sz w:val="20"/>
                <w:szCs w:val="20"/>
                <w:color w:val="auto"/>
              </w:rPr>
            </w:pPr>
            <w:r>
              <w:rPr>
                <w:rFonts w:ascii="Arial" w:cs="Arial" w:eastAsia="Arial" w:hAnsi="Arial"/>
                <w:sz w:val="14"/>
                <w:szCs w:val="14"/>
                <w:b w:val="1"/>
                <w:bCs w:val="1"/>
                <w:color w:val="auto"/>
              </w:rPr>
              <w:t>For the Twelve Months Ended December 31,</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jc w:val="right"/>
              <w:ind w:right="189"/>
              <w:spacing w:after="0" w:line="68" w:lineRule="exact"/>
              <w:rPr>
                <w:sz w:val="20"/>
                <w:szCs w:val="20"/>
                <w:color w:val="auto"/>
              </w:rPr>
            </w:pPr>
            <w:r>
              <w:rPr>
                <w:rFonts w:ascii="Arial" w:cs="Arial" w:eastAsia="Arial" w:hAnsi="Arial"/>
                <w:sz w:val="7"/>
                <w:szCs w:val="7"/>
                <w:color w:val="auto"/>
              </w:rPr>
              <w:t>1,345</w:t>
            </w:r>
          </w:p>
        </w:tc>
        <w:tc>
          <w:tcPr>
            <w:tcW w:w="360" w:type="dxa"/>
            <w:vAlign w:val="bottom"/>
          </w:tcPr>
          <w:p>
            <w:pPr>
              <w:spacing w:after="0"/>
              <w:rPr>
                <w:sz w:val="5"/>
                <w:szCs w:val="5"/>
                <w:color w:val="auto"/>
              </w:rPr>
            </w:pPr>
          </w:p>
        </w:tc>
        <w:tc>
          <w:tcPr>
            <w:tcW w:w="720" w:type="dxa"/>
            <w:vAlign w:val="bottom"/>
          </w:tcPr>
          <w:p>
            <w:pPr>
              <w:jc w:val="right"/>
              <w:ind w:right="109"/>
              <w:spacing w:after="0" w:line="68" w:lineRule="exact"/>
              <w:rPr>
                <w:sz w:val="20"/>
                <w:szCs w:val="20"/>
                <w:color w:val="auto"/>
              </w:rPr>
            </w:pPr>
            <w:r>
              <w:rPr>
                <w:rFonts w:ascii="Arial" w:cs="Arial" w:eastAsia="Arial" w:hAnsi="Arial"/>
                <w:sz w:val="7"/>
                <w:szCs w:val="7"/>
                <w:color w:val="auto"/>
              </w:rPr>
              <w:t>(550)</w:t>
            </w:r>
          </w:p>
        </w:tc>
        <w:tc>
          <w:tcPr>
            <w:tcW w:w="380" w:type="dxa"/>
            <w:vAlign w:val="bottom"/>
          </w:tcPr>
          <w:p>
            <w:pPr>
              <w:spacing w:after="0"/>
              <w:rPr>
                <w:sz w:val="5"/>
                <w:szCs w:val="5"/>
                <w:color w:val="auto"/>
              </w:rPr>
            </w:pPr>
          </w:p>
        </w:tc>
        <w:tc>
          <w:tcPr>
            <w:tcW w:w="700" w:type="dxa"/>
            <w:vAlign w:val="bottom"/>
          </w:tcPr>
          <w:p>
            <w:pPr>
              <w:jc w:val="right"/>
              <w:ind w:right="69"/>
              <w:spacing w:after="0" w:line="68" w:lineRule="exact"/>
              <w:rPr>
                <w:sz w:val="20"/>
                <w:szCs w:val="20"/>
                <w:color w:val="auto"/>
              </w:rPr>
            </w:pPr>
            <w:r>
              <w:rPr>
                <w:rFonts w:ascii="Arial" w:cs="Arial" w:eastAsia="Arial" w:hAnsi="Arial"/>
                <w:sz w:val="7"/>
                <w:szCs w:val="7"/>
                <w:color w:val="auto"/>
              </w:rPr>
              <w:t>1,895</w:t>
            </w: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20" w:type="dxa"/>
            <w:vAlign w:val="bottom"/>
            <w:vMerge w:val="continue"/>
          </w:tcPr>
          <w:p>
            <w:pPr>
              <w:spacing w:after="0"/>
              <w:rPr>
                <w:sz w:val="2"/>
                <w:szCs w:val="2"/>
                <w:color w:val="auto"/>
              </w:rPr>
            </w:pPr>
          </w:p>
        </w:tc>
        <w:tc>
          <w:tcPr>
            <w:tcW w:w="4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(In millions of U.S. dollars) (Unaudited)</w:t>
            </w: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tcPr>
          <w:p>
            <w:pPr>
              <w:ind w:left="40"/>
              <w:spacing w:after="0"/>
              <w:rPr>
                <w:sz w:val="20"/>
                <w:szCs w:val="20"/>
                <w:color w:val="auto"/>
              </w:rPr>
            </w:pPr>
            <w:r>
              <w:rPr>
                <w:rFonts w:ascii="Arial" w:cs="Arial" w:eastAsia="Arial" w:hAnsi="Arial"/>
                <w:sz w:val="14"/>
                <w:szCs w:val="14"/>
                <w:color w:val="auto"/>
              </w:rPr>
              <w:t>Acquisition-related items</w:t>
            </w:r>
          </w:p>
        </w:tc>
        <w:tc>
          <w:tcPr>
            <w:tcW w:w="560" w:type="dxa"/>
            <w:vAlign w:val="bottom"/>
          </w:tcPr>
          <w:p>
            <w:pPr>
              <w:spacing w:after="0"/>
              <w:rPr>
                <w:sz w:val="16"/>
                <w:szCs w:val="16"/>
                <w:color w:val="auto"/>
              </w:rPr>
            </w:pPr>
          </w:p>
        </w:tc>
        <w:tc>
          <w:tcPr>
            <w:tcW w:w="760" w:type="dxa"/>
            <w:vAlign w:val="bottom"/>
          </w:tcPr>
          <w:p>
            <w:pPr>
              <w:jc w:val="right"/>
              <w:ind w:right="149"/>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6"/>
                <w:szCs w:val="16"/>
                <w:color w:val="auto"/>
              </w:rPr>
            </w:pP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15</w:t>
            </w:r>
          </w:p>
        </w:tc>
        <w:tc>
          <w:tcPr>
            <w:tcW w:w="38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(17)</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00" w:type="dxa"/>
            <w:vAlign w:val="bottom"/>
          </w:tcPr>
          <w:p>
            <w:pPr>
              <w:ind w:left="40"/>
              <w:spacing w:after="0"/>
              <w:rPr>
                <w:sz w:val="20"/>
                <w:szCs w:val="20"/>
                <w:color w:val="auto"/>
              </w:rPr>
            </w:pPr>
            <w:r>
              <w:rPr>
                <w:rFonts w:ascii="Arial" w:cs="Arial" w:eastAsia="Arial" w:hAnsi="Arial"/>
                <w:sz w:val="14"/>
                <w:szCs w:val="14"/>
                <w:color w:val="auto"/>
              </w:rPr>
              <w:t>Divestiture-related items</w:t>
            </w:r>
          </w:p>
        </w:tc>
        <w:tc>
          <w:tcPr>
            <w:tcW w:w="560" w:type="dxa"/>
            <w:vAlign w:val="bottom"/>
          </w:tcPr>
          <w:p>
            <w:pPr>
              <w:spacing w:after="0"/>
              <w:rPr>
                <w:sz w:val="16"/>
                <w:szCs w:val="16"/>
                <w:color w:val="auto"/>
              </w:rPr>
            </w:pPr>
          </w:p>
        </w:tc>
        <w:tc>
          <w:tcPr>
            <w:tcW w:w="760" w:type="dxa"/>
            <w:vAlign w:val="bottom"/>
          </w:tcPr>
          <w:p>
            <w:pPr>
              <w:jc w:val="right"/>
              <w:ind w:right="189"/>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6"/>
                <w:szCs w:val="16"/>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3</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Pr>
          <w:p>
            <w:pPr>
              <w:ind w:left="40"/>
              <w:spacing w:after="0"/>
              <w:rPr>
                <w:sz w:val="20"/>
                <w:szCs w:val="20"/>
                <w:color w:val="auto"/>
              </w:rPr>
            </w:pPr>
            <w:r>
              <w:rPr>
                <w:rFonts w:ascii="Arial" w:cs="Arial" w:eastAsia="Arial" w:hAnsi="Arial"/>
                <w:sz w:val="14"/>
                <w:szCs w:val="14"/>
                <w:color w:val="auto"/>
              </w:rPr>
              <w:t>Operating results from short-term distributor agreements</w:t>
            </w:r>
          </w:p>
        </w:tc>
        <w:tc>
          <w:tcPr>
            <w:tcW w:w="560" w:type="dxa"/>
            <w:vAlign w:val="bottom"/>
          </w:tcPr>
          <w:p>
            <w:pPr>
              <w:spacing w:after="0"/>
              <w:rPr>
                <w:sz w:val="22"/>
                <w:szCs w:val="22"/>
                <w:color w:val="auto"/>
              </w:rPr>
            </w:pPr>
          </w:p>
        </w:tc>
        <w:tc>
          <w:tcPr>
            <w:tcW w:w="7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22"/>
                <w:szCs w:val="22"/>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3</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Pr>
          <w:p>
            <w:pPr>
              <w:ind w:left="40"/>
              <w:spacing w:after="0"/>
              <w:rPr>
                <w:sz w:val="20"/>
                <w:szCs w:val="20"/>
                <w:color w:val="auto"/>
              </w:rPr>
            </w:pPr>
            <w:r>
              <w:rPr>
                <w:rFonts w:ascii="Arial" w:cs="Arial" w:eastAsia="Arial" w:hAnsi="Arial"/>
                <w:sz w:val="14"/>
                <w:szCs w:val="14"/>
                <w:color w:val="auto"/>
              </w:rPr>
              <w:t>Incremental costs due to war in Ukraine</w:t>
            </w:r>
          </w:p>
        </w:tc>
        <w:tc>
          <w:tcPr>
            <w:tcW w:w="560" w:type="dxa"/>
            <w:vAlign w:val="bottom"/>
          </w:tcPr>
          <w:p>
            <w:pPr>
              <w:spacing w:after="0"/>
              <w:rPr>
                <w:sz w:val="22"/>
                <w:szCs w:val="22"/>
                <w:color w:val="auto"/>
              </w:rPr>
            </w:pPr>
          </w:p>
        </w:tc>
        <w:tc>
          <w:tcPr>
            <w:tcW w:w="760" w:type="dxa"/>
            <w:vAlign w:val="bottom"/>
          </w:tcPr>
          <w:p>
            <w:pPr>
              <w:jc w:val="right"/>
              <w:ind w:right="189"/>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22"/>
                <w:szCs w:val="22"/>
                <w:color w:val="auto"/>
              </w:rPr>
            </w:pP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00" w:type="dxa"/>
            <w:vAlign w:val="bottom"/>
          </w:tcPr>
          <w:p>
            <w:pPr>
              <w:ind w:left="40"/>
              <w:spacing w:after="0"/>
              <w:rPr>
                <w:sz w:val="20"/>
                <w:szCs w:val="20"/>
                <w:color w:val="auto"/>
              </w:rPr>
            </w:pPr>
            <w:r>
              <w:rPr>
                <w:rFonts w:ascii="Arial" w:cs="Arial" w:eastAsia="Arial" w:hAnsi="Arial"/>
                <w:sz w:val="14"/>
                <w:szCs w:val="14"/>
                <w:color w:val="auto"/>
              </w:rPr>
              <w:t>ERP System Implementation costs</w:t>
            </w:r>
          </w:p>
        </w:tc>
        <w:tc>
          <w:tcPr>
            <w:tcW w:w="560" w:type="dxa"/>
            <w:vAlign w:val="bottom"/>
          </w:tcPr>
          <w:p>
            <w:pPr>
              <w:spacing w:after="0"/>
              <w:rPr>
                <w:sz w:val="22"/>
                <w:szCs w:val="22"/>
                <w:color w:val="auto"/>
              </w:rPr>
            </w:pPr>
          </w:p>
        </w:tc>
        <w:tc>
          <w:tcPr>
            <w:tcW w:w="760" w:type="dxa"/>
            <w:vAlign w:val="bottom"/>
          </w:tcPr>
          <w:p>
            <w:pPr>
              <w:jc w:val="right"/>
              <w:ind w:right="189"/>
              <w:spacing w:after="0"/>
              <w:rPr>
                <w:sz w:val="20"/>
                <w:szCs w:val="20"/>
                <w:color w:val="auto"/>
              </w:rPr>
            </w:pPr>
            <w:r>
              <w:rPr>
                <w:rFonts w:ascii="Arial" w:cs="Arial" w:eastAsia="Arial" w:hAnsi="Arial"/>
                <w:sz w:val="14"/>
                <w:szCs w:val="14"/>
                <w:color w:val="auto"/>
              </w:rPr>
              <w:t>27</w:t>
            </w:r>
          </w:p>
        </w:tc>
        <w:tc>
          <w:tcPr>
            <w:tcW w:w="360" w:type="dxa"/>
            <w:vAlign w:val="bottom"/>
          </w:tcPr>
          <w:p>
            <w:pPr>
              <w:spacing w:after="0"/>
              <w:rPr>
                <w:sz w:val="22"/>
                <w:szCs w:val="22"/>
                <w:color w:val="auto"/>
              </w:rPr>
            </w:pP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14</w:t>
            </w:r>
          </w:p>
        </w:tc>
        <w:tc>
          <w:tcPr>
            <w:tcW w:w="380" w:type="dxa"/>
            <w:vAlign w:val="bottom"/>
          </w:tcPr>
          <w:p>
            <w:pPr>
              <w:spacing w:after="0"/>
              <w:rPr>
                <w:sz w:val="22"/>
                <w:szCs w:val="22"/>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13</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Pr>
          <w:p>
            <w:pPr>
              <w:ind w:left="40"/>
              <w:spacing w:after="0"/>
              <w:rPr>
                <w:sz w:val="20"/>
                <w:szCs w:val="20"/>
                <w:color w:val="auto"/>
              </w:rPr>
            </w:pPr>
            <w:r>
              <w:rPr>
                <w:rFonts w:ascii="Arial" w:cs="Arial" w:eastAsia="Arial" w:hAnsi="Arial"/>
                <w:sz w:val="14"/>
                <w:szCs w:val="14"/>
                <w:color w:val="auto"/>
              </w:rPr>
              <w:t>Remeasurement of net monetary position</w:t>
            </w:r>
          </w:p>
        </w:tc>
        <w:tc>
          <w:tcPr>
            <w:tcW w:w="560" w:type="dxa"/>
            <w:vAlign w:val="bottom"/>
          </w:tcPr>
          <w:p>
            <w:pPr>
              <w:spacing w:after="0"/>
              <w:rPr>
                <w:sz w:val="22"/>
                <w:szCs w:val="22"/>
                <w:color w:val="auto"/>
              </w:rPr>
            </w:pPr>
          </w:p>
        </w:tc>
        <w:tc>
          <w:tcPr>
            <w:tcW w:w="760" w:type="dxa"/>
            <w:vAlign w:val="bottom"/>
          </w:tcPr>
          <w:p>
            <w:pPr>
              <w:jc w:val="right"/>
              <w:ind w:right="149"/>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22"/>
                <w:szCs w:val="22"/>
                <w:color w:val="auto"/>
              </w:rPr>
            </w:pP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700" w:type="dxa"/>
            <w:vAlign w:val="bottom"/>
          </w:tcPr>
          <w:p>
            <w:pPr>
              <w:ind w:left="40"/>
              <w:spacing w:after="0" w:line="161" w:lineRule="exact"/>
              <w:rPr>
                <w:sz w:val="20"/>
                <w:szCs w:val="20"/>
                <w:color w:val="auto"/>
              </w:rPr>
            </w:pPr>
            <w:r>
              <w:rPr>
                <w:rFonts w:ascii="Arial" w:cs="Arial" w:eastAsia="Arial" w:hAnsi="Arial"/>
                <w:sz w:val="14"/>
                <w:szCs w:val="14"/>
                <w:b w:val="1"/>
                <w:bCs w:val="1"/>
                <w:color w:val="auto"/>
              </w:rPr>
              <w:t>Adjusted (Non</w:t>
            </w:r>
            <w:r>
              <w:rPr>
                <w:rFonts w:ascii="MS PGothic" w:cs="MS PGothic" w:eastAsia="MS PGothic" w:hAnsi="MS PGothic"/>
                <w:sz w:val="14"/>
                <w:szCs w:val="14"/>
                <w:color w:val="auto"/>
                <w:strike w:val="1"/>
              </w:rPr>
              <w:t>‑</w:t>
            </w:r>
            <w:r>
              <w:rPr>
                <w:rFonts w:ascii="Arial" w:cs="Arial" w:eastAsia="Arial" w:hAnsi="Arial"/>
                <w:sz w:val="14"/>
                <w:szCs w:val="14"/>
                <w:b w:val="1"/>
                <w:bCs w:val="1"/>
                <w:color w:val="auto"/>
              </w:rPr>
              <w:t>GAAP)</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189"/>
              <w:spacing w:after="0"/>
              <w:rPr>
                <w:sz w:val="20"/>
                <w:szCs w:val="20"/>
                <w:color w:val="auto"/>
              </w:rPr>
            </w:pPr>
            <w:r>
              <w:rPr>
                <w:rFonts w:ascii="Arial" w:cs="Arial" w:eastAsia="Arial" w:hAnsi="Arial"/>
                <w:sz w:val="14"/>
                <w:szCs w:val="14"/>
                <w:b w:val="1"/>
                <w:bCs w:val="1"/>
                <w:color w:val="auto"/>
              </w:rPr>
              <w:t>12,303</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49"/>
              <w:spacing w:after="0"/>
              <w:rPr>
                <w:sz w:val="20"/>
                <w:szCs w:val="20"/>
                <w:color w:val="auto"/>
              </w:rPr>
            </w:pPr>
            <w:r>
              <w:rPr>
                <w:rFonts w:ascii="Arial" w:cs="Arial" w:eastAsia="Arial" w:hAnsi="Arial"/>
                <w:sz w:val="14"/>
                <w:szCs w:val="14"/>
                <w:b w:val="1"/>
                <w:bCs w:val="1"/>
                <w:color w:val="auto"/>
              </w:rPr>
              <w:t>13,763</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b w:val="1"/>
                <w:bCs w:val="1"/>
                <w:color w:val="auto"/>
              </w:rPr>
              <w:t>(1,460)</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Pr>
          <w:p>
            <w:pPr>
              <w:ind w:left="40"/>
              <w:spacing w:after="0"/>
              <w:rPr>
                <w:sz w:val="20"/>
                <w:szCs w:val="20"/>
                <w:color w:val="auto"/>
              </w:rPr>
            </w:pPr>
            <w:r>
              <w:rPr>
                <w:rFonts w:ascii="Arial" w:cs="Arial" w:eastAsia="Arial" w:hAnsi="Arial"/>
                <w:sz w:val="14"/>
                <w:szCs w:val="14"/>
                <w:color w:val="auto"/>
              </w:rPr>
              <w:t>Currency-related items</w:t>
            </w:r>
          </w:p>
        </w:tc>
        <w:tc>
          <w:tcPr>
            <w:tcW w:w="560" w:type="dxa"/>
            <w:vAlign w:val="bottom"/>
          </w:tcPr>
          <w:p>
            <w:pPr>
              <w:spacing w:after="0"/>
              <w:rPr>
                <w:sz w:val="20"/>
                <w:szCs w:val="20"/>
                <w:color w:val="auto"/>
              </w:rPr>
            </w:pPr>
          </w:p>
        </w:tc>
        <w:tc>
          <w:tcPr>
            <w:tcW w:w="760" w:type="dxa"/>
            <w:vAlign w:val="bottom"/>
          </w:tcPr>
          <w:p>
            <w:pPr>
              <w:jc w:val="right"/>
              <w:ind w:right="149"/>
              <w:spacing w:after="0"/>
              <w:rPr>
                <w:sz w:val="20"/>
                <w:szCs w:val="20"/>
                <w:color w:val="auto"/>
              </w:rPr>
            </w:pPr>
            <w:r>
              <w:rPr>
                <w:rFonts w:ascii="Arial" w:cs="Arial" w:eastAsia="Arial" w:hAnsi="Arial"/>
                <w:sz w:val="14"/>
                <w:szCs w:val="14"/>
                <w:color w:val="auto"/>
              </w:rPr>
              <w:t>(105)</w:t>
            </w:r>
          </w:p>
        </w:tc>
        <w:tc>
          <w:tcPr>
            <w:tcW w:w="360" w:type="dxa"/>
            <w:vAlign w:val="bottom"/>
          </w:tcPr>
          <w:p>
            <w:pPr>
              <w:spacing w:after="0"/>
              <w:rPr>
                <w:sz w:val="20"/>
                <w:szCs w:val="20"/>
                <w:color w:val="auto"/>
              </w:rPr>
            </w:pP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(105)</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700" w:type="dxa"/>
            <w:vAlign w:val="bottom"/>
          </w:tcPr>
          <w:p>
            <w:pPr>
              <w:ind w:left="40"/>
              <w:spacing w:after="0" w:line="161" w:lineRule="exact"/>
              <w:rPr>
                <w:sz w:val="20"/>
                <w:szCs w:val="20"/>
                <w:color w:val="auto"/>
              </w:rPr>
            </w:pPr>
            <w:r>
              <w:rPr>
                <w:rFonts w:ascii="Arial" w:cs="Arial" w:eastAsia="Arial" w:hAnsi="Arial"/>
                <w:sz w:val="14"/>
                <w:szCs w:val="14"/>
                <w:b w:val="1"/>
                <w:bCs w:val="1"/>
                <w:color w:val="auto"/>
              </w:rPr>
              <w:t>Adjusted @ Constant FX (Non</w:t>
            </w:r>
            <w:r>
              <w:rPr>
                <w:rFonts w:ascii="MS PGothic" w:cs="MS PGothic" w:eastAsia="MS PGothic" w:hAnsi="MS PGothic"/>
                <w:sz w:val="14"/>
                <w:szCs w:val="14"/>
                <w:color w:val="auto"/>
                <w:strike w:val="1"/>
              </w:rPr>
              <w:t>‑</w:t>
            </w:r>
            <w:r>
              <w:rPr>
                <w:rFonts w:ascii="Arial" w:cs="Arial" w:eastAsia="Arial" w:hAnsi="Arial"/>
                <w:sz w:val="14"/>
                <w:szCs w:val="14"/>
                <w:b w:val="1"/>
                <w:bCs w:val="1"/>
                <w:color w:val="auto"/>
              </w:rPr>
              <w:t>GAAP)</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189"/>
              <w:spacing w:after="0"/>
              <w:rPr>
                <w:sz w:val="20"/>
                <w:szCs w:val="20"/>
                <w:color w:val="auto"/>
              </w:rPr>
            </w:pPr>
            <w:r>
              <w:rPr>
                <w:rFonts w:ascii="Arial" w:cs="Arial" w:eastAsia="Arial" w:hAnsi="Arial"/>
                <w:sz w:val="14"/>
                <w:szCs w:val="14"/>
                <w:b w:val="1"/>
                <w:bCs w:val="1"/>
                <w:color w:val="auto"/>
              </w:rPr>
              <w:t>12,198</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49"/>
              <w:spacing w:after="0"/>
              <w:rPr>
                <w:sz w:val="20"/>
                <w:szCs w:val="20"/>
                <w:color w:val="auto"/>
              </w:rPr>
            </w:pPr>
            <w:r>
              <w:rPr>
                <w:rFonts w:ascii="Arial" w:cs="Arial" w:eastAsia="Arial" w:hAnsi="Arial"/>
                <w:sz w:val="14"/>
                <w:szCs w:val="14"/>
                <w:b w:val="1"/>
                <w:bCs w:val="1"/>
                <w:color w:val="auto"/>
              </w:rPr>
              <w:t>13,763</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69"/>
              <w:spacing w:after="0"/>
              <w:rPr>
                <w:sz w:val="20"/>
                <w:szCs w:val="20"/>
                <w:color w:val="auto"/>
              </w:rPr>
            </w:pPr>
            <w:r>
              <w:rPr>
                <w:rFonts w:ascii="Arial" w:cs="Arial" w:eastAsia="Arial" w:hAnsi="Arial"/>
                <w:sz w:val="14"/>
                <w:szCs w:val="14"/>
                <w:b w:val="1"/>
                <w:bCs w:val="1"/>
                <w:color w:val="auto"/>
              </w:rPr>
              <w:t>1,565</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0" w:type="dxa"/>
            <w:vAlign w:val="bottom"/>
          </w:tcPr>
          <w:p>
            <w:pPr>
              <w:spacing w:after="0"/>
              <w:rPr>
                <w:sz w:val="1"/>
                <w:szCs w:val="1"/>
                <w:color w:val="auto"/>
              </w:rPr>
            </w:pPr>
          </w:p>
        </w:tc>
      </w:tr>
      <w:tr>
        <w:trPr>
          <w:trHeight w:val="137"/>
        </w:trPr>
        <w:tc>
          <w:tcPr>
            <w:tcW w:w="20" w:type="dxa"/>
            <w:vAlign w:val="bottom"/>
            <w:tcBorders>
              <w:bottom w:val="single" w:sz="8" w:color="582C83"/>
            </w:tcBorders>
          </w:tcPr>
          <w:p>
            <w:pPr>
              <w:spacing w:after="0"/>
              <w:rPr>
                <w:sz w:val="11"/>
                <w:szCs w:val="11"/>
                <w:color w:val="auto"/>
              </w:rPr>
            </w:pPr>
          </w:p>
        </w:tc>
        <w:tc>
          <w:tcPr>
            <w:tcW w:w="4700" w:type="dxa"/>
            <w:vAlign w:val="bottom"/>
            <w:tcBorders>
              <w:bottom w:val="single" w:sz="8" w:color="582C83"/>
            </w:tcBorders>
          </w:tcPr>
          <w:p>
            <w:pPr>
              <w:spacing w:after="0"/>
              <w:rPr>
                <w:sz w:val="11"/>
                <w:szCs w:val="11"/>
                <w:color w:val="auto"/>
              </w:rPr>
            </w:pPr>
          </w:p>
        </w:tc>
        <w:tc>
          <w:tcPr>
            <w:tcW w:w="560" w:type="dxa"/>
            <w:vAlign w:val="bottom"/>
            <w:tcBorders>
              <w:bottom w:val="single" w:sz="8" w:color="582C83"/>
            </w:tcBorders>
          </w:tcPr>
          <w:p>
            <w:pPr>
              <w:spacing w:after="0"/>
              <w:rPr>
                <w:sz w:val="11"/>
                <w:szCs w:val="11"/>
                <w:color w:val="auto"/>
              </w:rPr>
            </w:pPr>
          </w:p>
        </w:tc>
        <w:tc>
          <w:tcPr>
            <w:tcW w:w="3760" w:type="dxa"/>
            <w:vAlign w:val="bottom"/>
            <w:tcBorders>
              <w:bottom w:val="single" w:sz="8" w:color="582C83"/>
            </w:tcBorders>
            <w:gridSpan w:val="6"/>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Operating Income to Adjusted Operating Income</w:t>
            </w:r>
          </w:p>
        </w:tc>
        <w:tc>
          <w:tcPr>
            <w:tcW w:w="560" w:type="dxa"/>
            <w:vAlign w:val="bottom"/>
            <w:tcBorders>
              <w:bottom w:val="single" w:sz="8" w:color="582C83"/>
            </w:tcBorders>
          </w:tcPr>
          <w:p>
            <w:pPr>
              <w:spacing w:after="0"/>
              <w:rPr>
                <w:sz w:val="22"/>
                <w:szCs w:val="22"/>
                <w:color w:val="auto"/>
              </w:rPr>
            </w:pPr>
          </w:p>
        </w:tc>
        <w:tc>
          <w:tcPr>
            <w:tcW w:w="3760" w:type="dxa"/>
            <w:vAlign w:val="bottom"/>
            <w:tcBorders>
              <w:bottom w:val="single" w:sz="8" w:color="582C83"/>
            </w:tcBorders>
            <w:gridSpan w:val="6"/>
          </w:tcPr>
          <w:p>
            <w:pPr>
              <w:jc w:val="right"/>
              <w:ind w:right="588"/>
              <w:spacing w:after="0"/>
              <w:rPr>
                <w:sz w:val="20"/>
                <w:szCs w:val="20"/>
                <w:color w:val="auto"/>
              </w:rPr>
            </w:pPr>
            <w:r>
              <w:rPr>
                <w:rFonts w:ascii="Arial" w:cs="Arial" w:eastAsia="Arial" w:hAnsi="Arial"/>
                <w:sz w:val="14"/>
                <w:szCs w:val="14"/>
                <w:b w:val="1"/>
                <w:bCs w:val="1"/>
                <w:color w:val="auto"/>
              </w:rPr>
              <w:t>For the Twelve Months Ended 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3"/>
                <w:szCs w:val="3"/>
                <w:color w:val="auto"/>
              </w:rPr>
            </w:pPr>
          </w:p>
        </w:tc>
        <w:tc>
          <w:tcPr>
            <w:tcW w:w="72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2024</w:t>
            </w:r>
          </w:p>
        </w:tc>
        <w:tc>
          <w:tcPr>
            <w:tcW w:w="3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Change</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Borders>
              <w:bottom w:val="single" w:sz="8" w:color="5A095E"/>
            </w:tcBorders>
          </w:tcPr>
          <w:p>
            <w:pPr>
              <w:ind w:left="40"/>
              <w:spacing w:after="0" w:line="158" w:lineRule="exact"/>
              <w:rPr>
                <w:sz w:val="20"/>
                <w:szCs w:val="20"/>
                <w:color w:val="auto"/>
              </w:rPr>
            </w:pPr>
            <w:r>
              <w:rPr>
                <w:rFonts w:ascii="Arial" w:cs="Arial" w:eastAsia="Arial" w:hAnsi="Arial"/>
                <w:sz w:val="14"/>
                <w:szCs w:val="14"/>
                <w:b w:val="1"/>
                <w:bCs w:val="1"/>
                <w:color w:val="auto"/>
              </w:rPr>
              <w:t>(In millions of U.S. dollars) (Unaudited)</w:t>
            </w:r>
          </w:p>
        </w:tc>
        <w:tc>
          <w:tcPr>
            <w:tcW w:w="560" w:type="dxa"/>
            <w:vAlign w:val="bottom"/>
            <w:tcBorders>
              <w:bottom w:val="single" w:sz="8" w:color="5A095E"/>
            </w:tcBorders>
          </w:tcPr>
          <w:p>
            <w:pPr>
              <w:spacing w:after="0"/>
              <w:rPr>
                <w:sz w:val="14"/>
                <w:szCs w:val="14"/>
                <w:color w:val="auto"/>
              </w:rPr>
            </w:pPr>
          </w:p>
        </w:tc>
        <w:tc>
          <w:tcPr>
            <w:tcW w:w="760" w:type="dxa"/>
            <w:vAlign w:val="bottom"/>
            <w:tcBorders>
              <w:bottom w:val="single" w:sz="8" w:color="5A095E"/>
            </w:tcBorders>
            <w:vMerge w:val="continue"/>
          </w:tcPr>
          <w:p>
            <w:pPr>
              <w:spacing w:after="0"/>
              <w:rPr>
                <w:sz w:val="14"/>
                <w:szCs w:val="14"/>
                <w:color w:val="auto"/>
              </w:rPr>
            </w:pPr>
          </w:p>
        </w:tc>
        <w:tc>
          <w:tcPr>
            <w:tcW w:w="360" w:type="dxa"/>
            <w:vAlign w:val="bottom"/>
            <w:tcBorders>
              <w:bottom w:val="single" w:sz="8" w:color="5A095E"/>
            </w:tcBorders>
          </w:tcPr>
          <w:p>
            <w:pPr>
              <w:spacing w:after="0"/>
              <w:rPr>
                <w:sz w:val="14"/>
                <w:szCs w:val="14"/>
                <w:color w:val="auto"/>
              </w:rPr>
            </w:pPr>
          </w:p>
        </w:tc>
        <w:tc>
          <w:tcPr>
            <w:tcW w:w="720" w:type="dxa"/>
            <w:vAlign w:val="bottom"/>
            <w:tcBorders>
              <w:bottom w:val="single" w:sz="8" w:color="5A095E"/>
            </w:tcBorders>
            <w:vMerge w:val="continue"/>
          </w:tcPr>
          <w:p>
            <w:pPr>
              <w:spacing w:after="0"/>
              <w:rPr>
                <w:sz w:val="14"/>
                <w:szCs w:val="14"/>
                <w:color w:val="auto"/>
              </w:rPr>
            </w:pPr>
          </w:p>
        </w:tc>
        <w:tc>
          <w:tcPr>
            <w:tcW w:w="380" w:type="dxa"/>
            <w:vAlign w:val="bottom"/>
            <w:tcBorders>
              <w:bottom w:val="single" w:sz="8" w:color="5A095E"/>
            </w:tcBorders>
            <w:vMerge w:val="continue"/>
          </w:tcPr>
          <w:p>
            <w:pPr>
              <w:spacing w:after="0"/>
              <w:rPr>
                <w:sz w:val="14"/>
                <w:szCs w:val="14"/>
                <w:color w:val="auto"/>
              </w:rPr>
            </w:pPr>
          </w:p>
        </w:tc>
        <w:tc>
          <w:tcPr>
            <w:tcW w:w="700" w:type="dxa"/>
            <w:vAlign w:val="bottom"/>
            <w:tcBorders>
              <w:bottom w:val="single" w:sz="8" w:color="5A095E"/>
            </w:tcBorders>
            <w:vMerge w:val="continue"/>
          </w:tcPr>
          <w:p>
            <w:pPr>
              <w:spacing w:after="0"/>
              <w:rPr>
                <w:sz w:val="14"/>
                <w:szCs w:val="14"/>
                <w:color w:val="auto"/>
              </w:rPr>
            </w:pPr>
          </w:p>
        </w:tc>
        <w:tc>
          <w:tcPr>
            <w:tcW w:w="840" w:type="dxa"/>
            <w:vAlign w:val="bottom"/>
            <w:tcBorders>
              <w:bottom w:val="single" w:sz="8" w:color="5A095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00" w:type="dxa"/>
            <w:vAlign w:val="bottom"/>
            <w:tcBorders>
              <w:bottom w:val="single" w:sz="8" w:color="582C83"/>
            </w:tcBorders>
            <w:shd w:val="clear" w:color="auto" w:fill="E0DBEA"/>
          </w:tcPr>
          <w:p>
            <w:pPr>
              <w:ind w:left="40"/>
              <w:spacing w:after="0"/>
              <w:rPr>
                <w:sz w:val="20"/>
                <w:szCs w:val="20"/>
                <w:color w:val="auto"/>
              </w:rPr>
            </w:pPr>
            <w:r>
              <w:rPr>
                <w:rFonts w:ascii="Arial" w:cs="Arial" w:eastAsia="Arial" w:hAnsi="Arial"/>
                <w:sz w:val="14"/>
                <w:szCs w:val="14"/>
                <w:b w:val="1"/>
                <w:bCs w:val="1"/>
                <w:color w:val="auto"/>
              </w:rPr>
              <w:t>Reported (GAAP)</w:t>
            </w:r>
          </w:p>
        </w:tc>
        <w:tc>
          <w:tcPr>
            <w:tcW w:w="56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582C83"/>
            </w:tcBorders>
            <w:shd w:val="clear" w:color="auto" w:fill="E0DBEA"/>
          </w:tcPr>
          <w:p>
            <w:pPr>
              <w:jc w:val="right"/>
              <w:ind w:right="189"/>
              <w:spacing w:after="0"/>
              <w:rPr>
                <w:sz w:val="20"/>
                <w:szCs w:val="20"/>
                <w:color w:val="auto"/>
              </w:rPr>
            </w:pPr>
            <w:r>
              <w:rPr>
                <w:rFonts w:ascii="Arial" w:cs="Arial" w:eastAsia="Arial" w:hAnsi="Arial"/>
                <w:sz w:val="14"/>
                <w:szCs w:val="14"/>
                <w:b w:val="1"/>
                <w:bCs w:val="1"/>
                <w:color w:val="auto"/>
              </w:rPr>
              <w:t>3,548</w:t>
            </w:r>
          </w:p>
        </w:tc>
        <w:tc>
          <w:tcPr>
            <w:tcW w:w="36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582C83"/>
            </w:tcBorders>
            <w:shd w:val="clear" w:color="auto" w:fill="E0DBEA"/>
          </w:tcPr>
          <w:p>
            <w:pPr>
              <w:jc w:val="right"/>
              <w:ind w:right="149"/>
              <w:spacing w:after="0"/>
              <w:rPr>
                <w:sz w:val="20"/>
                <w:szCs w:val="20"/>
                <w:color w:val="auto"/>
              </w:rPr>
            </w:pPr>
            <w:r>
              <w:rPr>
                <w:rFonts w:ascii="Arial" w:cs="Arial" w:eastAsia="Arial" w:hAnsi="Arial"/>
                <w:sz w:val="14"/>
                <w:szCs w:val="14"/>
                <w:b w:val="1"/>
                <w:bCs w:val="1"/>
                <w:color w:val="auto"/>
              </w:rPr>
              <w:t>6,345</w:t>
            </w:r>
          </w:p>
        </w:tc>
        <w:tc>
          <w:tcPr>
            <w:tcW w:w="38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582C83"/>
            </w:tcBorders>
            <w:shd w:val="clear" w:color="auto" w:fill="E0DBEA"/>
          </w:tcPr>
          <w:p>
            <w:pPr>
              <w:jc w:val="right"/>
              <w:ind w:right="29"/>
              <w:spacing w:after="0"/>
              <w:rPr>
                <w:sz w:val="20"/>
                <w:szCs w:val="20"/>
                <w:color w:val="auto"/>
              </w:rPr>
            </w:pPr>
            <w:r>
              <w:rPr>
                <w:rFonts w:ascii="Arial" w:cs="Arial" w:eastAsia="Arial" w:hAnsi="Arial"/>
                <w:sz w:val="14"/>
                <w:szCs w:val="14"/>
                <w:b w:val="1"/>
                <w:bCs w:val="1"/>
                <w:color w:val="auto"/>
              </w:rPr>
              <w:t>(2,797)</w:t>
            </w:r>
          </w:p>
        </w:tc>
        <w:tc>
          <w:tcPr>
            <w:tcW w:w="8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b w:val="1"/>
                <w:bCs w:val="1"/>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0"/>
              <w:spacing w:after="0"/>
              <w:rPr>
                <w:sz w:val="20"/>
                <w:szCs w:val="20"/>
                <w:color w:val="auto"/>
              </w:rPr>
            </w:pPr>
            <w:r>
              <w:rPr>
                <w:rFonts w:ascii="Arial" w:cs="Arial" w:eastAsia="Arial" w:hAnsi="Arial"/>
                <w:sz w:val="14"/>
                <w:szCs w:val="14"/>
                <w:color w:val="auto"/>
              </w:rPr>
              <w:t>Restructuring charges</w:t>
            </w:r>
          </w:p>
        </w:tc>
        <w:tc>
          <w:tcPr>
            <w:tcW w:w="560" w:type="dxa"/>
            <w:vAlign w:val="bottom"/>
          </w:tcPr>
          <w:p>
            <w:pPr>
              <w:spacing w:after="0"/>
              <w:rPr>
                <w:sz w:val="18"/>
                <w:szCs w:val="18"/>
                <w:color w:val="auto"/>
              </w:rPr>
            </w:pPr>
          </w:p>
        </w:tc>
        <w:tc>
          <w:tcPr>
            <w:tcW w:w="760" w:type="dxa"/>
            <w:vAlign w:val="bottom"/>
          </w:tcPr>
          <w:p>
            <w:pPr>
              <w:jc w:val="right"/>
              <w:ind w:right="149"/>
              <w:spacing w:after="0"/>
              <w:rPr>
                <w:sz w:val="20"/>
                <w:szCs w:val="20"/>
                <w:color w:val="auto"/>
              </w:rPr>
            </w:pPr>
            <w:r>
              <w:rPr>
                <w:rFonts w:ascii="Arial" w:cs="Arial" w:eastAsia="Arial" w:hAnsi="Arial"/>
                <w:sz w:val="14"/>
                <w:szCs w:val="14"/>
                <w:color w:val="auto"/>
              </w:rPr>
              <w:t>(3)</w:t>
            </w:r>
          </w:p>
        </w:tc>
        <w:tc>
          <w:tcPr>
            <w:tcW w:w="360" w:type="dxa"/>
            <w:vAlign w:val="bottom"/>
          </w:tcPr>
          <w:p>
            <w:pPr>
              <w:spacing w:after="0"/>
              <w:rPr>
                <w:sz w:val="18"/>
                <w:szCs w:val="18"/>
                <w:color w:val="auto"/>
              </w:rPr>
            </w:pP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149</w:t>
            </w:r>
          </w:p>
        </w:tc>
        <w:tc>
          <w:tcPr>
            <w:tcW w:w="380" w:type="dxa"/>
            <w:vAlign w:val="bottom"/>
          </w:tcPr>
          <w:p>
            <w:pPr>
              <w:spacing w:after="0"/>
              <w:rPr>
                <w:sz w:val="18"/>
                <w:szCs w:val="18"/>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(152)</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700" w:type="dxa"/>
            <w:vAlign w:val="bottom"/>
            <w:tcBorders>
              <w:bottom w:val="single" w:sz="8" w:color="582C83"/>
            </w:tcBorders>
          </w:tcPr>
          <w:p>
            <w:pPr>
              <w:spacing w:after="0" w:line="20" w:lineRule="exact"/>
              <w:rPr>
                <w:sz w:val="1"/>
                <w:szCs w:val="1"/>
                <w:color w:val="auto"/>
              </w:rPr>
            </w:pPr>
          </w:p>
        </w:tc>
        <w:tc>
          <w:tcPr>
            <w:tcW w:w="560" w:type="dxa"/>
            <w:vAlign w:val="bottom"/>
            <w:tcBorders>
              <w:bottom w:val="single" w:sz="8" w:color="582C83"/>
            </w:tcBorders>
          </w:tcPr>
          <w:p>
            <w:pPr>
              <w:spacing w:after="0" w:line="20" w:lineRule="exact"/>
              <w:rPr>
                <w:sz w:val="1"/>
                <w:szCs w:val="1"/>
                <w:color w:val="auto"/>
              </w:rPr>
            </w:pPr>
          </w:p>
        </w:tc>
        <w:tc>
          <w:tcPr>
            <w:tcW w:w="760" w:type="dxa"/>
            <w:vAlign w:val="bottom"/>
            <w:tcBorders>
              <w:bottom w:val="single" w:sz="8" w:color="582C83"/>
            </w:tcBorders>
          </w:tcPr>
          <w:p>
            <w:pPr>
              <w:spacing w:after="0" w:line="20" w:lineRule="exact"/>
              <w:rPr>
                <w:sz w:val="1"/>
                <w:szCs w:val="1"/>
                <w:color w:val="auto"/>
              </w:rPr>
            </w:pPr>
          </w:p>
        </w:tc>
        <w:tc>
          <w:tcPr>
            <w:tcW w:w="360" w:type="dxa"/>
            <w:vAlign w:val="bottom"/>
            <w:tcBorders>
              <w:bottom w:val="single" w:sz="8" w:color="582C83"/>
            </w:tcBorders>
          </w:tcPr>
          <w:p>
            <w:pPr>
              <w:spacing w:after="0" w:line="20" w:lineRule="exact"/>
              <w:rPr>
                <w:sz w:val="1"/>
                <w:szCs w:val="1"/>
                <w:color w:val="auto"/>
              </w:rPr>
            </w:pPr>
          </w:p>
        </w:tc>
        <w:tc>
          <w:tcPr>
            <w:tcW w:w="720" w:type="dxa"/>
            <w:vAlign w:val="bottom"/>
            <w:tcBorders>
              <w:bottom w:val="single" w:sz="8" w:color="582C83"/>
            </w:tcBorders>
          </w:tcPr>
          <w:p>
            <w:pPr>
              <w:spacing w:after="0" w:line="20" w:lineRule="exact"/>
              <w:rPr>
                <w:sz w:val="1"/>
                <w:szCs w:val="1"/>
                <w:color w:val="auto"/>
              </w:rPr>
            </w:pPr>
          </w:p>
        </w:tc>
        <w:tc>
          <w:tcPr>
            <w:tcW w:w="380" w:type="dxa"/>
            <w:vAlign w:val="bottom"/>
            <w:tcBorders>
              <w:bottom w:val="single" w:sz="8" w:color="582C83"/>
            </w:tcBorders>
          </w:tcPr>
          <w:p>
            <w:pPr>
              <w:spacing w:after="0" w:line="20" w:lineRule="exact"/>
              <w:rPr>
                <w:sz w:val="1"/>
                <w:szCs w:val="1"/>
                <w:color w:val="auto"/>
              </w:rPr>
            </w:pPr>
          </w:p>
        </w:tc>
        <w:tc>
          <w:tcPr>
            <w:tcW w:w="700" w:type="dxa"/>
            <w:vAlign w:val="bottom"/>
            <w:tcBorders>
              <w:bottom w:val="single" w:sz="8" w:color="582C83"/>
            </w:tcBorders>
          </w:tcPr>
          <w:p>
            <w:pPr>
              <w:spacing w:after="0" w:line="20" w:lineRule="exact"/>
              <w:rPr>
                <w:sz w:val="1"/>
                <w:szCs w:val="1"/>
                <w:color w:val="auto"/>
              </w:rPr>
            </w:pPr>
          </w:p>
        </w:tc>
        <w:tc>
          <w:tcPr>
            <w:tcW w:w="840" w:type="dxa"/>
            <w:vAlign w:val="bottom"/>
            <w:tcBorders>
              <w:bottom w:val="single" w:sz="8" w:color="582C8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700" w:type="dxa"/>
            <w:vAlign w:val="bottom"/>
            <w:tcBorders>
              <w:bottom w:val="single" w:sz="8" w:color="E0DBEA"/>
            </w:tcBorders>
            <w:shd w:val="clear" w:color="auto" w:fill="E0DBEA"/>
          </w:tcPr>
          <w:p>
            <w:pPr>
              <w:ind w:left="40"/>
              <w:spacing w:after="0"/>
              <w:rPr>
                <w:sz w:val="20"/>
                <w:szCs w:val="20"/>
                <w:color w:val="auto"/>
              </w:rPr>
            </w:pPr>
            <w:r>
              <w:rPr>
                <w:rFonts w:ascii="Arial" w:cs="Arial" w:eastAsia="Arial" w:hAnsi="Arial"/>
                <w:sz w:val="14"/>
                <w:szCs w:val="14"/>
                <w:color w:val="auto"/>
              </w:rPr>
              <w:t>Intangible asset impairment charges</w:t>
            </w:r>
          </w:p>
        </w:tc>
        <w:tc>
          <w:tcPr>
            <w:tcW w:w="560" w:type="dxa"/>
            <w:vAlign w:val="bottom"/>
            <w:tcBorders>
              <w:bottom w:val="single" w:sz="8" w:color="E0DBEA"/>
            </w:tcBorders>
            <w:shd w:val="clear" w:color="auto" w:fill="E0DBEA"/>
          </w:tcPr>
          <w:p>
            <w:pPr>
              <w:spacing w:after="0"/>
              <w:rPr>
                <w:sz w:val="20"/>
                <w:szCs w:val="20"/>
                <w:color w:val="auto"/>
              </w:rPr>
            </w:pPr>
          </w:p>
        </w:tc>
        <w:tc>
          <w:tcPr>
            <w:tcW w:w="760" w:type="dxa"/>
            <w:vAlign w:val="bottom"/>
            <w:tcBorders>
              <w:bottom w:val="single" w:sz="8" w:color="E0DBEA"/>
            </w:tcBorders>
            <w:shd w:val="clear" w:color="auto" w:fill="E0DBEA"/>
          </w:tcPr>
          <w:p>
            <w:pPr>
              <w:jc w:val="right"/>
              <w:ind w:right="189"/>
              <w:spacing w:after="0"/>
              <w:rPr>
                <w:sz w:val="20"/>
                <w:szCs w:val="20"/>
                <w:color w:val="auto"/>
              </w:rPr>
            </w:pPr>
            <w:r>
              <w:rPr>
                <w:rFonts w:ascii="Arial" w:cs="Arial" w:eastAsia="Arial" w:hAnsi="Arial"/>
                <w:sz w:val="14"/>
                <w:szCs w:val="14"/>
                <w:color w:val="auto"/>
              </w:rPr>
              <w:t>33</w:t>
            </w:r>
          </w:p>
        </w:tc>
        <w:tc>
          <w:tcPr>
            <w:tcW w:w="360" w:type="dxa"/>
            <w:vAlign w:val="bottom"/>
            <w:tcBorders>
              <w:bottom w:val="single" w:sz="8" w:color="E0DBEA"/>
            </w:tcBorders>
            <w:shd w:val="clear" w:color="auto" w:fill="E0DBEA"/>
          </w:tcPr>
          <w:p>
            <w:pPr>
              <w:spacing w:after="0"/>
              <w:rPr>
                <w:sz w:val="20"/>
                <w:szCs w:val="20"/>
                <w:color w:val="auto"/>
              </w:rPr>
            </w:pPr>
          </w:p>
        </w:tc>
        <w:tc>
          <w:tcPr>
            <w:tcW w:w="720" w:type="dxa"/>
            <w:vAlign w:val="bottom"/>
            <w:tcBorders>
              <w:bottom w:val="single" w:sz="8" w:color="E0DBEA"/>
            </w:tcBorders>
            <w:shd w:val="clear" w:color="auto" w:fill="E0DBEA"/>
          </w:tcPr>
          <w:p>
            <w:pPr>
              <w:jc w:val="right"/>
              <w:ind w:right="149"/>
              <w:spacing w:after="0"/>
              <w:rPr>
                <w:sz w:val="20"/>
                <w:szCs w:val="20"/>
                <w:color w:val="auto"/>
              </w:rPr>
            </w:pPr>
            <w:r>
              <w:rPr>
                <w:rFonts w:ascii="Arial" w:cs="Arial" w:eastAsia="Arial" w:hAnsi="Arial"/>
                <w:sz w:val="14"/>
                <w:szCs w:val="14"/>
                <w:color w:val="auto"/>
              </w:rPr>
              <w:t>153</w:t>
            </w:r>
          </w:p>
        </w:tc>
        <w:tc>
          <w:tcPr>
            <w:tcW w:w="380" w:type="dxa"/>
            <w:vAlign w:val="bottom"/>
            <w:tcBorders>
              <w:bottom w:val="single" w:sz="8" w:color="E0DBEA"/>
            </w:tcBorders>
            <w:shd w:val="clear" w:color="auto" w:fill="E0DBEA"/>
          </w:tcPr>
          <w:p>
            <w:pPr>
              <w:spacing w:after="0"/>
              <w:rPr>
                <w:sz w:val="20"/>
                <w:szCs w:val="20"/>
                <w:color w:val="auto"/>
              </w:rPr>
            </w:pPr>
          </w:p>
        </w:tc>
        <w:tc>
          <w:tcPr>
            <w:tcW w:w="700" w:type="dxa"/>
            <w:vAlign w:val="bottom"/>
            <w:tcBorders>
              <w:bottom w:val="single" w:sz="8" w:color="E0DBEA"/>
            </w:tcBorders>
            <w:shd w:val="clear" w:color="auto" w:fill="E0DBEA"/>
          </w:tcPr>
          <w:p>
            <w:pPr>
              <w:jc w:val="right"/>
              <w:ind w:right="29"/>
              <w:spacing w:after="0"/>
              <w:rPr>
                <w:sz w:val="20"/>
                <w:szCs w:val="20"/>
                <w:color w:val="auto"/>
              </w:rPr>
            </w:pPr>
            <w:r>
              <w:rPr>
                <w:rFonts w:ascii="Arial" w:cs="Arial" w:eastAsia="Arial" w:hAnsi="Arial"/>
                <w:sz w:val="14"/>
                <w:szCs w:val="14"/>
                <w:color w:val="auto"/>
              </w:rPr>
              <w:t>(120)</w:t>
            </w:r>
          </w:p>
        </w:tc>
        <w:tc>
          <w:tcPr>
            <w:tcW w:w="840" w:type="dxa"/>
            <w:vAlign w:val="bottom"/>
            <w:tcBorders>
              <w:bottom w:val="single" w:sz="8" w:color="E0DBEA"/>
            </w:tcBorders>
            <w:shd w:val="clear" w:color="auto" w:fill="E0DBEA"/>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00" w:type="dxa"/>
            <w:vAlign w:val="bottom"/>
            <w:tcBorders>
              <w:top w:val="single" w:sz="8" w:color="582C83"/>
              <w:bottom w:val="single" w:sz="8" w:color="582C83"/>
            </w:tcBorders>
          </w:tcPr>
          <w:p>
            <w:pPr>
              <w:ind w:left="40"/>
              <w:spacing w:after="0" w:line="161" w:lineRule="exact"/>
              <w:rPr>
                <w:sz w:val="20"/>
                <w:szCs w:val="20"/>
                <w:color w:val="auto"/>
              </w:rPr>
            </w:pPr>
            <w:r>
              <w:rPr>
                <w:rFonts w:ascii="Arial" w:cs="Arial" w:eastAsia="Arial" w:hAnsi="Arial"/>
                <w:sz w:val="14"/>
                <w:szCs w:val="14"/>
                <w:color w:val="auto"/>
              </w:rPr>
              <w:t>Mark</w:t>
            </w:r>
            <w:r>
              <w:rPr>
                <w:rFonts w:ascii="MS PGothic" w:cs="MS PGothic" w:eastAsia="MS PGothic" w:hAnsi="MS PGothic"/>
                <w:sz w:val="14"/>
                <w:szCs w:val="14"/>
                <w:color w:val="auto"/>
              </w:rPr>
              <w:t>‑</w:t>
            </w:r>
            <w:r>
              <w:rPr>
                <w:rFonts w:ascii="Arial" w:cs="Arial" w:eastAsia="Arial" w:hAnsi="Arial"/>
                <w:sz w:val="14"/>
                <w:szCs w:val="14"/>
                <w:color w:val="auto"/>
              </w:rPr>
              <w:t>to</w:t>
            </w:r>
            <w:r>
              <w:rPr>
                <w:rFonts w:ascii="MS PGothic" w:cs="MS PGothic" w:eastAsia="MS PGothic" w:hAnsi="MS PGothic"/>
                <w:sz w:val="14"/>
                <w:szCs w:val="14"/>
                <w:color w:val="auto"/>
              </w:rPr>
              <w:t>‑</w:t>
            </w:r>
            <w:r>
              <w:rPr>
                <w:rFonts w:ascii="Arial" w:cs="Arial" w:eastAsia="Arial" w:hAnsi="Arial"/>
                <w:sz w:val="14"/>
                <w:szCs w:val="14"/>
                <w:color w:val="auto"/>
              </w:rPr>
              <w:t>market losses/(gains) from derivatives</w:t>
            </w:r>
          </w:p>
        </w:tc>
        <w:tc>
          <w:tcPr>
            <w:tcW w:w="560" w:type="dxa"/>
            <w:vAlign w:val="bottom"/>
            <w:tcBorders>
              <w:top w:val="single" w:sz="8" w:color="582C83"/>
              <w:bottom w:val="single" w:sz="8" w:color="582C83"/>
            </w:tcBorders>
          </w:tcPr>
          <w:p>
            <w:pPr>
              <w:spacing w:after="0"/>
              <w:rPr>
                <w:sz w:val="20"/>
                <w:szCs w:val="20"/>
                <w:color w:val="auto"/>
              </w:rPr>
            </w:pPr>
          </w:p>
        </w:tc>
        <w:tc>
          <w:tcPr>
            <w:tcW w:w="760" w:type="dxa"/>
            <w:vAlign w:val="bottom"/>
            <w:tcBorders>
              <w:top w:val="single" w:sz="8" w:color="582C83"/>
              <w:bottom w:val="single" w:sz="8" w:color="582C83"/>
            </w:tcBorders>
          </w:tcPr>
          <w:p>
            <w:pPr>
              <w:jc w:val="right"/>
              <w:ind w:right="189"/>
              <w:spacing w:after="0"/>
              <w:rPr>
                <w:sz w:val="20"/>
                <w:szCs w:val="20"/>
                <w:color w:val="auto"/>
              </w:rPr>
            </w:pPr>
            <w:r>
              <w:rPr>
                <w:rFonts w:ascii="Arial" w:cs="Arial" w:eastAsia="Arial" w:hAnsi="Arial"/>
                <w:sz w:val="14"/>
                <w:szCs w:val="14"/>
                <w:color w:val="auto"/>
              </w:rPr>
              <w:t>1,341</w:t>
            </w:r>
          </w:p>
        </w:tc>
        <w:tc>
          <w:tcPr>
            <w:tcW w:w="360" w:type="dxa"/>
            <w:vAlign w:val="bottom"/>
            <w:tcBorders>
              <w:top w:val="single" w:sz="8" w:color="582C83"/>
              <w:bottom w:val="single" w:sz="8" w:color="582C83"/>
            </w:tcBorders>
          </w:tcPr>
          <w:p>
            <w:pPr>
              <w:spacing w:after="0"/>
              <w:rPr>
                <w:sz w:val="20"/>
                <w:szCs w:val="20"/>
                <w:color w:val="auto"/>
              </w:rPr>
            </w:pPr>
          </w:p>
        </w:tc>
        <w:tc>
          <w:tcPr>
            <w:tcW w:w="720" w:type="dxa"/>
            <w:vAlign w:val="bottom"/>
            <w:tcBorders>
              <w:top w:val="single" w:sz="8" w:color="582C83"/>
              <w:bottom w:val="single" w:sz="8" w:color="582C83"/>
            </w:tcBorders>
          </w:tcPr>
          <w:p>
            <w:pPr>
              <w:jc w:val="right"/>
              <w:ind w:right="109"/>
              <w:spacing w:after="0"/>
              <w:rPr>
                <w:sz w:val="20"/>
                <w:szCs w:val="20"/>
                <w:color w:val="auto"/>
              </w:rPr>
            </w:pPr>
            <w:r>
              <w:rPr>
                <w:rFonts w:ascii="Arial" w:cs="Arial" w:eastAsia="Arial" w:hAnsi="Arial"/>
                <w:sz w:val="14"/>
                <w:szCs w:val="14"/>
                <w:color w:val="auto"/>
              </w:rPr>
              <w:t>(543)</w:t>
            </w:r>
          </w:p>
        </w:tc>
        <w:tc>
          <w:tcPr>
            <w:tcW w:w="380" w:type="dxa"/>
            <w:vAlign w:val="bottom"/>
            <w:tcBorders>
              <w:top w:val="single" w:sz="8" w:color="582C83"/>
              <w:bottom w:val="single" w:sz="8" w:color="582C83"/>
            </w:tcBorders>
          </w:tcPr>
          <w:p>
            <w:pPr>
              <w:spacing w:after="0"/>
              <w:rPr>
                <w:sz w:val="20"/>
                <w:szCs w:val="20"/>
                <w:color w:val="auto"/>
              </w:rPr>
            </w:pPr>
          </w:p>
        </w:tc>
        <w:tc>
          <w:tcPr>
            <w:tcW w:w="700" w:type="dxa"/>
            <w:vAlign w:val="bottom"/>
            <w:tcBorders>
              <w:top w:val="single" w:sz="8" w:color="582C83"/>
              <w:bottom w:val="single" w:sz="8" w:color="582C83"/>
            </w:tcBorders>
          </w:tcPr>
          <w:p>
            <w:pPr>
              <w:jc w:val="right"/>
              <w:ind w:right="69"/>
              <w:spacing w:after="0"/>
              <w:rPr>
                <w:sz w:val="20"/>
                <w:szCs w:val="20"/>
                <w:color w:val="auto"/>
              </w:rPr>
            </w:pPr>
            <w:r>
              <w:rPr>
                <w:rFonts w:ascii="Arial" w:cs="Arial" w:eastAsia="Arial" w:hAnsi="Arial"/>
                <w:sz w:val="14"/>
                <w:szCs w:val="14"/>
                <w:color w:val="auto"/>
              </w:rPr>
              <w:t>1,884</w:t>
            </w:r>
          </w:p>
        </w:tc>
        <w:tc>
          <w:tcPr>
            <w:tcW w:w="840" w:type="dxa"/>
            <w:vAlign w:val="bottom"/>
            <w:tcBorders>
              <w:top w:val="single" w:sz="8" w:color="582C83"/>
              <w:bottom w:val="single" w:sz="8" w:color="582C83"/>
            </w:tcBorders>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4700" w:type="dxa"/>
            <w:vAlign w:val="bottom"/>
            <w:tcBorders>
              <w:bottom w:val="single" w:sz="8" w:color="E0DBEA"/>
            </w:tcBorders>
            <w:shd w:val="clear" w:color="auto" w:fill="E0DBEA"/>
          </w:tcPr>
          <w:p>
            <w:pPr>
              <w:ind w:left="40"/>
              <w:spacing w:after="0"/>
              <w:rPr>
                <w:sz w:val="20"/>
                <w:szCs w:val="20"/>
                <w:color w:val="auto"/>
              </w:rPr>
            </w:pPr>
            <w:r>
              <w:rPr>
                <w:rFonts w:ascii="Arial" w:cs="Arial" w:eastAsia="Arial" w:hAnsi="Arial"/>
                <w:sz w:val="14"/>
                <w:szCs w:val="14"/>
                <w:color w:val="auto"/>
              </w:rPr>
              <w:t>Acquisition-related items</w:t>
            </w:r>
          </w:p>
        </w:tc>
        <w:tc>
          <w:tcPr>
            <w:tcW w:w="560" w:type="dxa"/>
            <w:vAlign w:val="bottom"/>
            <w:tcBorders>
              <w:bottom w:val="single" w:sz="8" w:color="E0DBEA"/>
            </w:tcBorders>
            <w:shd w:val="clear" w:color="auto" w:fill="E0DBEA"/>
          </w:tcPr>
          <w:p>
            <w:pPr>
              <w:spacing w:after="0"/>
              <w:rPr>
                <w:sz w:val="22"/>
                <w:szCs w:val="22"/>
                <w:color w:val="auto"/>
              </w:rPr>
            </w:pPr>
          </w:p>
        </w:tc>
        <w:tc>
          <w:tcPr>
            <w:tcW w:w="760" w:type="dxa"/>
            <w:vAlign w:val="bottom"/>
            <w:tcBorders>
              <w:bottom w:val="single" w:sz="8" w:color="E0DBEA"/>
            </w:tcBorders>
            <w:shd w:val="clear" w:color="auto" w:fill="E0DBEA"/>
          </w:tcPr>
          <w:p>
            <w:pPr>
              <w:jc w:val="right"/>
              <w:ind w:right="149"/>
              <w:spacing w:after="0"/>
              <w:rPr>
                <w:sz w:val="20"/>
                <w:szCs w:val="20"/>
                <w:color w:val="auto"/>
              </w:rPr>
            </w:pPr>
            <w:r>
              <w:rPr>
                <w:rFonts w:ascii="Arial" w:cs="Arial" w:eastAsia="Arial" w:hAnsi="Arial"/>
                <w:sz w:val="14"/>
                <w:szCs w:val="14"/>
                <w:color w:val="auto"/>
              </w:rPr>
              <w:t>(10)</w:t>
            </w:r>
          </w:p>
        </w:tc>
        <w:tc>
          <w:tcPr>
            <w:tcW w:w="360" w:type="dxa"/>
            <w:vAlign w:val="bottom"/>
            <w:tcBorders>
              <w:bottom w:val="single" w:sz="8" w:color="E0DBEA"/>
            </w:tcBorders>
            <w:shd w:val="clear" w:color="auto" w:fill="E0DBEA"/>
          </w:tcPr>
          <w:p>
            <w:pPr>
              <w:spacing w:after="0"/>
              <w:rPr>
                <w:sz w:val="22"/>
                <w:szCs w:val="22"/>
                <w:color w:val="auto"/>
              </w:rPr>
            </w:pPr>
          </w:p>
        </w:tc>
        <w:tc>
          <w:tcPr>
            <w:tcW w:w="720" w:type="dxa"/>
            <w:vAlign w:val="bottom"/>
            <w:tcBorders>
              <w:bottom w:val="single" w:sz="8" w:color="E0DBEA"/>
            </w:tcBorders>
            <w:shd w:val="clear" w:color="auto" w:fill="E0DBEA"/>
          </w:tcPr>
          <w:p>
            <w:pPr>
              <w:jc w:val="right"/>
              <w:ind w:right="109"/>
              <w:spacing w:after="0"/>
              <w:rPr>
                <w:sz w:val="20"/>
                <w:szCs w:val="20"/>
                <w:color w:val="auto"/>
              </w:rPr>
            </w:pPr>
            <w:r>
              <w:rPr>
                <w:rFonts w:ascii="Arial" w:cs="Arial" w:eastAsia="Arial" w:hAnsi="Arial"/>
                <w:sz w:val="14"/>
                <w:szCs w:val="14"/>
                <w:color w:val="auto"/>
              </w:rPr>
              <w:t>(313)</w:t>
            </w:r>
          </w:p>
        </w:tc>
        <w:tc>
          <w:tcPr>
            <w:tcW w:w="380" w:type="dxa"/>
            <w:vAlign w:val="bottom"/>
            <w:tcBorders>
              <w:bottom w:val="single" w:sz="8" w:color="E0DBEA"/>
            </w:tcBorders>
            <w:shd w:val="clear" w:color="auto" w:fill="E0DBEA"/>
          </w:tcPr>
          <w:p>
            <w:pPr>
              <w:spacing w:after="0"/>
              <w:rPr>
                <w:sz w:val="22"/>
                <w:szCs w:val="22"/>
                <w:color w:val="auto"/>
              </w:rPr>
            </w:pPr>
          </w:p>
        </w:tc>
        <w:tc>
          <w:tcPr>
            <w:tcW w:w="700" w:type="dxa"/>
            <w:vAlign w:val="bottom"/>
            <w:tcBorders>
              <w:bottom w:val="single" w:sz="8" w:color="E0DBEA"/>
            </w:tcBorders>
            <w:shd w:val="clear" w:color="auto" w:fill="E0DBEA"/>
          </w:tcPr>
          <w:p>
            <w:pPr>
              <w:jc w:val="right"/>
              <w:ind w:right="69"/>
              <w:spacing w:after="0"/>
              <w:rPr>
                <w:sz w:val="20"/>
                <w:szCs w:val="20"/>
                <w:color w:val="auto"/>
              </w:rPr>
            </w:pPr>
            <w:r>
              <w:rPr>
                <w:rFonts w:ascii="Arial" w:cs="Arial" w:eastAsia="Arial" w:hAnsi="Arial"/>
                <w:sz w:val="14"/>
                <w:szCs w:val="14"/>
                <w:color w:val="auto"/>
              </w:rPr>
              <w:t>303</w:t>
            </w:r>
          </w:p>
        </w:tc>
        <w:tc>
          <w:tcPr>
            <w:tcW w:w="840" w:type="dxa"/>
            <w:vAlign w:val="bottom"/>
            <w:tcBorders>
              <w:bottom w:val="single" w:sz="8" w:color="E0DBEA"/>
            </w:tcBorders>
            <w:shd w:val="clear" w:color="auto" w:fill="E0DBEA"/>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00" w:type="dxa"/>
            <w:vAlign w:val="bottom"/>
            <w:tcBorders>
              <w:top w:val="single" w:sz="8" w:color="582C83"/>
            </w:tcBorders>
          </w:tcPr>
          <w:p>
            <w:pPr>
              <w:ind w:left="40"/>
              <w:spacing w:after="0"/>
              <w:rPr>
                <w:sz w:val="20"/>
                <w:szCs w:val="20"/>
                <w:color w:val="auto"/>
              </w:rPr>
            </w:pPr>
            <w:r>
              <w:rPr>
                <w:rFonts w:ascii="Arial" w:cs="Arial" w:eastAsia="Arial" w:hAnsi="Arial"/>
                <w:sz w:val="14"/>
                <w:szCs w:val="14"/>
                <w:color w:val="auto"/>
              </w:rPr>
              <w:t>Divestiture-related items</w:t>
            </w:r>
          </w:p>
        </w:tc>
        <w:tc>
          <w:tcPr>
            <w:tcW w:w="560" w:type="dxa"/>
            <w:vAlign w:val="bottom"/>
            <w:tcBorders>
              <w:top w:val="single" w:sz="8" w:color="582C83"/>
            </w:tcBorders>
          </w:tcPr>
          <w:p>
            <w:pPr>
              <w:spacing w:after="0"/>
              <w:rPr>
                <w:sz w:val="18"/>
                <w:szCs w:val="18"/>
                <w:color w:val="auto"/>
              </w:rPr>
            </w:pPr>
          </w:p>
        </w:tc>
        <w:tc>
          <w:tcPr>
            <w:tcW w:w="760" w:type="dxa"/>
            <w:vAlign w:val="bottom"/>
            <w:tcBorders>
              <w:top w:val="single" w:sz="8" w:color="582C83"/>
            </w:tcBorders>
          </w:tcPr>
          <w:p>
            <w:pPr>
              <w:jc w:val="right"/>
              <w:ind w:right="149"/>
              <w:spacing w:after="0"/>
              <w:rPr>
                <w:sz w:val="20"/>
                <w:szCs w:val="20"/>
                <w:color w:val="auto"/>
              </w:rPr>
            </w:pPr>
            <w:r>
              <w:rPr>
                <w:rFonts w:ascii="Arial" w:cs="Arial" w:eastAsia="Arial" w:hAnsi="Arial"/>
                <w:sz w:val="14"/>
                <w:szCs w:val="14"/>
                <w:color w:val="auto"/>
              </w:rPr>
              <w:t>(17)</w:t>
            </w:r>
          </w:p>
        </w:tc>
        <w:tc>
          <w:tcPr>
            <w:tcW w:w="360" w:type="dxa"/>
            <w:vAlign w:val="bottom"/>
            <w:tcBorders>
              <w:top w:val="single" w:sz="8" w:color="582C83"/>
            </w:tcBorders>
          </w:tcPr>
          <w:p>
            <w:pPr>
              <w:spacing w:after="0"/>
              <w:rPr>
                <w:sz w:val="18"/>
                <w:szCs w:val="18"/>
                <w:color w:val="auto"/>
              </w:rPr>
            </w:pPr>
          </w:p>
        </w:tc>
        <w:tc>
          <w:tcPr>
            <w:tcW w:w="720" w:type="dxa"/>
            <w:vAlign w:val="bottom"/>
            <w:tcBorders>
              <w:top w:val="single" w:sz="8" w:color="582C83"/>
            </w:tcBorders>
          </w:tcPr>
          <w:p>
            <w:pPr>
              <w:jc w:val="right"/>
              <w:ind w:right="109"/>
              <w:spacing w:after="0"/>
              <w:rPr>
                <w:sz w:val="20"/>
                <w:szCs w:val="20"/>
                <w:color w:val="auto"/>
              </w:rPr>
            </w:pPr>
            <w:r>
              <w:rPr>
                <w:rFonts w:ascii="Arial" w:cs="Arial" w:eastAsia="Arial" w:hAnsi="Arial"/>
                <w:sz w:val="14"/>
                <w:szCs w:val="14"/>
                <w:color w:val="auto"/>
              </w:rPr>
              <w:t>(2)</w:t>
            </w:r>
          </w:p>
        </w:tc>
        <w:tc>
          <w:tcPr>
            <w:tcW w:w="380" w:type="dxa"/>
            <w:vAlign w:val="bottom"/>
            <w:tcBorders>
              <w:top w:val="single" w:sz="8" w:color="582C83"/>
            </w:tcBorders>
          </w:tcPr>
          <w:p>
            <w:pPr>
              <w:spacing w:after="0"/>
              <w:rPr>
                <w:sz w:val="18"/>
                <w:szCs w:val="18"/>
                <w:color w:val="auto"/>
              </w:rPr>
            </w:pPr>
          </w:p>
        </w:tc>
        <w:tc>
          <w:tcPr>
            <w:tcW w:w="700" w:type="dxa"/>
            <w:vAlign w:val="bottom"/>
            <w:tcBorders>
              <w:top w:val="single" w:sz="8" w:color="582C83"/>
            </w:tcBorders>
          </w:tcPr>
          <w:p>
            <w:pPr>
              <w:jc w:val="right"/>
              <w:ind w:right="29"/>
              <w:spacing w:after="0"/>
              <w:rPr>
                <w:sz w:val="20"/>
                <w:szCs w:val="20"/>
                <w:color w:val="auto"/>
              </w:rPr>
            </w:pPr>
            <w:r>
              <w:rPr>
                <w:rFonts w:ascii="Arial" w:cs="Arial" w:eastAsia="Arial" w:hAnsi="Arial"/>
                <w:sz w:val="14"/>
                <w:szCs w:val="14"/>
                <w:color w:val="auto"/>
              </w:rPr>
              <w:t>(15)</w:t>
            </w:r>
          </w:p>
        </w:tc>
        <w:tc>
          <w:tcPr>
            <w:tcW w:w="840" w:type="dxa"/>
            <w:vAlign w:val="bottom"/>
            <w:tcBorders>
              <w:top w:val="single" w:sz="8" w:color="582C83"/>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700" w:type="dxa"/>
            <w:vAlign w:val="bottom"/>
            <w:tcBorders>
              <w:bottom w:val="single" w:sz="8" w:color="582C83"/>
            </w:tcBorders>
          </w:tcPr>
          <w:p>
            <w:pPr>
              <w:spacing w:after="0" w:line="20" w:lineRule="exact"/>
              <w:rPr>
                <w:sz w:val="1"/>
                <w:szCs w:val="1"/>
                <w:color w:val="auto"/>
              </w:rPr>
            </w:pPr>
          </w:p>
        </w:tc>
        <w:tc>
          <w:tcPr>
            <w:tcW w:w="560" w:type="dxa"/>
            <w:vAlign w:val="bottom"/>
            <w:tcBorders>
              <w:bottom w:val="single" w:sz="8" w:color="582C83"/>
            </w:tcBorders>
          </w:tcPr>
          <w:p>
            <w:pPr>
              <w:spacing w:after="0" w:line="20" w:lineRule="exact"/>
              <w:rPr>
                <w:sz w:val="1"/>
                <w:szCs w:val="1"/>
                <w:color w:val="auto"/>
              </w:rPr>
            </w:pPr>
          </w:p>
        </w:tc>
        <w:tc>
          <w:tcPr>
            <w:tcW w:w="760" w:type="dxa"/>
            <w:vAlign w:val="bottom"/>
            <w:tcBorders>
              <w:bottom w:val="single" w:sz="8" w:color="582C83"/>
            </w:tcBorders>
          </w:tcPr>
          <w:p>
            <w:pPr>
              <w:spacing w:after="0" w:line="20" w:lineRule="exact"/>
              <w:rPr>
                <w:sz w:val="1"/>
                <w:szCs w:val="1"/>
                <w:color w:val="auto"/>
              </w:rPr>
            </w:pPr>
          </w:p>
        </w:tc>
        <w:tc>
          <w:tcPr>
            <w:tcW w:w="360" w:type="dxa"/>
            <w:vAlign w:val="bottom"/>
            <w:tcBorders>
              <w:bottom w:val="single" w:sz="8" w:color="582C83"/>
            </w:tcBorders>
          </w:tcPr>
          <w:p>
            <w:pPr>
              <w:spacing w:after="0" w:line="20" w:lineRule="exact"/>
              <w:rPr>
                <w:sz w:val="1"/>
                <w:szCs w:val="1"/>
                <w:color w:val="auto"/>
              </w:rPr>
            </w:pPr>
          </w:p>
        </w:tc>
        <w:tc>
          <w:tcPr>
            <w:tcW w:w="720" w:type="dxa"/>
            <w:vAlign w:val="bottom"/>
            <w:tcBorders>
              <w:bottom w:val="single" w:sz="8" w:color="582C83"/>
            </w:tcBorders>
          </w:tcPr>
          <w:p>
            <w:pPr>
              <w:spacing w:after="0" w:line="20" w:lineRule="exact"/>
              <w:rPr>
                <w:sz w:val="1"/>
                <w:szCs w:val="1"/>
                <w:color w:val="auto"/>
              </w:rPr>
            </w:pPr>
          </w:p>
        </w:tc>
        <w:tc>
          <w:tcPr>
            <w:tcW w:w="380" w:type="dxa"/>
            <w:vAlign w:val="bottom"/>
            <w:tcBorders>
              <w:bottom w:val="single" w:sz="8" w:color="582C83"/>
            </w:tcBorders>
          </w:tcPr>
          <w:p>
            <w:pPr>
              <w:spacing w:after="0" w:line="20" w:lineRule="exact"/>
              <w:rPr>
                <w:sz w:val="1"/>
                <w:szCs w:val="1"/>
                <w:color w:val="auto"/>
              </w:rPr>
            </w:pPr>
          </w:p>
        </w:tc>
        <w:tc>
          <w:tcPr>
            <w:tcW w:w="700" w:type="dxa"/>
            <w:vAlign w:val="bottom"/>
            <w:tcBorders>
              <w:bottom w:val="single" w:sz="8" w:color="582C83"/>
            </w:tcBorders>
          </w:tcPr>
          <w:p>
            <w:pPr>
              <w:spacing w:after="0" w:line="20" w:lineRule="exact"/>
              <w:rPr>
                <w:sz w:val="1"/>
                <w:szCs w:val="1"/>
                <w:color w:val="auto"/>
              </w:rPr>
            </w:pPr>
          </w:p>
        </w:tc>
        <w:tc>
          <w:tcPr>
            <w:tcW w:w="840" w:type="dxa"/>
            <w:vAlign w:val="bottom"/>
            <w:tcBorders>
              <w:bottom w:val="single" w:sz="8" w:color="582C8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700" w:type="dxa"/>
            <w:vAlign w:val="bottom"/>
            <w:tcBorders>
              <w:bottom w:val="single" w:sz="8" w:color="E0DBEA"/>
            </w:tcBorders>
            <w:shd w:val="clear" w:color="auto" w:fill="E0DBEA"/>
          </w:tcPr>
          <w:p>
            <w:pPr>
              <w:ind w:left="40"/>
              <w:spacing w:after="0"/>
              <w:rPr>
                <w:sz w:val="20"/>
                <w:szCs w:val="20"/>
                <w:color w:val="auto"/>
              </w:rPr>
            </w:pPr>
            <w:r>
              <w:rPr>
                <w:rFonts w:ascii="Arial" w:cs="Arial" w:eastAsia="Arial" w:hAnsi="Arial"/>
                <w:sz w:val="14"/>
                <w:szCs w:val="14"/>
                <w:color w:val="auto"/>
              </w:rPr>
              <w:t>Operating results from short-term distributor agreements</w:t>
            </w:r>
          </w:p>
        </w:tc>
        <w:tc>
          <w:tcPr>
            <w:tcW w:w="560" w:type="dxa"/>
            <w:vAlign w:val="bottom"/>
            <w:tcBorders>
              <w:bottom w:val="single" w:sz="8" w:color="E0DBEA"/>
            </w:tcBorders>
            <w:shd w:val="clear" w:color="auto" w:fill="E0DBEA"/>
          </w:tcPr>
          <w:p>
            <w:pPr>
              <w:spacing w:after="0"/>
              <w:rPr>
                <w:sz w:val="20"/>
                <w:szCs w:val="20"/>
                <w:color w:val="auto"/>
              </w:rPr>
            </w:pPr>
          </w:p>
        </w:tc>
        <w:tc>
          <w:tcPr>
            <w:tcW w:w="760" w:type="dxa"/>
            <w:vAlign w:val="bottom"/>
            <w:tcBorders>
              <w:bottom w:val="single" w:sz="8" w:color="E0DBEA"/>
            </w:tcBorders>
            <w:shd w:val="clear" w:color="auto" w:fill="E0DBEA"/>
          </w:tcPr>
          <w:p>
            <w:pPr>
              <w:jc w:val="right"/>
              <w:ind w:right="18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E0DBEA"/>
            </w:tcBorders>
            <w:shd w:val="clear" w:color="auto" w:fill="E0DBEA"/>
          </w:tcPr>
          <w:p>
            <w:pPr>
              <w:spacing w:after="0"/>
              <w:rPr>
                <w:sz w:val="20"/>
                <w:szCs w:val="20"/>
                <w:color w:val="auto"/>
              </w:rPr>
            </w:pPr>
          </w:p>
        </w:tc>
        <w:tc>
          <w:tcPr>
            <w:tcW w:w="720" w:type="dxa"/>
            <w:vAlign w:val="bottom"/>
            <w:tcBorders>
              <w:bottom w:val="single" w:sz="8" w:color="E0DBEA"/>
            </w:tcBorders>
            <w:shd w:val="clear" w:color="auto" w:fill="E0DBEA"/>
          </w:tcPr>
          <w:p>
            <w:pPr>
              <w:jc w:val="right"/>
              <w:ind w:right="109"/>
              <w:spacing w:after="0"/>
              <w:rPr>
                <w:sz w:val="20"/>
                <w:szCs w:val="20"/>
                <w:color w:val="auto"/>
              </w:rPr>
            </w:pPr>
            <w:r>
              <w:rPr>
                <w:rFonts w:ascii="Arial" w:cs="Arial" w:eastAsia="Arial" w:hAnsi="Arial"/>
                <w:sz w:val="14"/>
                <w:szCs w:val="14"/>
                <w:color w:val="auto"/>
              </w:rPr>
              <w:t>(2)</w:t>
            </w:r>
          </w:p>
        </w:tc>
        <w:tc>
          <w:tcPr>
            <w:tcW w:w="380" w:type="dxa"/>
            <w:vAlign w:val="bottom"/>
            <w:tcBorders>
              <w:bottom w:val="single" w:sz="8" w:color="E0DBEA"/>
            </w:tcBorders>
            <w:shd w:val="clear" w:color="auto" w:fill="E0DBEA"/>
          </w:tcPr>
          <w:p>
            <w:pPr>
              <w:spacing w:after="0"/>
              <w:rPr>
                <w:sz w:val="20"/>
                <w:szCs w:val="20"/>
                <w:color w:val="auto"/>
              </w:rPr>
            </w:pPr>
          </w:p>
        </w:tc>
        <w:tc>
          <w:tcPr>
            <w:tcW w:w="700" w:type="dxa"/>
            <w:vAlign w:val="bottom"/>
            <w:tcBorders>
              <w:bottom w:val="single" w:sz="8" w:color="E0DBEA"/>
            </w:tcBorders>
            <w:shd w:val="clear" w:color="auto" w:fill="E0DBEA"/>
          </w:tcPr>
          <w:p>
            <w:pPr>
              <w:jc w:val="right"/>
              <w:ind w:right="69"/>
              <w:spacing w:after="0"/>
              <w:rPr>
                <w:sz w:val="20"/>
                <w:szCs w:val="20"/>
                <w:color w:val="auto"/>
              </w:rPr>
            </w:pPr>
            <w:r>
              <w:rPr>
                <w:rFonts w:ascii="Arial" w:cs="Arial" w:eastAsia="Arial" w:hAnsi="Arial"/>
                <w:sz w:val="14"/>
                <w:szCs w:val="14"/>
                <w:color w:val="auto"/>
              </w:rPr>
              <w:t>2</w:t>
            </w:r>
          </w:p>
        </w:tc>
        <w:tc>
          <w:tcPr>
            <w:tcW w:w="840" w:type="dxa"/>
            <w:vAlign w:val="bottom"/>
            <w:tcBorders>
              <w:bottom w:val="single" w:sz="8" w:color="E0DBEA"/>
            </w:tcBorders>
            <w:shd w:val="clear" w:color="auto" w:fill="E0DBEA"/>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00" w:type="dxa"/>
            <w:vAlign w:val="bottom"/>
            <w:tcBorders>
              <w:top w:val="single" w:sz="8" w:color="582C83"/>
            </w:tcBorders>
          </w:tcPr>
          <w:p>
            <w:pPr>
              <w:ind w:left="40"/>
              <w:spacing w:after="0"/>
              <w:rPr>
                <w:sz w:val="20"/>
                <w:szCs w:val="20"/>
                <w:color w:val="auto"/>
              </w:rPr>
            </w:pPr>
            <w:r>
              <w:rPr>
                <w:rFonts w:ascii="Arial" w:cs="Arial" w:eastAsia="Arial" w:hAnsi="Arial"/>
                <w:sz w:val="14"/>
                <w:szCs w:val="14"/>
                <w:color w:val="auto"/>
              </w:rPr>
              <w:t>European Commission legal matter</w:t>
            </w:r>
          </w:p>
        </w:tc>
        <w:tc>
          <w:tcPr>
            <w:tcW w:w="560" w:type="dxa"/>
            <w:vAlign w:val="bottom"/>
            <w:tcBorders>
              <w:top w:val="single" w:sz="8" w:color="582C83"/>
            </w:tcBorders>
          </w:tcPr>
          <w:p>
            <w:pPr>
              <w:spacing w:after="0"/>
              <w:rPr>
                <w:sz w:val="18"/>
                <w:szCs w:val="18"/>
                <w:color w:val="auto"/>
              </w:rPr>
            </w:pPr>
          </w:p>
        </w:tc>
        <w:tc>
          <w:tcPr>
            <w:tcW w:w="760" w:type="dxa"/>
            <w:vAlign w:val="bottom"/>
            <w:tcBorders>
              <w:top w:val="single" w:sz="8" w:color="582C83"/>
            </w:tcBorders>
          </w:tcPr>
          <w:p>
            <w:pPr>
              <w:jc w:val="right"/>
              <w:ind w:right="189"/>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582C83"/>
            </w:tcBorders>
          </w:tcPr>
          <w:p>
            <w:pPr>
              <w:spacing w:after="0"/>
              <w:rPr>
                <w:sz w:val="18"/>
                <w:szCs w:val="18"/>
                <w:color w:val="auto"/>
              </w:rPr>
            </w:pPr>
          </w:p>
        </w:tc>
        <w:tc>
          <w:tcPr>
            <w:tcW w:w="720" w:type="dxa"/>
            <w:vAlign w:val="bottom"/>
            <w:tcBorders>
              <w:top w:val="single" w:sz="8" w:color="582C83"/>
            </w:tcBorders>
          </w:tcPr>
          <w:p>
            <w:pPr>
              <w:jc w:val="right"/>
              <w:ind w:right="109"/>
              <w:spacing w:after="0"/>
              <w:rPr>
                <w:sz w:val="20"/>
                <w:szCs w:val="20"/>
                <w:color w:val="auto"/>
              </w:rPr>
            </w:pPr>
            <w:r>
              <w:rPr>
                <w:rFonts w:ascii="Arial" w:cs="Arial" w:eastAsia="Arial" w:hAnsi="Arial"/>
                <w:sz w:val="14"/>
                <w:szCs w:val="14"/>
                <w:color w:val="auto"/>
              </w:rPr>
              <w:t>(3)</w:t>
            </w:r>
          </w:p>
        </w:tc>
        <w:tc>
          <w:tcPr>
            <w:tcW w:w="380" w:type="dxa"/>
            <w:vAlign w:val="bottom"/>
            <w:tcBorders>
              <w:top w:val="single" w:sz="8" w:color="582C83"/>
            </w:tcBorders>
          </w:tcPr>
          <w:p>
            <w:pPr>
              <w:spacing w:after="0"/>
              <w:rPr>
                <w:sz w:val="18"/>
                <w:szCs w:val="18"/>
                <w:color w:val="auto"/>
              </w:rPr>
            </w:pPr>
          </w:p>
        </w:tc>
        <w:tc>
          <w:tcPr>
            <w:tcW w:w="700" w:type="dxa"/>
            <w:vAlign w:val="bottom"/>
            <w:tcBorders>
              <w:top w:val="single" w:sz="8" w:color="582C83"/>
            </w:tcBorders>
          </w:tcPr>
          <w:p>
            <w:pPr>
              <w:jc w:val="right"/>
              <w:ind w:right="69"/>
              <w:spacing w:after="0"/>
              <w:rPr>
                <w:sz w:val="20"/>
                <w:szCs w:val="20"/>
                <w:color w:val="auto"/>
              </w:rPr>
            </w:pPr>
            <w:r>
              <w:rPr>
                <w:rFonts w:ascii="Arial" w:cs="Arial" w:eastAsia="Arial" w:hAnsi="Arial"/>
                <w:sz w:val="14"/>
                <w:szCs w:val="14"/>
                <w:color w:val="auto"/>
              </w:rPr>
              <w:t>3</w:t>
            </w:r>
          </w:p>
        </w:tc>
        <w:tc>
          <w:tcPr>
            <w:tcW w:w="840" w:type="dxa"/>
            <w:vAlign w:val="bottom"/>
            <w:tcBorders>
              <w:top w:val="single" w:sz="8" w:color="582C83"/>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700" w:type="dxa"/>
            <w:vAlign w:val="bottom"/>
            <w:tcBorders>
              <w:bottom w:val="single" w:sz="8" w:color="582C83"/>
            </w:tcBorders>
          </w:tcPr>
          <w:p>
            <w:pPr>
              <w:spacing w:after="0" w:line="20" w:lineRule="exact"/>
              <w:rPr>
                <w:sz w:val="1"/>
                <w:szCs w:val="1"/>
                <w:color w:val="auto"/>
              </w:rPr>
            </w:pPr>
          </w:p>
        </w:tc>
        <w:tc>
          <w:tcPr>
            <w:tcW w:w="560" w:type="dxa"/>
            <w:vAlign w:val="bottom"/>
            <w:tcBorders>
              <w:bottom w:val="single" w:sz="8" w:color="582C83"/>
            </w:tcBorders>
          </w:tcPr>
          <w:p>
            <w:pPr>
              <w:spacing w:after="0" w:line="20" w:lineRule="exact"/>
              <w:rPr>
                <w:sz w:val="1"/>
                <w:szCs w:val="1"/>
                <w:color w:val="auto"/>
              </w:rPr>
            </w:pPr>
          </w:p>
        </w:tc>
        <w:tc>
          <w:tcPr>
            <w:tcW w:w="760" w:type="dxa"/>
            <w:vAlign w:val="bottom"/>
            <w:tcBorders>
              <w:bottom w:val="single" w:sz="8" w:color="582C83"/>
            </w:tcBorders>
          </w:tcPr>
          <w:p>
            <w:pPr>
              <w:spacing w:after="0" w:line="20" w:lineRule="exact"/>
              <w:rPr>
                <w:sz w:val="1"/>
                <w:szCs w:val="1"/>
                <w:color w:val="auto"/>
              </w:rPr>
            </w:pPr>
          </w:p>
        </w:tc>
        <w:tc>
          <w:tcPr>
            <w:tcW w:w="360" w:type="dxa"/>
            <w:vAlign w:val="bottom"/>
            <w:tcBorders>
              <w:bottom w:val="single" w:sz="8" w:color="582C83"/>
            </w:tcBorders>
          </w:tcPr>
          <w:p>
            <w:pPr>
              <w:spacing w:after="0" w:line="20" w:lineRule="exact"/>
              <w:rPr>
                <w:sz w:val="1"/>
                <w:szCs w:val="1"/>
                <w:color w:val="auto"/>
              </w:rPr>
            </w:pPr>
          </w:p>
        </w:tc>
        <w:tc>
          <w:tcPr>
            <w:tcW w:w="720" w:type="dxa"/>
            <w:vAlign w:val="bottom"/>
            <w:tcBorders>
              <w:bottom w:val="single" w:sz="8" w:color="582C83"/>
            </w:tcBorders>
          </w:tcPr>
          <w:p>
            <w:pPr>
              <w:spacing w:after="0" w:line="20" w:lineRule="exact"/>
              <w:rPr>
                <w:sz w:val="1"/>
                <w:szCs w:val="1"/>
                <w:color w:val="auto"/>
              </w:rPr>
            </w:pPr>
          </w:p>
        </w:tc>
        <w:tc>
          <w:tcPr>
            <w:tcW w:w="380" w:type="dxa"/>
            <w:vAlign w:val="bottom"/>
            <w:tcBorders>
              <w:bottom w:val="single" w:sz="8" w:color="582C83"/>
            </w:tcBorders>
          </w:tcPr>
          <w:p>
            <w:pPr>
              <w:spacing w:after="0" w:line="20" w:lineRule="exact"/>
              <w:rPr>
                <w:sz w:val="1"/>
                <w:szCs w:val="1"/>
                <w:color w:val="auto"/>
              </w:rPr>
            </w:pPr>
          </w:p>
        </w:tc>
        <w:tc>
          <w:tcPr>
            <w:tcW w:w="700" w:type="dxa"/>
            <w:vAlign w:val="bottom"/>
            <w:tcBorders>
              <w:bottom w:val="single" w:sz="8" w:color="582C83"/>
            </w:tcBorders>
          </w:tcPr>
          <w:p>
            <w:pPr>
              <w:spacing w:after="0" w:line="20" w:lineRule="exact"/>
              <w:rPr>
                <w:sz w:val="1"/>
                <w:szCs w:val="1"/>
                <w:color w:val="auto"/>
              </w:rPr>
            </w:pPr>
          </w:p>
        </w:tc>
        <w:tc>
          <w:tcPr>
            <w:tcW w:w="840" w:type="dxa"/>
            <w:vAlign w:val="bottom"/>
            <w:tcBorders>
              <w:bottom w:val="single" w:sz="8" w:color="582C8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700" w:type="dxa"/>
            <w:vAlign w:val="bottom"/>
            <w:tcBorders>
              <w:bottom w:val="single" w:sz="8" w:color="E0DBEA"/>
            </w:tcBorders>
            <w:shd w:val="clear" w:color="auto" w:fill="E0DBEA"/>
          </w:tcPr>
          <w:p>
            <w:pPr>
              <w:ind w:left="40"/>
              <w:spacing w:after="0"/>
              <w:rPr>
                <w:sz w:val="20"/>
                <w:szCs w:val="20"/>
                <w:color w:val="auto"/>
              </w:rPr>
            </w:pPr>
            <w:r>
              <w:rPr>
                <w:rFonts w:ascii="Arial" w:cs="Arial" w:eastAsia="Arial" w:hAnsi="Arial"/>
                <w:sz w:val="14"/>
                <w:szCs w:val="14"/>
                <w:color w:val="auto"/>
              </w:rPr>
              <w:t>Incremental costs due to war in Ukraine</w:t>
            </w:r>
          </w:p>
        </w:tc>
        <w:tc>
          <w:tcPr>
            <w:tcW w:w="560" w:type="dxa"/>
            <w:vAlign w:val="bottom"/>
            <w:tcBorders>
              <w:bottom w:val="single" w:sz="8" w:color="E0DBEA"/>
            </w:tcBorders>
            <w:shd w:val="clear" w:color="auto" w:fill="E0DBEA"/>
          </w:tcPr>
          <w:p>
            <w:pPr>
              <w:spacing w:after="0"/>
              <w:rPr>
                <w:sz w:val="20"/>
                <w:szCs w:val="20"/>
                <w:color w:val="auto"/>
              </w:rPr>
            </w:pPr>
          </w:p>
        </w:tc>
        <w:tc>
          <w:tcPr>
            <w:tcW w:w="760" w:type="dxa"/>
            <w:vAlign w:val="bottom"/>
            <w:tcBorders>
              <w:bottom w:val="single" w:sz="8" w:color="E0DBEA"/>
            </w:tcBorders>
            <w:shd w:val="clear" w:color="auto" w:fill="E0DBEA"/>
          </w:tcPr>
          <w:p>
            <w:pPr>
              <w:jc w:val="right"/>
              <w:ind w:right="189"/>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E0DBEA"/>
            </w:tcBorders>
            <w:shd w:val="clear" w:color="auto" w:fill="E0DBEA"/>
          </w:tcPr>
          <w:p>
            <w:pPr>
              <w:spacing w:after="0"/>
              <w:rPr>
                <w:sz w:val="20"/>
                <w:szCs w:val="20"/>
                <w:color w:val="auto"/>
              </w:rPr>
            </w:pPr>
          </w:p>
        </w:tc>
        <w:tc>
          <w:tcPr>
            <w:tcW w:w="720" w:type="dxa"/>
            <w:vAlign w:val="bottom"/>
            <w:tcBorders>
              <w:bottom w:val="single" w:sz="8" w:color="E0DBEA"/>
            </w:tcBorders>
            <w:shd w:val="clear" w:color="auto" w:fill="E0DBEA"/>
          </w:tcPr>
          <w:p>
            <w:pPr>
              <w:jc w:val="right"/>
              <w:ind w:right="149"/>
              <w:spacing w:after="0"/>
              <w:rPr>
                <w:sz w:val="20"/>
                <w:szCs w:val="20"/>
                <w:color w:val="auto"/>
              </w:rPr>
            </w:pPr>
            <w:r>
              <w:rPr>
                <w:rFonts w:ascii="Arial" w:cs="Arial" w:eastAsia="Arial" w:hAnsi="Arial"/>
                <w:sz w:val="14"/>
                <w:szCs w:val="14"/>
                <w:color w:val="auto"/>
              </w:rPr>
              <w:t>3</w:t>
            </w:r>
          </w:p>
        </w:tc>
        <w:tc>
          <w:tcPr>
            <w:tcW w:w="380" w:type="dxa"/>
            <w:vAlign w:val="bottom"/>
            <w:tcBorders>
              <w:bottom w:val="single" w:sz="8" w:color="E0DBEA"/>
            </w:tcBorders>
            <w:shd w:val="clear" w:color="auto" w:fill="E0DBEA"/>
          </w:tcPr>
          <w:p>
            <w:pPr>
              <w:spacing w:after="0"/>
              <w:rPr>
                <w:sz w:val="20"/>
                <w:szCs w:val="20"/>
                <w:color w:val="auto"/>
              </w:rPr>
            </w:pPr>
          </w:p>
        </w:tc>
        <w:tc>
          <w:tcPr>
            <w:tcW w:w="700" w:type="dxa"/>
            <w:vAlign w:val="bottom"/>
            <w:tcBorders>
              <w:bottom w:val="single" w:sz="8" w:color="E0DBEA"/>
            </w:tcBorders>
            <w:shd w:val="clear" w:color="auto" w:fill="E0DBEA"/>
          </w:tcPr>
          <w:p>
            <w:pPr>
              <w:jc w:val="right"/>
              <w:ind w:right="29"/>
              <w:spacing w:after="0"/>
              <w:rPr>
                <w:sz w:val="20"/>
                <w:szCs w:val="20"/>
                <w:color w:val="auto"/>
              </w:rPr>
            </w:pPr>
            <w:r>
              <w:rPr>
                <w:rFonts w:ascii="Arial" w:cs="Arial" w:eastAsia="Arial" w:hAnsi="Arial"/>
                <w:sz w:val="14"/>
                <w:szCs w:val="14"/>
                <w:color w:val="auto"/>
              </w:rPr>
              <w:t>(2)</w:t>
            </w:r>
          </w:p>
        </w:tc>
        <w:tc>
          <w:tcPr>
            <w:tcW w:w="840" w:type="dxa"/>
            <w:vAlign w:val="bottom"/>
            <w:tcBorders>
              <w:bottom w:val="single" w:sz="8" w:color="E0DBEA"/>
            </w:tcBorders>
            <w:shd w:val="clear" w:color="auto" w:fill="E0DBEA"/>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00" w:type="dxa"/>
            <w:vAlign w:val="bottom"/>
            <w:tcBorders>
              <w:top w:val="single" w:sz="8" w:color="582C83"/>
            </w:tcBorders>
          </w:tcPr>
          <w:p>
            <w:pPr>
              <w:ind w:left="40"/>
              <w:spacing w:after="0"/>
              <w:rPr>
                <w:sz w:val="20"/>
                <w:szCs w:val="20"/>
                <w:color w:val="auto"/>
              </w:rPr>
            </w:pPr>
            <w:r>
              <w:rPr>
                <w:rFonts w:ascii="Arial" w:cs="Arial" w:eastAsia="Arial" w:hAnsi="Arial"/>
                <w:sz w:val="14"/>
                <w:szCs w:val="14"/>
                <w:color w:val="auto"/>
              </w:rPr>
              <w:t>ERP System Implementation costs</w:t>
            </w:r>
          </w:p>
        </w:tc>
        <w:tc>
          <w:tcPr>
            <w:tcW w:w="560" w:type="dxa"/>
            <w:vAlign w:val="bottom"/>
            <w:tcBorders>
              <w:top w:val="single" w:sz="8" w:color="582C83"/>
            </w:tcBorders>
          </w:tcPr>
          <w:p>
            <w:pPr>
              <w:spacing w:after="0"/>
              <w:rPr>
                <w:sz w:val="18"/>
                <w:szCs w:val="18"/>
                <w:color w:val="auto"/>
              </w:rPr>
            </w:pPr>
          </w:p>
        </w:tc>
        <w:tc>
          <w:tcPr>
            <w:tcW w:w="760" w:type="dxa"/>
            <w:vAlign w:val="bottom"/>
            <w:tcBorders>
              <w:top w:val="single" w:sz="8" w:color="582C83"/>
            </w:tcBorders>
          </w:tcPr>
          <w:p>
            <w:pPr>
              <w:jc w:val="right"/>
              <w:ind w:right="189"/>
              <w:spacing w:after="0"/>
              <w:rPr>
                <w:sz w:val="20"/>
                <w:szCs w:val="20"/>
                <w:color w:val="auto"/>
              </w:rPr>
            </w:pPr>
            <w:r>
              <w:rPr>
                <w:rFonts w:ascii="Arial" w:cs="Arial" w:eastAsia="Arial" w:hAnsi="Arial"/>
                <w:sz w:val="14"/>
                <w:szCs w:val="14"/>
                <w:color w:val="auto"/>
              </w:rPr>
              <w:t>163</w:t>
            </w:r>
          </w:p>
        </w:tc>
        <w:tc>
          <w:tcPr>
            <w:tcW w:w="360" w:type="dxa"/>
            <w:vAlign w:val="bottom"/>
            <w:tcBorders>
              <w:top w:val="single" w:sz="8" w:color="582C83"/>
            </w:tcBorders>
          </w:tcPr>
          <w:p>
            <w:pPr>
              <w:spacing w:after="0"/>
              <w:rPr>
                <w:sz w:val="18"/>
                <w:szCs w:val="18"/>
                <w:color w:val="auto"/>
              </w:rPr>
            </w:pPr>
          </w:p>
        </w:tc>
        <w:tc>
          <w:tcPr>
            <w:tcW w:w="720" w:type="dxa"/>
            <w:vAlign w:val="bottom"/>
            <w:tcBorders>
              <w:top w:val="single" w:sz="8" w:color="582C83"/>
            </w:tcBorders>
          </w:tcPr>
          <w:p>
            <w:pPr>
              <w:jc w:val="right"/>
              <w:ind w:right="149"/>
              <w:spacing w:after="0"/>
              <w:rPr>
                <w:sz w:val="20"/>
                <w:szCs w:val="20"/>
                <w:color w:val="auto"/>
              </w:rPr>
            </w:pPr>
            <w:r>
              <w:rPr>
                <w:rFonts w:ascii="Arial" w:cs="Arial" w:eastAsia="Arial" w:hAnsi="Arial"/>
                <w:sz w:val="14"/>
                <w:szCs w:val="14"/>
                <w:color w:val="auto"/>
              </w:rPr>
              <w:t>78</w:t>
            </w:r>
          </w:p>
        </w:tc>
        <w:tc>
          <w:tcPr>
            <w:tcW w:w="380" w:type="dxa"/>
            <w:vAlign w:val="bottom"/>
            <w:tcBorders>
              <w:top w:val="single" w:sz="8" w:color="582C83"/>
            </w:tcBorders>
          </w:tcPr>
          <w:p>
            <w:pPr>
              <w:spacing w:after="0"/>
              <w:rPr>
                <w:sz w:val="18"/>
                <w:szCs w:val="18"/>
                <w:color w:val="auto"/>
              </w:rPr>
            </w:pPr>
          </w:p>
        </w:tc>
        <w:tc>
          <w:tcPr>
            <w:tcW w:w="700" w:type="dxa"/>
            <w:vAlign w:val="bottom"/>
            <w:tcBorders>
              <w:top w:val="single" w:sz="8" w:color="582C83"/>
            </w:tcBorders>
          </w:tcPr>
          <w:p>
            <w:pPr>
              <w:jc w:val="right"/>
              <w:ind w:right="69"/>
              <w:spacing w:after="0"/>
              <w:rPr>
                <w:sz w:val="20"/>
                <w:szCs w:val="20"/>
                <w:color w:val="auto"/>
              </w:rPr>
            </w:pPr>
            <w:r>
              <w:rPr>
                <w:rFonts w:ascii="Arial" w:cs="Arial" w:eastAsia="Arial" w:hAnsi="Arial"/>
                <w:sz w:val="14"/>
                <w:szCs w:val="14"/>
                <w:color w:val="auto"/>
              </w:rPr>
              <w:t>85</w:t>
            </w:r>
          </w:p>
        </w:tc>
        <w:tc>
          <w:tcPr>
            <w:tcW w:w="840" w:type="dxa"/>
            <w:vAlign w:val="bottom"/>
            <w:tcBorders>
              <w:top w:val="single" w:sz="8" w:color="582C83"/>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700" w:type="dxa"/>
            <w:vAlign w:val="bottom"/>
            <w:tcBorders>
              <w:bottom w:val="single" w:sz="8" w:color="582C83"/>
            </w:tcBorders>
          </w:tcPr>
          <w:p>
            <w:pPr>
              <w:spacing w:after="0" w:line="20" w:lineRule="exact"/>
              <w:rPr>
                <w:sz w:val="1"/>
                <w:szCs w:val="1"/>
                <w:color w:val="auto"/>
              </w:rPr>
            </w:pPr>
          </w:p>
        </w:tc>
        <w:tc>
          <w:tcPr>
            <w:tcW w:w="560" w:type="dxa"/>
            <w:vAlign w:val="bottom"/>
            <w:tcBorders>
              <w:bottom w:val="single" w:sz="8" w:color="582C83"/>
            </w:tcBorders>
          </w:tcPr>
          <w:p>
            <w:pPr>
              <w:spacing w:after="0" w:line="20" w:lineRule="exact"/>
              <w:rPr>
                <w:sz w:val="1"/>
                <w:szCs w:val="1"/>
                <w:color w:val="auto"/>
              </w:rPr>
            </w:pPr>
          </w:p>
        </w:tc>
        <w:tc>
          <w:tcPr>
            <w:tcW w:w="760" w:type="dxa"/>
            <w:vAlign w:val="bottom"/>
            <w:tcBorders>
              <w:bottom w:val="single" w:sz="8" w:color="582C83"/>
            </w:tcBorders>
          </w:tcPr>
          <w:p>
            <w:pPr>
              <w:spacing w:after="0" w:line="20" w:lineRule="exact"/>
              <w:rPr>
                <w:sz w:val="1"/>
                <w:szCs w:val="1"/>
                <w:color w:val="auto"/>
              </w:rPr>
            </w:pPr>
          </w:p>
        </w:tc>
        <w:tc>
          <w:tcPr>
            <w:tcW w:w="360" w:type="dxa"/>
            <w:vAlign w:val="bottom"/>
            <w:tcBorders>
              <w:bottom w:val="single" w:sz="8" w:color="582C83"/>
            </w:tcBorders>
          </w:tcPr>
          <w:p>
            <w:pPr>
              <w:spacing w:after="0" w:line="20" w:lineRule="exact"/>
              <w:rPr>
                <w:sz w:val="1"/>
                <w:szCs w:val="1"/>
                <w:color w:val="auto"/>
              </w:rPr>
            </w:pPr>
          </w:p>
        </w:tc>
        <w:tc>
          <w:tcPr>
            <w:tcW w:w="720" w:type="dxa"/>
            <w:vAlign w:val="bottom"/>
            <w:tcBorders>
              <w:bottom w:val="single" w:sz="8" w:color="582C83"/>
            </w:tcBorders>
          </w:tcPr>
          <w:p>
            <w:pPr>
              <w:spacing w:after="0" w:line="20" w:lineRule="exact"/>
              <w:rPr>
                <w:sz w:val="1"/>
                <w:szCs w:val="1"/>
                <w:color w:val="auto"/>
              </w:rPr>
            </w:pPr>
          </w:p>
        </w:tc>
        <w:tc>
          <w:tcPr>
            <w:tcW w:w="380" w:type="dxa"/>
            <w:vAlign w:val="bottom"/>
            <w:tcBorders>
              <w:bottom w:val="single" w:sz="8" w:color="582C83"/>
            </w:tcBorders>
          </w:tcPr>
          <w:p>
            <w:pPr>
              <w:spacing w:after="0" w:line="20" w:lineRule="exact"/>
              <w:rPr>
                <w:sz w:val="1"/>
                <w:szCs w:val="1"/>
                <w:color w:val="auto"/>
              </w:rPr>
            </w:pPr>
          </w:p>
        </w:tc>
        <w:tc>
          <w:tcPr>
            <w:tcW w:w="700" w:type="dxa"/>
            <w:vAlign w:val="bottom"/>
            <w:tcBorders>
              <w:bottom w:val="single" w:sz="8" w:color="582C83"/>
            </w:tcBorders>
          </w:tcPr>
          <w:p>
            <w:pPr>
              <w:spacing w:after="0" w:line="20" w:lineRule="exact"/>
              <w:rPr>
                <w:sz w:val="1"/>
                <w:szCs w:val="1"/>
                <w:color w:val="auto"/>
              </w:rPr>
            </w:pPr>
          </w:p>
        </w:tc>
        <w:tc>
          <w:tcPr>
            <w:tcW w:w="840" w:type="dxa"/>
            <w:vAlign w:val="bottom"/>
            <w:tcBorders>
              <w:bottom w:val="single" w:sz="8" w:color="582C8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700" w:type="dxa"/>
            <w:vAlign w:val="bottom"/>
            <w:tcBorders>
              <w:bottom w:val="single" w:sz="8" w:color="E0DBEA"/>
            </w:tcBorders>
            <w:shd w:val="clear" w:color="auto" w:fill="E0DBEA"/>
          </w:tcPr>
          <w:p>
            <w:pPr>
              <w:ind w:left="40"/>
              <w:spacing w:after="0"/>
              <w:rPr>
                <w:sz w:val="20"/>
                <w:szCs w:val="20"/>
                <w:color w:val="auto"/>
              </w:rPr>
            </w:pPr>
            <w:r>
              <w:rPr>
                <w:rFonts w:ascii="Arial" w:cs="Arial" w:eastAsia="Arial" w:hAnsi="Arial"/>
                <w:sz w:val="14"/>
                <w:szCs w:val="14"/>
                <w:color w:val="auto"/>
              </w:rPr>
              <w:t>Remeasurement of net monetary position</w:t>
            </w:r>
          </w:p>
        </w:tc>
        <w:tc>
          <w:tcPr>
            <w:tcW w:w="560" w:type="dxa"/>
            <w:vAlign w:val="bottom"/>
            <w:tcBorders>
              <w:bottom w:val="single" w:sz="8" w:color="E0DBEA"/>
            </w:tcBorders>
            <w:shd w:val="clear" w:color="auto" w:fill="E0DBEA"/>
          </w:tcPr>
          <w:p>
            <w:pPr>
              <w:spacing w:after="0"/>
              <w:rPr>
                <w:sz w:val="20"/>
                <w:szCs w:val="20"/>
                <w:color w:val="auto"/>
              </w:rPr>
            </w:pPr>
          </w:p>
        </w:tc>
        <w:tc>
          <w:tcPr>
            <w:tcW w:w="760" w:type="dxa"/>
            <w:vAlign w:val="bottom"/>
            <w:tcBorders>
              <w:bottom w:val="single" w:sz="8" w:color="E0DBEA"/>
            </w:tcBorders>
            <w:shd w:val="clear" w:color="auto" w:fill="E0DBEA"/>
          </w:tcPr>
          <w:p>
            <w:pPr>
              <w:jc w:val="right"/>
              <w:ind w:right="189"/>
              <w:spacing w:after="0"/>
              <w:rPr>
                <w:sz w:val="20"/>
                <w:szCs w:val="20"/>
                <w:color w:val="auto"/>
              </w:rPr>
            </w:pPr>
            <w:r>
              <w:rPr>
                <w:rFonts w:ascii="Arial" w:cs="Arial" w:eastAsia="Arial" w:hAnsi="Arial"/>
                <w:sz w:val="14"/>
                <w:szCs w:val="14"/>
                <w:color w:val="auto"/>
              </w:rPr>
              <w:t>34</w:t>
            </w:r>
          </w:p>
        </w:tc>
        <w:tc>
          <w:tcPr>
            <w:tcW w:w="360" w:type="dxa"/>
            <w:vAlign w:val="bottom"/>
            <w:tcBorders>
              <w:bottom w:val="single" w:sz="8" w:color="E0DBEA"/>
            </w:tcBorders>
            <w:shd w:val="clear" w:color="auto" w:fill="E0DBEA"/>
          </w:tcPr>
          <w:p>
            <w:pPr>
              <w:spacing w:after="0"/>
              <w:rPr>
                <w:sz w:val="20"/>
                <w:szCs w:val="20"/>
                <w:color w:val="auto"/>
              </w:rPr>
            </w:pPr>
          </w:p>
        </w:tc>
        <w:tc>
          <w:tcPr>
            <w:tcW w:w="720" w:type="dxa"/>
            <w:vAlign w:val="bottom"/>
            <w:tcBorders>
              <w:bottom w:val="single" w:sz="8" w:color="E0DBEA"/>
            </w:tcBorders>
            <w:shd w:val="clear" w:color="auto" w:fill="E0DBEA"/>
          </w:tcPr>
          <w:p>
            <w:pPr>
              <w:jc w:val="right"/>
              <w:ind w:right="149"/>
              <w:spacing w:after="0"/>
              <w:rPr>
                <w:sz w:val="20"/>
                <w:szCs w:val="20"/>
                <w:color w:val="auto"/>
              </w:rPr>
            </w:pPr>
            <w:r>
              <w:rPr>
                <w:rFonts w:ascii="Arial" w:cs="Arial" w:eastAsia="Arial" w:hAnsi="Arial"/>
                <w:sz w:val="14"/>
                <w:szCs w:val="14"/>
                <w:color w:val="auto"/>
              </w:rPr>
              <w:t>31</w:t>
            </w:r>
          </w:p>
        </w:tc>
        <w:tc>
          <w:tcPr>
            <w:tcW w:w="380" w:type="dxa"/>
            <w:vAlign w:val="bottom"/>
            <w:tcBorders>
              <w:bottom w:val="single" w:sz="8" w:color="E0DBEA"/>
            </w:tcBorders>
            <w:shd w:val="clear" w:color="auto" w:fill="E0DBEA"/>
          </w:tcPr>
          <w:p>
            <w:pPr>
              <w:spacing w:after="0"/>
              <w:rPr>
                <w:sz w:val="20"/>
                <w:szCs w:val="20"/>
                <w:color w:val="auto"/>
              </w:rPr>
            </w:pPr>
          </w:p>
        </w:tc>
        <w:tc>
          <w:tcPr>
            <w:tcW w:w="700" w:type="dxa"/>
            <w:vAlign w:val="bottom"/>
            <w:tcBorders>
              <w:bottom w:val="single" w:sz="8" w:color="E0DBEA"/>
            </w:tcBorders>
            <w:shd w:val="clear" w:color="auto" w:fill="E0DBEA"/>
          </w:tcPr>
          <w:p>
            <w:pPr>
              <w:jc w:val="right"/>
              <w:ind w:right="69"/>
              <w:spacing w:after="0"/>
              <w:rPr>
                <w:sz w:val="20"/>
                <w:szCs w:val="20"/>
                <w:color w:val="auto"/>
              </w:rPr>
            </w:pPr>
            <w:r>
              <w:rPr>
                <w:rFonts w:ascii="Arial" w:cs="Arial" w:eastAsia="Arial" w:hAnsi="Arial"/>
                <w:sz w:val="14"/>
                <w:szCs w:val="14"/>
                <w:color w:val="auto"/>
              </w:rPr>
              <w:t>3</w:t>
            </w:r>
          </w:p>
        </w:tc>
        <w:tc>
          <w:tcPr>
            <w:tcW w:w="840" w:type="dxa"/>
            <w:vAlign w:val="bottom"/>
            <w:tcBorders>
              <w:bottom w:val="single" w:sz="8" w:color="E0DBEA"/>
            </w:tcBorders>
            <w:shd w:val="clear" w:color="auto" w:fill="E0DBEA"/>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00" w:type="dxa"/>
            <w:vAlign w:val="bottom"/>
            <w:tcBorders>
              <w:top w:val="single" w:sz="8" w:color="582C83"/>
            </w:tcBorders>
          </w:tcPr>
          <w:p>
            <w:pPr>
              <w:ind w:left="40"/>
              <w:spacing w:after="0"/>
              <w:rPr>
                <w:sz w:val="20"/>
                <w:szCs w:val="20"/>
                <w:color w:val="auto"/>
              </w:rPr>
            </w:pPr>
            <w:r>
              <w:rPr>
                <w:rFonts w:ascii="Arial" w:cs="Arial" w:eastAsia="Arial" w:hAnsi="Arial"/>
                <w:sz w:val="14"/>
                <w:szCs w:val="14"/>
                <w:color w:val="auto"/>
              </w:rPr>
              <w:t>Resolution of tax matters</w:t>
            </w:r>
          </w:p>
        </w:tc>
        <w:tc>
          <w:tcPr>
            <w:tcW w:w="560" w:type="dxa"/>
            <w:vAlign w:val="bottom"/>
            <w:tcBorders>
              <w:top w:val="single" w:sz="8" w:color="582C83"/>
            </w:tcBorders>
          </w:tcPr>
          <w:p>
            <w:pPr>
              <w:spacing w:after="0"/>
              <w:rPr>
                <w:sz w:val="18"/>
                <w:szCs w:val="18"/>
                <w:color w:val="auto"/>
              </w:rPr>
            </w:pPr>
          </w:p>
        </w:tc>
        <w:tc>
          <w:tcPr>
            <w:tcW w:w="760" w:type="dxa"/>
            <w:vAlign w:val="bottom"/>
            <w:tcBorders>
              <w:top w:val="single" w:sz="8" w:color="582C83"/>
            </w:tcBorders>
          </w:tcPr>
          <w:p>
            <w:pPr>
              <w:jc w:val="right"/>
              <w:ind w:right="149"/>
              <w:spacing w:after="0"/>
              <w:rPr>
                <w:sz w:val="20"/>
                <w:szCs w:val="20"/>
                <w:color w:val="auto"/>
              </w:rPr>
            </w:pPr>
            <w:r>
              <w:rPr>
                <w:rFonts w:ascii="Arial" w:cs="Arial" w:eastAsia="Arial" w:hAnsi="Arial"/>
                <w:sz w:val="14"/>
                <w:szCs w:val="14"/>
                <w:color w:val="auto"/>
              </w:rPr>
              <w:t>(16)</w:t>
            </w:r>
          </w:p>
        </w:tc>
        <w:tc>
          <w:tcPr>
            <w:tcW w:w="360" w:type="dxa"/>
            <w:vAlign w:val="bottom"/>
            <w:tcBorders>
              <w:top w:val="single" w:sz="8" w:color="582C83"/>
            </w:tcBorders>
          </w:tcPr>
          <w:p>
            <w:pPr>
              <w:spacing w:after="0"/>
              <w:rPr>
                <w:sz w:val="18"/>
                <w:szCs w:val="18"/>
                <w:color w:val="auto"/>
              </w:rPr>
            </w:pPr>
          </w:p>
        </w:tc>
        <w:tc>
          <w:tcPr>
            <w:tcW w:w="720" w:type="dxa"/>
            <w:vAlign w:val="bottom"/>
            <w:tcBorders>
              <w:top w:val="single" w:sz="8" w:color="582C83"/>
            </w:tcBorders>
          </w:tcPr>
          <w:p>
            <w:pPr>
              <w:jc w:val="right"/>
              <w:ind w:right="149"/>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582C83"/>
            </w:tcBorders>
          </w:tcPr>
          <w:p>
            <w:pPr>
              <w:spacing w:after="0"/>
              <w:rPr>
                <w:sz w:val="18"/>
                <w:szCs w:val="18"/>
                <w:color w:val="auto"/>
              </w:rPr>
            </w:pPr>
          </w:p>
        </w:tc>
        <w:tc>
          <w:tcPr>
            <w:tcW w:w="700" w:type="dxa"/>
            <w:vAlign w:val="bottom"/>
            <w:tcBorders>
              <w:top w:val="single" w:sz="8" w:color="582C83"/>
            </w:tcBorders>
          </w:tcPr>
          <w:p>
            <w:pPr>
              <w:jc w:val="right"/>
              <w:ind w:right="29"/>
              <w:spacing w:after="0"/>
              <w:rPr>
                <w:sz w:val="20"/>
                <w:szCs w:val="20"/>
                <w:color w:val="auto"/>
              </w:rPr>
            </w:pPr>
            <w:r>
              <w:rPr>
                <w:rFonts w:ascii="Arial" w:cs="Arial" w:eastAsia="Arial" w:hAnsi="Arial"/>
                <w:sz w:val="14"/>
                <w:szCs w:val="14"/>
                <w:color w:val="auto"/>
              </w:rPr>
              <w:t>(16)</w:t>
            </w:r>
          </w:p>
        </w:tc>
        <w:tc>
          <w:tcPr>
            <w:tcW w:w="840" w:type="dxa"/>
            <w:vAlign w:val="bottom"/>
            <w:tcBorders>
              <w:top w:val="single" w:sz="8" w:color="582C83"/>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700" w:type="dxa"/>
            <w:vAlign w:val="bottom"/>
            <w:tcBorders>
              <w:bottom w:val="single" w:sz="8" w:color="582C83"/>
            </w:tcBorders>
          </w:tcPr>
          <w:p>
            <w:pPr>
              <w:spacing w:after="0" w:line="20" w:lineRule="exact"/>
              <w:rPr>
                <w:sz w:val="1"/>
                <w:szCs w:val="1"/>
                <w:color w:val="auto"/>
              </w:rPr>
            </w:pPr>
          </w:p>
        </w:tc>
        <w:tc>
          <w:tcPr>
            <w:tcW w:w="560" w:type="dxa"/>
            <w:vAlign w:val="bottom"/>
            <w:tcBorders>
              <w:bottom w:val="single" w:sz="8" w:color="582C83"/>
            </w:tcBorders>
          </w:tcPr>
          <w:p>
            <w:pPr>
              <w:spacing w:after="0" w:line="20" w:lineRule="exact"/>
              <w:rPr>
                <w:sz w:val="1"/>
                <w:szCs w:val="1"/>
                <w:color w:val="auto"/>
              </w:rPr>
            </w:pPr>
          </w:p>
        </w:tc>
        <w:tc>
          <w:tcPr>
            <w:tcW w:w="760" w:type="dxa"/>
            <w:vAlign w:val="bottom"/>
            <w:tcBorders>
              <w:bottom w:val="single" w:sz="8" w:color="582C83"/>
            </w:tcBorders>
          </w:tcPr>
          <w:p>
            <w:pPr>
              <w:spacing w:after="0" w:line="20" w:lineRule="exact"/>
              <w:rPr>
                <w:sz w:val="1"/>
                <w:szCs w:val="1"/>
                <w:color w:val="auto"/>
              </w:rPr>
            </w:pPr>
          </w:p>
        </w:tc>
        <w:tc>
          <w:tcPr>
            <w:tcW w:w="360" w:type="dxa"/>
            <w:vAlign w:val="bottom"/>
            <w:tcBorders>
              <w:bottom w:val="single" w:sz="8" w:color="582C83"/>
            </w:tcBorders>
          </w:tcPr>
          <w:p>
            <w:pPr>
              <w:spacing w:after="0" w:line="20" w:lineRule="exact"/>
              <w:rPr>
                <w:sz w:val="1"/>
                <w:szCs w:val="1"/>
                <w:color w:val="auto"/>
              </w:rPr>
            </w:pPr>
          </w:p>
        </w:tc>
        <w:tc>
          <w:tcPr>
            <w:tcW w:w="720" w:type="dxa"/>
            <w:vAlign w:val="bottom"/>
            <w:tcBorders>
              <w:bottom w:val="single" w:sz="8" w:color="582C83"/>
            </w:tcBorders>
          </w:tcPr>
          <w:p>
            <w:pPr>
              <w:spacing w:after="0" w:line="20" w:lineRule="exact"/>
              <w:rPr>
                <w:sz w:val="1"/>
                <w:szCs w:val="1"/>
                <w:color w:val="auto"/>
              </w:rPr>
            </w:pPr>
          </w:p>
        </w:tc>
        <w:tc>
          <w:tcPr>
            <w:tcW w:w="380" w:type="dxa"/>
            <w:vAlign w:val="bottom"/>
            <w:tcBorders>
              <w:bottom w:val="single" w:sz="8" w:color="582C83"/>
            </w:tcBorders>
          </w:tcPr>
          <w:p>
            <w:pPr>
              <w:spacing w:after="0" w:line="20" w:lineRule="exact"/>
              <w:rPr>
                <w:sz w:val="1"/>
                <w:szCs w:val="1"/>
                <w:color w:val="auto"/>
              </w:rPr>
            </w:pPr>
          </w:p>
        </w:tc>
        <w:tc>
          <w:tcPr>
            <w:tcW w:w="700" w:type="dxa"/>
            <w:vAlign w:val="bottom"/>
            <w:tcBorders>
              <w:bottom w:val="single" w:sz="8" w:color="582C83"/>
            </w:tcBorders>
          </w:tcPr>
          <w:p>
            <w:pPr>
              <w:spacing w:after="0" w:line="20" w:lineRule="exact"/>
              <w:rPr>
                <w:sz w:val="1"/>
                <w:szCs w:val="1"/>
                <w:color w:val="auto"/>
              </w:rPr>
            </w:pPr>
          </w:p>
        </w:tc>
        <w:tc>
          <w:tcPr>
            <w:tcW w:w="840" w:type="dxa"/>
            <w:vAlign w:val="bottom"/>
            <w:tcBorders>
              <w:bottom w:val="single" w:sz="8" w:color="582C8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00" w:type="dxa"/>
            <w:vAlign w:val="bottom"/>
            <w:tcBorders>
              <w:bottom w:val="single" w:sz="8" w:color="582C83"/>
            </w:tcBorders>
            <w:shd w:val="clear" w:color="auto" w:fill="E0DBEA"/>
          </w:tcPr>
          <w:p>
            <w:pPr>
              <w:ind w:left="40"/>
              <w:spacing w:after="0" w:line="161" w:lineRule="exact"/>
              <w:rPr>
                <w:sz w:val="20"/>
                <w:szCs w:val="20"/>
                <w:color w:val="auto"/>
              </w:rPr>
            </w:pPr>
            <w:r>
              <w:rPr>
                <w:rFonts w:ascii="Arial" w:cs="Arial" w:eastAsia="Arial" w:hAnsi="Arial"/>
                <w:sz w:val="14"/>
                <w:szCs w:val="14"/>
                <w:b w:val="1"/>
                <w:bCs w:val="1"/>
                <w:color w:val="auto"/>
              </w:rPr>
              <w:t>Adjusted (Non</w:t>
            </w:r>
            <w:r>
              <w:rPr>
                <w:rFonts w:ascii="MS PGothic" w:cs="MS PGothic" w:eastAsia="MS PGothic" w:hAnsi="MS PGothic"/>
                <w:sz w:val="14"/>
                <w:szCs w:val="14"/>
                <w:color w:val="auto"/>
                <w:strike w:val="1"/>
              </w:rPr>
              <w:t>‑</w:t>
            </w:r>
            <w:r>
              <w:rPr>
                <w:rFonts w:ascii="Arial" w:cs="Arial" w:eastAsia="Arial" w:hAnsi="Arial"/>
                <w:sz w:val="14"/>
                <w:szCs w:val="14"/>
                <w:b w:val="1"/>
                <w:bCs w:val="1"/>
                <w:color w:val="auto"/>
              </w:rPr>
              <w:t>GAAP)</w:t>
            </w:r>
          </w:p>
        </w:tc>
        <w:tc>
          <w:tcPr>
            <w:tcW w:w="56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582C83"/>
            </w:tcBorders>
            <w:shd w:val="clear" w:color="auto" w:fill="E0DBEA"/>
          </w:tcPr>
          <w:p>
            <w:pPr>
              <w:jc w:val="right"/>
              <w:ind w:right="189"/>
              <w:spacing w:after="0"/>
              <w:rPr>
                <w:sz w:val="20"/>
                <w:szCs w:val="20"/>
                <w:color w:val="auto"/>
              </w:rPr>
            </w:pPr>
            <w:r>
              <w:rPr>
                <w:rFonts w:ascii="Arial" w:cs="Arial" w:eastAsia="Arial" w:hAnsi="Arial"/>
                <w:sz w:val="14"/>
                <w:szCs w:val="14"/>
                <w:b w:val="1"/>
                <w:bCs w:val="1"/>
                <w:color w:val="auto"/>
              </w:rPr>
              <w:t>5,074</w:t>
            </w:r>
          </w:p>
        </w:tc>
        <w:tc>
          <w:tcPr>
            <w:tcW w:w="36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582C83"/>
            </w:tcBorders>
            <w:shd w:val="clear" w:color="auto" w:fill="E0DBEA"/>
          </w:tcPr>
          <w:p>
            <w:pPr>
              <w:jc w:val="right"/>
              <w:ind w:right="149"/>
              <w:spacing w:after="0"/>
              <w:rPr>
                <w:sz w:val="20"/>
                <w:szCs w:val="20"/>
                <w:color w:val="auto"/>
              </w:rPr>
            </w:pPr>
            <w:r>
              <w:rPr>
                <w:rFonts w:ascii="Arial" w:cs="Arial" w:eastAsia="Arial" w:hAnsi="Arial"/>
                <w:sz w:val="14"/>
                <w:szCs w:val="14"/>
                <w:b w:val="1"/>
                <w:bCs w:val="1"/>
                <w:color w:val="auto"/>
              </w:rPr>
              <w:t>5,896</w:t>
            </w:r>
          </w:p>
        </w:tc>
        <w:tc>
          <w:tcPr>
            <w:tcW w:w="38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582C83"/>
            </w:tcBorders>
            <w:shd w:val="clear" w:color="auto" w:fill="E0DBEA"/>
          </w:tcPr>
          <w:p>
            <w:pPr>
              <w:jc w:val="right"/>
              <w:ind w:right="29"/>
              <w:spacing w:after="0"/>
              <w:rPr>
                <w:sz w:val="20"/>
                <w:szCs w:val="20"/>
                <w:color w:val="auto"/>
              </w:rPr>
            </w:pPr>
            <w:r>
              <w:rPr>
                <w:rFonts w:ascii="Arial" w:cs="Arial" w:eastAsia="Arial" w:hAnsi="Arial"/>
                <w:sz w:val="14"/>
                <w:szCs w:val="14"/>
                <w:b w:val="1"/>
                <w:bCs w:val="1"/>
                <w:color w:val="auto"/>
              </w:rPr>
              <w:t>(822)</w:t>
            </w:r>
          </w:p>
        </w:tc>
        <w:tc>
          <w:tcPr>
            <w:tcW w:w="8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b w:val="1"/>
                <w:bCs w:val="1"/>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0"/>
              <w:spacing w:after="0"/>
              <w:rPr>
                <w:sz w:val="20"/>
                <w:szCs w:val="20"/>
                <w:color w:val="auto"/>
              </w:rPr>
            </w:pPr>
            <w:r>
              <w:rPr>
                <w:rFonts w:ascii="Arial" w:cs="Arial" w:eastAsia="Arial" w:hAnsi="Arial"/>
                <w:sz w:val="14"/>
                <w:szCs w:val="14"/>
                <w:color w:val="auto"/>
              </w:rPr>
              <w:t>Currency-related items</w:t>
            </w:r>
          </w:p>
        </w:tc>
        <w:tc>
          <w:tcPr>
            <w:tcW w:w="560" w:type="dxa"/>
            <w:vAlign w:val="bottom"/>
          </w:tcPr>
          <w:p>
            <w:pPr>
              <w:spacing w:after="0"/>
              <w:rPr>
                <w:sz w:val="18"/>
                <w:szCs w:val="18"/>
                <w:color w:val="auto"/>
              </w:rPr>
            </w:pPr>
          </w:p>
        </w:tc>
        <w:tc>
          <w:tcPr>
            <w:tcW w:w="760" w:type="dxa"/>
            <w:vAlign w:val="bottom"/>
          </w:tcPr>
          <w:p>
            <w:pPr>
              <w:jc w:val="right"/>
              <w:ind w:right="149"/>
              <w:spacing w:after="0"/>
              <w:rPr>
                <w:sz w:val="20"/>
                <w:szCs w:val="20"/>
                <w:color w:val="auto"/>
              </w:rPr>
            </w:pPr>
            <w:r>
              <w:rPr>
                <w:rFonts w:ascii="Arial" w:cs="Arial" w:eastAsia="Arial" w:hAnsi="Arial"/>
                <w:sz w:val="14"/>
                <w:szCs w:val="14"/>
                <w:color w:val="auto"/>
              </w:rPr>
              <w:t>(94)</w:t>
            </w:r>
          </w:p>
        </w:tc>
        <w:tc>
          <w:tcPr>
            <w:tcW w:w="360" w:type="dxa"/>
            <w:vAlign w:val="bottom"/>
          </w:tcPr>
          <w:p>
            <w:pPr>
              <w:spacing w:after="0"/>
              <w:rPr>
                <w:sz w:val="18"/>
                <w:szCs w:val="18"/>
                <w:color w:val="auto"/>
              </w:rPr>
            </w:pPr>
          </w:p>
        </w:tc>
        <w:tc>
          <w:tcPr>
            <w:tcW w:w="7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(94)</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700" w:type="dxa"/>
            <w:vAlign w:val="bottom"/>
            <w:tcBorders>
              <w:bottom w:val="single" w:sz="8" w:color="582C83"/>
            </w:tcBorders>
          </w:tcPr>
          <w:p>
            <w:pPr>
              <w:spacing w:after="0" w:line="20" w:lineRule="exact"/>
              <w:rPr>
                <w:sz w:val="1"/>
                <w:szCs w:val="1"/>
                <w:color w:val="auto"/>
              </w:rPr>
            </w:pPr>
          </w:p>
        </w:tc>
        <w:tc>
          <w:tcPr>
            <w:tcW w:w="560" w:type="dxa"/>
            <w:vAlign w:val="bottom"/>
            <w:tcBorders>
              <w:bottom w:val="single" w:sz="8" w:color="582C83"/>
            </w:tcBorders>
          </w:tcPr>
          <w:p>
            <w:pPr>
              <w:spacing w:after="0" w:line="20" w:lineRule="exact"/>
              <w:rPr>
                <w:sz w:val="1"/>
                <w:szCs w:val="1"/>
                <w:color w:val="auto"/>
              </w:rPr>
            </w:pPr>
          </w:p>
        </w:tc>
        <w:tc>
          <w:tcPr>
            <w:tcW w:w="760" w:type="dxa"/>
            <w:vAlign w:val="bottom"/>
            <w:tcBorders>
              <w:bottom w:val="single" w:sz="8" w:color="582C83"/>
            </w:tcBorders>
          </w:tcPr>
          <w:p>
            <w:pPr>
              <w:spacing w:after="0" w:line="20" w:lineRule="exact"/>
              <w:rPr>
                <w:sz w:val="1"/>
                <w:szCs w:val="1"/>
                <w:color w:val="auto"/>
              </w:rPr>
            </w:pPr>
          </w:p>
        </w:tc>
        <w:tc>
          <w:tcPr>
            <w:tcW w:w="360" w:type="dxa"/>
            <w:vAlign w:val="bottom"/>
            <w:tcBorders>
              <w:bottom w:val="single" w:sz="8" w:color="582C83"/>
            </w:tcBorders>
          </w:tcPr>
          <w:p>
            <w:pPr>
              <w:spacing w:after="0" w:line="20" w:lineRule="exact"/>
              <w:rPr>
                <w:sz w:val="1"/>
                <w:szCs w:val="1"/>
                <w:color w:val="auto"/>
              </w:rPr>
            </w:pPr>
          </w:p>
        </w:tc>
        <w:tc>
          <w:tcPr>
            <w:tcW w:w="720" w:type="dxa"/>
            <w:vAlign w:val="bottom"/>
            <w:tcBorders>
              <w:bottom w:val="single" w:sz="8" w:color="582C83"/>
            </w:tcBorders>
          </w:tcPr>
          <w:p>
            <w:pPr>
              <w:spacing w:after="0" w:line="20" w:lineRule="exact"/>
              <w:rPr>
                <w:sz w:val="1"/>
                <w:szCs w:val="1"/>
                <w:color w:val="auto"/>
              </w:rPr>
            </w:pPr>
          </w:p>
        </w:tc>
        <w:tc>
          <w:tcPr>
            <w:tcW w:w="380" w:type="dxa"/>
            <w:vAlign w:val="bottom"/>
            <w:tcBorders>
              <w:bottom w:val="single" w:sz="8" w:color="582C83"/>
            </w:tcBorders>
          </w:tcPr>
          <w:p>
            <w:pPr>
              <w:spacing w:after="0" w:line="20" w:lineRule="exact"/>
              <w:rPr>
                <w:sz w:val="1"/>
                <w:szCs w:val="1"/>
                <w:color w:val="auto"/>
              </w:rPr>
            </w:pPr>
          </w:p>
        </w:tc>
        <w:tc>
          <w:tcPr>
            <w:tcW w:w="700" w:type="dxa"/>
            <w:vAlign w:val="bottom"/>
            <w:tcBorders>
              <w:bottom w:val="single" w:sz="8" w:color="582C83"/>
            </w:tcBorders>
          </w:tcPr>
          <w:p>
            <w:pPr>
              <w:spacing w:after="0" w:line="20" w:lineRule="exact"/>
              <w:rPr>
                <w:sz w:val="1"/>
                <w:szCs w:val="1"/>
                <w:color w:val="auto"/>
              </w:rPr>
            </w:pPr>
          </w:p>
        </w:tc>
        <w:tc>
          <w:tcPr>
            <w:tcW w:w="840" w:type="dxa"/>
            <w:vAlign w:val="bottom"/>
            <w:tcBorders>
              <w:bottom w:val="single" w:sz="8" w:color="582C8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00" w:type="dxa"/>
            <w:vAlign w:val="bottom"/>
            <w:tcBorders>
              <w:bottom w:val="single" w:sz="8" w:color="582C83"/>
            </w:tcBorders>
            <w:shd w:val="clear" w:color="auto" w:fill="E0DBEA"/>
          </w:tcPr>
          <w:p>
            <w:pPr>
              <w:ind w:left="40"/>
              <w:spacing w:after="0" w:line="161" w:lineRule="exact"/>
              <w:rPr>
                <w:sz w:val="20"/>
                <w:szCs w:val="20"/>
                <w:color w:val="auto"/>
              </w:rPr>
            </w:pPr>
            <w:r>
              <w:rPr>
                <w:rFonts w:ascii="Arial" w:cs="Arial" w:eastAsia="Arial" w:hAnsi="Arial"/>
                <w:sz w:val="14"/>
                <w:szCs w:val="14"/>
                <w:b w:val="1"/>
                <w:bCs w:val="1"/>
                <w:color w:val="auto"/>
              </w:rPr>
              <w:t>Adjusted @ Constant FX (Non</w:t>
            </w:r>
            <w:r>
              <w:rPr>
                <w:rFonts w:ascii="MS PGothic" w:cs="MS PGothic" w:eastAsia="MS PGothic" w:hAnsi="MS PGothic"/>
                <w:sz w:val="14"/>
                <w:szCs w:val="14"/>
                <w:color w:val="auto"/>
                <w:strike w:val="1"/>
              </w:rPr>
              <w:t>‑</w:t>
            </w:r>
            <w:r>
              <w:rPr>
                <w:rFonts w:ascii="Arial" w:cs="Arial" w:eastAsia="Arial" w:hAnsi="Arial"/>
                <w:sz w:val="14"/>
                <w:szCs w:val="14"/>
                <w:b w:val="1"/>
                <w:bCs w:val="1"/>
                <w:color w:val="auto"/>
              </w:rPr>
              <w:t>GAAP)</w:t>
            </w:r>
          </w:p>
        </w:tc>
        <w:tc>
          <w:tcPr>
            <w:tcW w:w="56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582C83"/>
            </w:tcBorders>
            <w:shd w:val="clear" w:color="auto" w:fill="E0DBEA"/>
          </w:tcPr>
          <w:p>
            <w:pPr>
              <w:jc w:val="right"/>
              <w:ind w:right="189"/>
              <w:spacing w:after="0"/>
              <w:rPr>
                <w:sz w:val="20"/>
                <w:szCs w:val="20"/>
                <w:color w:val="auto"/>
              </w:rPr>
            </w:pPr>
            <w:r>
              <w:rPr>
                <w:rFonts w:ascii="Arial" w:cs="Arial" w:eastAsia="Arial" w:hAnsi="Arial"/>
                <w:sz w:val="14"/>
                <w:szCs w:val="14"/>
                <w:b w:val="1"/>
                <w:bCs w:val="1"/>
                <w:color w:val="auto"/>
              </w:rPr>
              <w:t>4,980</w:t>
            </w:r>
          </w:p>
        </w:tc>
        <w:tc>
          <w:tcPr>
            <w:tcW w:w="36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582C83"/>
            </w:tcBorders>
            <w:shd w:val="clear" w:color="auto" w:fill="E0DBEA"/>
          </w:tcPr>
          <w:p>
            <w:pPr>
              <w:jc w:val="right"/>
              <w:ind w:right="149"/>
              <w:spacing w:after="0"/>
              <w:rPr>
                <w:sz w:val="20"/>
                <w:szCs w:val="20"/>
                <w:color w:val="auto"/>
              </w:rPr>
            </w:pPr>
            <w:r>
              <w:rPr>
                <w:rFonts w:ascii="Arial" w:cs="Arial" w:eastAsia="Arial" w:hAnsi="Arial"/>
                <w:sz w:val="14"/>
                <w:szCs w:val="14"/>
                <w:b w:val="1"/>
                <w:bCs w:val="1"/>
                <w:color w:val="auto"/>
              </w:rPr>
              <w:t>5,896</w:t>
            </w:r>
          </w:p>
        </w:tc>
        <w:tc>
          <w:tcPr>
            <w:tcW w:w="38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582C83"/>
            </w:tcBorders>
            <w:shd w:val="clear" w:color="auto" w:fill="E0DBEA"/>
          </w:tcPr>
          <w:p>
            <w:pPr>
              <w:jc w:val="right"/>
              <w:ind w:right="29"/>
              <w:spacing w:after="0"/>
              <w:rPr>
                <w:sz w:val="20"/>
                <w:szCs w:val="20"/>
                <w:color w:val="auto"/>
              </w:rPr>
            </w:pPr>
            <w:r>
              <w:rPr>
                <w:rFonts w:ascii="Arial" w:cs="Arial" w:eastAsia="Arial" w:hAnsi="Arial"/>
                <w:sz w:val="14"/>
                <w:szCs w:val="14"/>
                <w:b w:val="1"/>
                <w:bCs w:val="1"/>
                <w:color w:val="auto"/>
              </w:rPr>
              <w:t>(916)</w:t>
            </w:r>
          </w:p>
        </w:tc>
        <w:tc>
          <w:tcPr>
            <w:tcW w:w="8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b w:val="1"/>
                <w:bCs w:val="1"/>
                <w:color w:val="auto"/>
              </w:rPr>
              <w:t>(15.5)%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-4533900</wp:posOffset>
            </wp:positionV>
            <wp:extent cx="6810375" cy="5488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10375" cy="5488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582C83"/>
        </w:rPr>
        <w:t>2026 PROXY STATEMENT |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49453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10375" cy="494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ANNEX A: FINANCIAL MEASURES DEFINITIONS</w:t>
      </w:r>
    </w:p>
    <w:p>
      <w:pPr>
        <w:spacing w:after="0" w:line="33" w:lineRule="exact"/>
        <w:rPr>
          <w:sz w:val="20"/>
          <w:szCs w:val="20"/>
          <w:color w:val="auto"/>
        </w:rPr>
      </w:pPr>
    </w:p>
    <w:p>
      <w:pPr>
        <w:ind w:left="60"/>
        <w:spacing w:after="0" w:line="161" w:lineRule="exact"/>
        <w:rPr>
          <w:sz w:val="20"/>
          <w:szCs w:val="20"/>
          <w:color w:val="auto"/>
        </w:rPr>
      </w:pPr>
      <w:r>
        <w:rPr>
          <w:rFonts w:ascii="Arial" w:cs="Arial" w:eastAsia="Arial" w:hAnsi="Arial"/>
          <w:sz w:val="14"/>
          <w:szCs w:val="14"/>
          <w:color w:val="auto"/>
        </w:rPr>
        <w:t>GAAP to Non</w:t>
      </w:r>
      <w:r>
        <w:rPr>
          <w:rFonts w:ascii="MS PGothic" w:cs="MS PGothic" w:eastAsia="MS PGothic" w:hAnsi="MS PGothic"/>
          <w:sz w:val="14"/>
          <w:szCs w:val="14"/>
          <w:color w:val="auto"/>
        </w:rPr>
        <w:t>‑</w:t>
      </w:r>
      <w:r>
        <w:rPr>
          <w:rFonts w:ascii="Arial" w:cs="Arial" w:eastAsia="Arial" w:hAnsi="Arial"/>
          <w:sz w:val="14"/>
          <w:szCs w:val="14"/>
          <w:color w:val="auto"/>
        </w:rPr>
        <w:t>GAAP Reconciliations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Diluted EPS to Adjusted EPS</w:t>
            </w:r>
            <w:r>
              <w:rPr>
                <w:rFonts w:ascii="Arial" w:cs="Arial" w:eastAsia="Arial" w:hAnsi="Arial"/>
                <w:sz w:val="18"/>
                <w:szCs w:val="18"/>
                <w:b w:val="1"/>
                <w:bCs w:val="1"/>
                <w:color w:val="auto"/>
                <w:vertAlign w:val="superscript"/>
              </w:rPr>
              <w:t>(1)</w:t>
            </w:r>
          </w:p>
        </w:tc>
        <w:tc>
          <w:tcPr>
            <w:tcW w:w="580" w:type="dxa"/>
            <w:vAlign w:val="bottom"/>
            <w:tcBorders>
              <w:bottom w:val="single" w:sz="8" w:color="582C83"/>
            </w:tcBorders>
          </w:tcPr>
          <w:p>
            <w:pPr>
              <w:spacing w:after="0"/>
              <w:rPr>
                <w:sz w:val="16"/>
                <w:szCs w:val="16"/>
                <w:color w:val="auto"/>
              </w:rPr>
            </w:pPr>
          </w:p>
        </w:tc>
        <w:tc>
          <w:tcPr>
            <w:tcW w:w="3740" w:type="dxa"/>
            <w:vAlign w:val="bottom"/>
            <w:tcBorders>
              <w:bottom w:val="single" w:sz="8" w:color="582C83"/>
            </w:tcBorders>
            <w:gridSpan w:val="6"/>
          </w:tcPr>
          <w:p>
            <w:pPr>
              <w:jc w:val="right"/>
              <w:ind w:right="588"/>
              <w:spacing w:after="0"/>
              <w:rPr>
                <w:sz w:val="20"/>
                <w:szCs w:val="20"/>
                <w:color w:val="auto"/>
              </w:rPr>
            </w:pPr>
            <w:r>
              <w:rPr>
                <w:rFonts w:ascii="Arial" w:cs="Arial" w:eastAsia="Arial" w:hAnsi="Arial"/>
                <w:sz w:val="14"/>
                <w:szCs w:val="14"/>
                <w:b w:val="1"/>
                <w:bCs w:val="1"/>
                <w:color w:val="auto"/>
              </w:rPr>
              <w:t>For the Twelve Months Ended December 31,</w:t>
            </w:r>
          </w:p>
        </w:tc>
        <w:tc>
          <w:tcPr>
            <w:tcW w:w="0" w:type="dxa"/>
            <w:vAlign w:val="bottom"/>
          </w:tcPr>
          <w:p>
            <w:pPr>
              <w:spacing w:after="0"/>
              <w:rPr>
                <w:sz w:val="1"/>
                <w:szCs w:val="1"/>
                <w:color w:val="auto"/>
              </w:rPr>
            </w:pPr>
          </w:p>
        </w:tc>
      </w:tr>
      <w:tr>
        <w:trPr>
          <w:trHeight w:val="45"/>
        </w:trPr>
        <w:tc>
          <w:tcPr>
            <w:tcW w:w="47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3"/>
                <w:szCs w:val="3"/>
                <w:color w:val="auto"/>
              </w:rPr>
            </w:pPr>
          </w:p>
        </w:tc>
        <w:tc>
          <w:tcPr>
            <w:tcW w:w="6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2024</w:t>
            </w:r>
          </w:p>
        </w:tc>
        <w:tc>
          <w:tcPr>
            <w:tcW w:w="3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5"/>
        </w:trPr>
        <w:tc>
          <w:tcPr>
            <w:tcW w:w="4720" w:type="dxa"/>
            <w:vAlign w:val="bottom"/>
            <w:tcBorders>
              <w:bottom w:val="single" w:sz="8" w:color="582C83"/>
            </w:tcBorders>
          </w:tcPr>
          <w:p>
            <w:pPr>
              <w:ind w:left="60"/>
              <w:spacing w:after="0" w:line="158" w:lineRule="exact"/>
              <w:rPr>
                <w:sz w:val="20"/>
                <w:szCs w:val="20"/>
                <w:color w:val="auto"/>
              </w:rPr>
            </w:pPr>
            <w:r>
              <w:rPr>
                <w:rFonts w:ascii="Arial" w:cs="Arial" w:eastAsia="Arial" w:hAnsi="Arial"/>
                <w:sz w:val="14"/>
                <w:szCs w:val="14"/>
                <w:b w:val="1"/>
                <w:bCs w:val="1"/>
                <w:color w:val="auto"/>
              </w:rPr>
              <w:t>(Unaudited)</w:t>
            </w:r>
          </w:p>
        </w:tc>
        <w:tc>
          <w:tcPr>
            <w:tcW w:w="580" w:type="dxa"/>
            <w:vAlign w:val="bottom"/>
            <w:tcBorders>
              <w:bottom w:val="single" w:sz="8" w:color="582C83"/>
            </w:tcBorders>
          </w:tcPr>
          <w:p>
            <w:pPr>
              <w:spacing w:after="0"/>
              <w:rPr>
                <w:sz w:val="14"/>
                <w:szCs w:val="14"/>
                <w:color w:val="auto"/>
              </w:rPr>
            </w:pPr>
          </w:p>
        </w:tc>
        <w:tc>
          <w:tcPr>
            <w:tcW w:w="740" w:type="dxa"/>
            <w:vAlign w:val="bottom"/>
            <w:tcBorders>
              <w:bottom w:val="single" w:sz="8" w:color="582C83"/>
            </w:tcBorders>
            <w:vMerge w:val="continue"/>
          </w:tcPr>
          <w:p>
            <w:pPr>
              <w:spacing w:after="0"/>
              <w:rPr>
                <w:sz w:val="14"/>
                <w:szCs w:val="14"/>
                <w:color w:val="auto"/>
              </w:rPr>
            </w:pPr>
          </w:p>
        </w:tc>
        <w:tc>
          <w:tcPr>
            <w:tcW w:w="420" w:type="dxa"/>
            <w:vAlign w:val="bottom"/>
            <w:tcBorders>
              <w:bottom w:val="single" w:sz="8" w:color="582C83"/>
            </w:tcBorders>
          </w:tcPr>
          <w:p>
            <w:pPr>
              <w:spacing w:after="0"/>
              <w:rPr>
                <w:sz w:val="14"/>
                <w:szCs w:val="14"/>
                <w:color w:val="auto"/>
              </w:rPr>
            </w:pPr>
          </w:p>
        </w:tc>
        <w:tc>
          <w:tcPr>
            <w:tcW w:w="660" w:type="dxa"/>
            <w:vAlign w:val="bottom"/>
            <w:tcBorders>
              <w:bottom w:val="single" w:sz="8" w:color="582C83"/>
            </w:tcBorders>
            <w:vMerge w:val="continue"/>
          </w:tcPr>
          <w:p>
            <w:pPr>
              <w:spacing w:after="0"/>
              <w:rPr>
                <w:sz w:val="14"/>
                <w:szCs w:val="14"/>
                <w:color w:val="auto"/>
              </w:rPr>
            </w:pPr>
          </w:p>
        </w:tc>
        <w:tc>
          <w:tcPr>
            <w:tcW w:w="380" w:type="dxa"/>
            <w:vAlign w:val="bottom"/>
            <w:tcBorders>
              <w:bottom w:val="single" w:sz="8" w:color="582C83"/>
            </w:tcBorders>
            <w:vMerge w:val="continue"/>
          </w:tcPr>
          <w:p>
            <w:pPr>
              <w:spacing w:after="0"/>
              <w:rPr>
                <w:sz w:val="14"/>
                <w:szCs w:val="14"/>
                <w:color w:val="auto"/>
              </w:rPr>
            </w:pPr>
          </w:p>
        </w:tc>
        <w:tc>
          <w:tcPr>
            <w:tcW w:w="700" w:type="dxa"/>
            <w:vAlign w:val="bottom"/>
            <w:tcBorders>
              <w:bottom w:val="single" w:sz="8" w:color="582C83"/>
            </w:tcBorders>
            <w:vMerge w:val="continue"/>
          </w:tcPr>
          <w:p>
            <w:pPr>
              <w:spacing w:after="0"/>
              <w:rPr>
                <w:sz w:val="14"/>
                <w:szCs w:val="14"/>
                <w:color w:val="auto"/>
              </w:rPr>
            </w:pPr>
          </w:p>
        </w:tc>
        <w:tc>
          <w:tcPr>
            <w:tcW w:w="840" w:type="dxa"/>
            <w:vAlign w:val="bottom"/>
            <w:tcBorders>
              <w:bottom w:val="single" w:sz="8" w:color="582C83"/>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72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Diluted EPS attributable to Mondelēz International (GAAP)</w:t>
            </w:r>
          </w:p>
        </w:tc>
        <w:tc>
          <w:tcPr>
            <w:tcW w:w="580" w:type="dxa"/>
            <w:vAlign w:val="bottom"/>
            <w:tcBorders>
              <w:bottom w:val="single" w:sz="8" w:color="582C83"/>
            </w:tcBorders>
            <w:shd w:val="clear" w:color="auto" w:fill="E0DBEA"/>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582C83"/>
            </w:tcBorders>
            <w:shd w:val="clear" w:color="auto" w:fill="E0DBEA"/>
          </w:tcPr>
          <w:p>
            <w:pPr>
              <w:jc w:val="right"/>
              <w:ind w:right="188"/>
              <w:spacing w:after="0"/>
              <w:rPr>
                <w:sz w:val="20"/>
                <w:szCs w:val="20"/>
                <w:color w:val="auto"/>
              </w:rPr>
            </w:pPr>
            <w:r>
              <w:rPr>
                <w:rFonts w:ascii="Arial" w:cs="Arial" w:eastAsia="Arial" w:hAnsi="Arial"/>
                <w:sz w:val="14"/>
                <w:szCs w:val="14"/>
                <w:b w:val="1"/>
                <w:bCs w:val="1"/>
                <w:color w:val="auto"/>
              </w:rPr>
              <w:t>1.89</w:t>
            </w:r>
          </w:p>
        </w:tc>
        <w:tc>
          <w:tcPr>
            <w:tcW w:w="420" w:type="dxa"/>
            <w:vAlign w:val="bottom"/>
            <w:tcBorders>
              <w:bottom w:val="single" w:sz="8" w:color="582C83"/>
            </w:tcBorders>
            <w:shd w:val="clear" w:color="auto" w:fill="E0DBEA"/>
          </w:tcPr>
          <w:p>
            <w:pPr>
              <w:jc w:val="right"/>
              <w:ind w:right="4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582C83"/>
            </w:tcBorders>
            <w:shd w:val="clear" w:color="auto" w:fill="E0DBEA"/>
          </w:tcPr>
          <w:p>
            <w:pPr>
              <w:jc w:val="right"/>
              <w:ind w:right="148"/>
              <w:spacing w:after="0"/>
              <w:rPr>
                <w:sz w:val="20"/>
                <w:szCs w:val="20"/>
                <w:color w:val="auto"/>
              </w:rPr>
            </w:pPr>
            <w:r>
              <w:rPr>
                <w:rFonts w:ascii="Arial" w:cs="Arial" w:eastAsia="Arial" w:hAnsi="Arial"/>
                <w:sz w:val="14"/>
                <w:szCs w:val="14"/>
                <w:b w:val="1"/>
                <w:bCs w:val="1"/>
                <w:color w:val="auto"/>
              </w:rPr>
              <w:t>3.42</w:t>
            </w:r>
          </w:p>
        </w:tc>
        <w:tc>
          <w:tcPr>
            <w:tcW w:w="38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582C83"/>
            </w:tcBorders>
            <w:shd w:val="clear" w:color="auto" w:fill="E0DBEA"/>
          </w:tcPr>
          <w:p>
            <w:pPr>
              <w:jc w:val="right"/>
              <w:ind w:right="28"/>
              <w:spacing w:after="0"/>
              <w:rPr>
                <w:sz w:val="20"/>
                <w:szCs w:val="20"/>
                <w:color w:val="auto"/>
              </w:rPr>
            </w:pPr>
            <w:r>
              <w:rPr>
                <w:rFonts w:ascii="Arial" w:cs="Arial" w:eastAsia="Arial" w:hAnsi="Arial"/>
                <w:sz w:val="14"/>
                <w:szCs w:val="14"/>
                <w:b w:val="1"/>
                <w:bCs w:val="1"/>
                <w:color w:val="auto"/>
              </w:rPr>
              <w:t>(1.53)</w:t>
            </w:r>
          </w:p>
        </w:tc>
        <w:tc>
          <w:tcPr>
            <w:tcW w:w="8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b w:val="1"/>
                <w:bCs w:val="1"/>
                <w:color w:val="auto"/>
              </w:rPr>
              <w:t>(44.7)%</w:t>
            </w:r>
          </w:p>
        </w:tc>
        <w:tc>
          <w:tcPr>
            <w:tcW w:w="0" w:type="dxa"/>
            <w:vAlign w:val="bottom"/>
          </w:tcPr>
          <w:p>
            <w:pPr>
              <w:spacing w:after="0"/>
              <w:rPr>
                <w:sz w:val="1"/>
                <w:szCs w:val="1"/>
                <w:color w:val="auto"/>
              </w:rPr>
            </w:pPr>
          </w:p>
        </w:tc>
      </w:tr>
      <w:tr>
        <w:trPr>
          <w:trHeight w:val="216"/>
        </w:trPr>
        <w:tc>
          <w:tcPr>
            <w:tcW w:w="4720" w:type="dxa"/>
            <w:vAlign w:val="bottom"/>
          </w:tcPr>
          <w:p>
            <w:pPr>
              <w:ind w:left="60"/>
              <w:spacing w:after="0"/>
              <w:rPr>
                <w:sz w:val="20"/>
                <w:szCs w:val="20"/>
                <w:color w:val="auto"/>
              </w:rPr>
            </w:pPr>
            <w:r>
              <w:rPr>
                <w:rFonts w:ascii="Arial" w:cs="Arial" w:eastAsia="Arial" w:hAnsi="Arial"/>
                <w:sz w:val="14"/>
                <w:szCs w:val="14"/>
                <w:color w:val="auto"/>
              </w:rPr>
              <w:t>Restructuring charges</w:t>
            </w:r>
          </w:p>
        </w:tc>
        <w:tc>
          <w:tcPr>
            <w:tcW w:w="580" w:type="dxa"/>
            <w:vAlign w:val="bottom"/>
          </w:tcPr>
          <w:p>
            <w:pPr>
              <w:spacing w:after="0"/>
              <w:rPr>
                <w:sz w:val="18"/>
                <w:szCs w:val="18"/>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0.09</w:t>
            </w:r>
          </w:p>
        </w:tc>
        <w:tc>
          <w:tcPr>
            <w:tcW w:w="38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(0.09)</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720" w:type="dxa"/>
            <w:vAlign w:val="bottom"/>
            <w:tcBorders>
              <w:bottom w:val="single" w:sz="8" w:color="582C83"/>
            </w:tcBorders>
          </w:tcPr>
          <w:p>
            <w:pPr>
              <w:spacing w:after="0" w:line="20" w:lineRule="exact"/>
              <w:rPr>
                <w:sz w:val="1"/>
                <w:szCs w:val="1"/>
                <w:color w:val="auto"/>
              </w:rPr>
            </w:pPr>
          </w:p>
        </w:tc>
        <w:tc>
          <w:tcPr>
            <w:tcW w:w="580" w:type="dxa"/>
            <w:vAlign w:val="bottom"/>
            <w:tcBorders>
              <w:bottom w:val="single" w:sz="8" w:color="582C83"/>
            </w:tcBorders>
          </w:tcPr>
          <w:p>
            <w:pPr>
              <w:spacing w:after="0" w:line="20" w:lineRule="exact"/>
              <w:rPr>
                <w:sz w:val="1"/>
                <w:szCs w:val="1"/>
                <w:color w:val="auto"/>
              </w:rPr>
            </w:pPr>
          </w:p>
        </w:tc>
        <w:tc>
          <w:tcPr>
            <w:tcW w:w="740" w:type="dxa"/>
            <w:vAlign w:val="bottom"/>
            <w:tcBorders>
              <w:bottom w:val="single" w:sz="8" w:color="582C83"/>
            </w:tcBorders>
          </w:tcPr>
          <w:p>
            <w:pPr>
              <w:spacing w:after="0" w:line="20" w:lineRule="exact"/>
              <w:rPr>
                <w:sz w:val="1"/>
                <w:szCs w:val="1"/>
                <w:color w:val="auto"/>
              </w:rPr>
            </w:pPr>
          </w:p>
        </w:tc>
        <w:tc>
          <w:tcPr>
            <w:tcW w:w="420" w:type="dxa"/>
            <w:vAlign w:val="bottom"/>
            <w:tcBorders>
              <w:bottom w:val="single" w:sz="8" w:color="582C83"/>
            </w:tcBorders>
          </w:tcPr>
          <w:p>
            <w:pPr>
              <w:spacing w:after="0" w:line="20" w:lineRule="exact"/>
              <w:rPr>
                <w:sz w:val="1"/>
                <w:szCs w:val="1"/>
                <w:color w:val="auto"/>
              </w:rPr>
            </w:pPr>
          </w:p>
        </w:tc>
        <w:tc>
          <w:tcPr>
            <w:tcW w:w="660" w:type="dxa"/>
            <w:vAlign w:val="bottom"/>
            <w:tcBorders>
              <w:bottom w:val="single" w:sz="8" w:color="582C83"/>
            </w:tcBorders>
          </w:tcPr>
          <w:p>
            <w:pPr>
              <w:spacing w:after="0" w:line="20" w:lineRule="exact"/>
              <w:rPr>
                <w:sz w:val="1"/>
                <w:szCs w:val="1"/>
                <w:color w:val="auto"/>
              </w:rPr>
            </w:pPr>
          </w:p>
        </w:tc>
        <w:tc>
          <w:tcPr>
            <w:tcW w:w="380" w:type="dxa"/>
            <w:vAlign w:val="bottom"/>
            <w:tcBorders>
              <w:bottom w:val="single" w:sz="8" w:color="582C83"/>
            </w:tcBorders>
          </w:tcPr>
          <w:p>
            <w:pPr>
              <w:spacing w:after="0" w:line="20" w:lineRule="exact"/>
              <w:rPr>
                <w:sz w:val="1"/>
                <w:szCs w:val="1"/>
                <w:color w:val="auto"/>
              </w:rPr>
            </w:pPr>
          </w:p>
        </w:tc>
        <w:tc>
          <w:tcPr>
            <w:tcW w:w="700" w:type="dxa"/>
            <w:vAlign w:val="bottom"/>
            <w:tcBorders>
              <w:bottom w:val="single" w:sz="8" w:color="582C83"/>
            </w:tcBorders>
          </w:tcPr>
          <w:p>
            <w:pPr>
              <w:spacing w:after="0" w:line="20" w:lineRule="exact"/>
              <w:rPr>
                <w:sz w:val="1"/>
                <w:szCs w:val="1"/>
                <w:color w:val="auto"/>
              </w:rPr>
            </w:pPr>
          </w:p>
        </w:tc>
        <w:tc>
          <w:tcPr>
            <w:tcW w:w="840" w:type="dxa"/>
            <w:vAlign w:val="bottom"/>
            <w:tcBorders>
              <w:bottom w:val="single" w:sz="8" w:color="582C8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4720" w:type="dxa"/>
            <w:vAlign w:val="bottom"/>
            <w:tcBorders>
              <w:bottom w:val="single" w:sz="8" w:color="E0DBEA"/>
            </w:tcBorders>
            <w:shd w:val="clear" w:color="auto" w:fill="E0DBEA"/>
          </w:tcPr>
          <w:p>
            <w:pPr>
              <w:ind w:left="60"/>
              <w:spacing w:after="0"/>
              <w:rPr>
                <w:sz w:val="20"/>
                <w:szCs w:val="20"/>
                <w:color w:val="auto"/>
              </w:rPr>
            </w:pPr>
            <w:r>
              <w:rPr>
                <w:rFonts w:ascii="Arial" w:cs="Arial" w:eastAsia="Arial" w:hAnsi="Arial"/>
                <w:sz w:val="14"/>
                <w:szCs w:val="14"/>
                <w:color w:val="auto"/>
              </w:rPr>
              <w:t>Intangible asset impairment charges</w:t>
            </w:r>
          </w:p>
        </w:tc>
        <w:tc>
          <w:tcPr>
            <w:tcW w:w="580" w:type="dxa"/>
            <w:vAlign w:val="bottom"/>
            <w:tcBorders>
              <w:bottom w:val="single" w:sz="8" w:color="E0DBEA"/>
            </w:tcBorders>
            <w:shd w:val="clear" w:color="auto" w:fill="E0DBEA"/>
          </w:tcPr>
          <w:p>
            <w:pPr>
              <w:spacing w:after="0"/>
              <w:rPr>
                <w:sz w:val="20"/>
                <w:szCs w:val="20"/>
                <w:color w:val="auto"/>
              </w:rPr>
            </w:pPr>
          </w:p>
        </w:tc>
        <w:tc>
          <w:tcPr>
            <w:tcW w:w="740" w:type="dxa"/>
            <w:vAlign w:val="bottom"/>
            <w:tcBorders>
              <w:bottom w:val="single" w:sz="8" w:color="E0DBEA"/>
            </w:tcBorders>
            <w:shd w:val="clear" w:color="auto" w:fill="E0DBEA"/>
          </w:tcPr>
          <w:p>
            <w:pPr>
              <w:jc w:val="right"/>
              <w:ind w:right="188"/>
              <w:spacing w:after="0"/>
              <w:rPr>
                <w:sz w:val="20"/>
                <w:szCs w:val="20"/>
                <w:color w:val="auto"/>
              </w:rPr>
            </w:pPr>
            <w:r>
              <w:rPr>
                <w:rFonts w:ascii="Arial" w:cs="Arial" w:eastAsia="Arial" w:hAnsi="Arial"/>
                <w:sz w:val="14"/>
                <w:szCs w:val="14"/>
                <w:color w:val="auto"/>
              </w:rPr>
              <w:t>0.02</w:t>
            </w:r>
          </w:p>
        </w:tc>
        <w:tc>
          <w:tcPr>
            <w:tcW w:w="420" w:type="dxa"/>
            <w:vAlign w:val="bottom"/>
            <w:tcBorders>
              <w:bottom w:val="single" w:sz="8" w:color="E0DBEA"/>
            </w:tcBorders>
            <w:shd w:val="clear" w:color="auto" w:fill="E0DBEA"/>
          </w:tcPr>
          <w:p>
            <w:pPr>
              <w:spacing w:after="0"/>
              <w:rPr>
                <w:sz w:val="20"/>
                <w:szCs w:val="20"/>
                <w:color w:val="auto"/>
              </w:rPr>
            </w:pPr>
          </w:p>
        </w:tc>
        <w:tc>
          <w:tcPr>
            <w:tcW w:w="660" w:type="dxa"/>
            <w:vAlign w:val="bottom"/>
            <w:tcBorders>
              <w:bottom w:val="single" w:sz="8" w:color="E0DBEA"/>
            </w:tcBorders>
            <w:shd w:val="clear" w:color="auto" w:fill="E0DBEA"/>
          </w:tcPr>
          <w:p>
            <w:pPr>
              <w:jc w:val="right"/>
              <w:ind w:right="148"/>
              <w:spacing w:after="0"/>
              <w:rPr>
                <w:sz w:val="20"/>
                <w:szCs w:val="20"/>
                <w:color w:val="auto"/>
              </w:rPr>
            </w:pPr>
            <w:r>
              <w:rPr>
                <w:rFonts w:ascii="Arial" w:cs="Arial" w:eastAsia="Arial" w:hAnsi="Arial"/>
                <w:sz w:val="14"/>
                <w:szCs w:val="14"/>
                <w:color w:val="auto"/>
              </w:rPr>
              <w:t>0.08</w:t>
            </w:r>
          </w:p>
        </w:tc>
        <w:tc>
          <w:tcPr>
            <w:tcW w:w="380" w:type="dxa"/>
            <w:vAlign w:val="bottom"/>
            <w:tcBorders>
              <w:bottom w:val="single" w:sz="8" w:color="E0DBEA"/>
            </w:tcBorders>
            <w:shd w:val="clear" w:color="auto" w:fill="E0DBEA"/>
          </w:tcPr>
          <w:p>
            <w:pPr>
              <w:spacing w:after="0"/>
              <w:rPr>
                <w:sz w:val="20"/>
                <w:szCs w:val="20"/>
                <w:color w:val="auto"/>
              </w:rPr>
            </w:pPr>
          </w:p>
        </w:tc>
        <w:tc>
          <w:tcPr>
            <w:tcW w:w="700" w:type="dxa"/>
            <w:vAlign w:val="bottom"/>
            <w:tcBorders>
              <w:bottom w:val="single" w:sz="8" w:color="E0DBEA"/>
            </w:tcBorders>
            <w:shd w:val="clear" w:color="auto" w:fill="E0DBEA"/>
          </w:tcPr>
          <w:p>
            <w:pPr>
              <w:jc w:val="right"/>
              <w:ind w:right="28"/>
              <w:spacing w:after="0"/>
              <w:rPr>
                <w:sz w:val="20"/>
                <w:szCs w:val="20"/>
                <w:color w:val="auto"/>
              </w:rPr>
            </w:pPr>
            <w:r>
              <w:rPr>
                <w:rFonts w:ascii="Arial" w:cs="Arial" w:eastAsia="Arial" w:hAnsi="Arial"/>
                <w:sz w:val="14"/>
                <w:szCs w:val="14"/>
                <w:color w:val="auto"/>
              </w:rPr>
              <w:t>(0.06)</w:t>
            </w:r>
          </w:p>
        </w:tc>
        <w:tc>
          <w:tcPr>
            <w:tcW w:w="840" w:type="dxa"/>
            <w:vAlign w:val="bottom"/>
            <w:tcBorders>
              <w:bottom w:val="single" w:sz="8" w:color="E0DBEA"/>
            </w:tcBorders>
            <w:shd w:val="clear" w:color="auto" w:fill="E0DBEA"/>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20" w:type="dxa"/>
            <w:vAlign w:val="bottom"/>
            <w:tcBorders>
              <w:top w:val="single" w:sz="8" w:color="582C83"/>
              <w:bottom w:val="single" w:sz="8" w:color="582C83"/>
            </w:tcBorders>
          </w:tcPr>
          <w:p>
            <w:pPr>
              <w:ind w:left="60"/>
              <w:spacing w:after="0" w:line="161" w:lineRule="exact"/>
              <w:rPr>
                <w:sz w:val="20"/>
                <w:szCs w:val="20"/>
                <w:color w:val="auto"/>
              </w:rPr>
            </w:pPr>
            <w:r>
              <w:rPr>
                <w:rFonts w:ascii="Arial" w:cs="Arial" w:eastAsia="Arial" w:hAnsi="Arial"/>
                <w:sz w:val="14"/>
                <w:szCs w:val="14"/>
                <w:color w:val="auto"/>
              </w:rPr>
              <w:t>Mark</w:t>
            </w:r>
            <w:r>
              <w:rPr>
                <w:rFonts w:ascii="MS PGothic" w:cs="MS PGothic" w:eastAsia="MS PGothic" w:hAnsi="MS PGothic"/>
                <w:sz w:val="14"/>
                <w:szCs w:val="14"/>
                <w:color w:val="auto"/>
              </w:rPr>
              <w:t>‑</w:t>
            </w:r>
            <w:r>
              <w:rPr>
                <w:rFonts w:ascii="Arial" w:cs="Arial" w:eastAsia="Arial" w:hAnsi="Arial"/>
                <w:sz w:val="14"/>
                <w:szCs w:val="14"/>
                <w:color w:val="auto"/>
              </w:rPr>
              <w:t>to</w:t>
            </w:r>
            <w:r>
              <w:rPr>
                <w:rFonts w:ascii="MS PGothic" w:cs="MS PGothic" w:eastAsia="MS PGothic" w:hAnsi="MS PGothic"/>
                <w:sz w:val="14"/>
                <w:szCs w:val="14"/>
                <w:color w:val="auto"/>
              </w:rPr>
              <w:t>‑</w:t>
            </w:r>
            <w:r>
              <w:rPr>
                <w:rFonts w:ascii="Arial" w:cs="Arial" w:eastAsia="Arial" w:hAnsi="Arial"/>
                <w:sz w:val="14"/>
                <w:szCs w:val="14"/>
                <w:color w:val="auto"/>
              </w:rPr>
              <w:t>market losses/(gains) from derivatives</w:t>
            </w:r>
          </w:p>
        </w:tc>
        <w:tc>
          <w:tcPr>
            <w:tcW w:w="580" w:type="dxa"/>
            <w:vAlign w:val="bottom"/>
            <w:tcBorders>
              <w:top w:val="single" w:sz="8" w:color="582C83"/>
              <w:bottom w:val="single" w:sz="8" w:color="582C83"/>
            </w:tcBorders>
          </w:tcPr>
          <w:p>
            <w:pPr>
              <w:spacing w:after="0"/>
              <w:rPr>
                <w:sz w:val="20"/>
                <w:szCs w:val="20"/>
                <w:color w:val="auto"/>
              </w:rPr>
            </w:pPr>
          </w:p>
        </w:tc>
        <w:tc>
          <w:tcPr>
            <w:tcW w:w="740" w:type="dxa"/>
            <w:vAlign w:val="bottom"/>
            <w:tcBorders>
              <w:top w:val="single" w:sz="8" w:color="582C83"/>
              <w:bottom w:val="single" w:sz="8" w:color="582C83"/>
            </w:tcBorders>
          </w:tcPr>
          <w:p>
            <w:pPr>
              <w:jc w:val="right"/>
              <w:ind w:right="188"/>
              <w:spacing w:after="0"/>
              <w:rPr>
                <w:sz w:val="20"/>
                <w:szCs w:val="20"/>
                <w:color w:val="auto"/>
              </w:rPr>
            </w:pPr>
            <w:r>
              <w:rPr>
                <w:rFonts w:ascii="Arial" w:cs="Arial" w:eastAsia="Arial" w:hAnsi="Arial"/>
                <w:sz w:val="14"/>
                <w:szCs w:val="14"/>
                <w:color w:val="auto"/>
              </w:rPr>
              <w:t>0.83</w:t>
            </w:r>
          </w:p>
        </w:tc>
        <w:tc>
          <w:tcPr>
            <w:tcW w:w="420" w:type="dxa"/>
            <w:vAlign w:val="bottom"/>
            <w:tcBorders>
              <w:top w:val="single" w:sz="8" w:color="582C83"/>
              <w:bottom w:val="single" w:sz="8" w:color="582C83"/>
            </w:tcBorders>
          </w:tcPr>
          <w:p>
            <w:pPr>
              <w:spacing w:after="0"/>
              <w:rPr>
                <w:sz w:val="20"/>
                <w:szCs w:val="20"/>
                <w:color w:val="auto"/>
              </w:rPr>
            </w:pPr>
          </w:p>
        </w:tc>
        <w:tc>
          <w:tcPr>
            <w:tcW w:w="660" w:type="dxa"/>
            <w:vAlign w:val="bottom"/>
            <w:tcBorders>
              <w:top w:val="single" w:sz="8" w:color="582C83"/>
              <w:bottom w:val="single" w:sz="8" w:color="582C83"/>
            </w:tcBorders>
          </w:tcPr>
          <w:p>
            <w:pPr>
              <w:jc w:val="right"/>
              <w:ind w:right="108"/>
              <w:spacing w:after="0"/>
              <w:rPr>
                <w:sz w:val="20"/>
                <w:szCs w:val="20"/>
                <w:color w:val="auto"/>
              </w:rPr>
            </w:pPr>
            <w:r>
              <w:rPr>
                <w:rFonts w:ascii="Arial" w:cs="Arial" w:eastAsia="Arial" w:hAnsi="Arial"/>
                <w:sz w:val="14"/>
                <w:szCs w:val="14"/>
                <w:color w:val="auto"/>
              </w:rPr>
              <w:t>(0.32)</w:t>
            </w:r>
          </w:p>
        </w:tc>
        <w:tc>
          <w:tcPr>
            <w:tcW w:w="380" w:type="dxa"/>
            <w:vAlign w:val="bottom"/>
            <w:tcBorders>
              <w:top w:val="single" w:sz="8" w:color="582C83"/>
              <w:bottom w:val="single" w:sz="8" w:color="582C83"/>
            </w:tcBorders>
          </w:tcPr>
          <w:p>
            <w:pPr>
              <w:spacing w:after="0"/>
              <w:rPr>
                <w:sz w:val="20"/>
                <w:szCs w:val="20"/>
                <w:color w:val="auto"/>
              </w:rPr>
            </w:pPr>
          </w:p>
        </w:tc>
        <w:tc>
          <w:tcPr>
            <w:tcW w:w="700" w:type="dxa"/>
            <w:vAlign w:val="bottom"/>
            <w:tcBorders>
              <w:top w:val="single" w:sz="8" w:color="582C83"/>
              <w:bottom w:val="single" w:sz="8" w:color="582C83"/>
            </w:tcBorders>
          </w:tcPr>
          <w:p>
            <w:pPr>
              <w:jc w:val="right"/>
              <w:ind w:right="68"/>
              <w:spacing w:after="0"/>
              <w:rPr>
                <w:sz w:val="20"/>
                <w:szCs w:val="20"/>
                <w:color w:val="auto"/>
              </w:rPr>
            </w:pPr>
            <w:r>
              <w:rPr>
                <w:rFonts w:ascii="Arial" w:cs="Arial" w:eastAsia="Arial" w:hAnsi="Arial"/>
                <w:sz w:val="14"/>
                <w:szCs w:val="14"/>
                <w:color w:val="auto"/>
              </w:rPr>
              <w:t>1.15</w:t>
            </w:r>
          </w:p>
        </w:tc>
        <w:tc>
          <w:tcPr>
            <w:tcW w:w="840" w:type="dxa"/>
            <w:vAlign w:val="bottom"/>
            <w:tcBorders>
              <w:top w:val="single" w:sz="8" w:color="582C83"/>
              <w:bottom w:val="single" w:sz="8" w:color="582C83"/>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20" w:type="dxa"/>
            <w:vAlign w:val="bottom"/>
            <w:tcBorders>
              <w:bottom w:val="single" w:sz="8" w:color="E0DBEA"/>
            </w:tcBorders>
            <w:shd w:val="clear" w:color="auto" w:fill="E0DBEA"/>
          </w:tcPr>
          <w:p>
            <w:pPr>
              <w:ind w:left="60"/>
              <w:spacing w:after="0"/>
              <w:rPr>
                <w:sz w:val="20"/>
                <w:szCs w:val="20"/>
                <w:color w:val="auto"/>
              </w:rPr>
            </w:pPr>
            <w:r>
              <w:rPr>
                <w:rFonts w:ascii="Arial" w:cs="Arial" w:eastAsia="Arial" w:hAnsi="Arial"/>
                <w:sz w:val="14"/>
                <w:szCs w:val="14"/>
                <w:color w:val="auto"/>
              </w:rPr>
              <w:t>Acquisition-related items</w:t>
            </w:r>
          </w:p>
        </w:tc>
        <w:tc>
          <w:tcPr>
            <w:tcW w:w="580" w:type="dxa"/>
            <w:vAlign w:val="bottom"/>
            <w:tcBorders>
              <w:bottom w:val="single" w:sz="8" w:color="E0DBEA"/>
            </w:tcBorders>
            <w:shd w:val="clear" w:color="auto" w:fill="E0DBEA"/>
          </w:tcPr>
          <w:p>
            <w:pPr>
              <w:spacing w:after="0"/>
              <w:rPr>
                <w:sz w:val="21"/>
                <w:szCs w:val="21"/>
                <w:color w:val="auto"/>
              </w:rPr>
            </w:pPr>
          </w:p>
        </w:tc>
        <w:tc>
          <w:tcPr>
            <w:tcW w:w="740" w:type="dxa"/>
            <w:vAlign w:val="bottom"/>
            <w:tcBorders>
              <w:bottom w:val="single" w:sz="8" w:color="E0DBEA"/>
            </w:tcBorders>
            <w:shd w:val="clear" w:color="auto" w:fill="E0DBEA"/>
          </w:tcPr>
          <w:p>
            <w:pPr>
              <w:jc w:val="right"/>
              <w:ind w:right="188"/>
              <w:spacing w:after="0"/>
              <w:rPr>
                <w:sz w:val="20"/>
                <w:szCs w:val="20"/>
                <w:color w:val="auto"/>
              </w:rPr>
            </w:pPr>
            <w:r>
              <w:rPr>
                <w:rFonts w:ascii="Arial" w:cs="Arial" w:eastAsia="Arial" w:hAnsi="Arial"/>
                <w:sz w:val="14"/>
                <w:szCs w:val="14"/>
                <w:color w:val="auto"/>
              </w:rPr>
              <w:t>0.01</w:t>
            </w:r>
          </w:p>
        </w:tc>
        <w:tc>
          <w:tcPr>
            <w:tcW w:w="420" w:type="dxa"/>
            <w:vAlign w:val="bottom"/>
            <w:tcBorders>
              <w:bottom w:val="single" w:sz="8" w:color="E0DBEA"/>
            </w:tcBorders>
            <w:shd w:val="clear" w:color="auto" w:fill="E0DBEA"/>
          </w:tcPr>
          <w:p>
            <w:pPr>
              <w:spacing w:after="0"/>
              <w:rPr>
                <w:sz w:val="21"/>
                <w:szCs w:val="21"/>
                <w:color w:val="auto"/>
              </w:rPr>
            </w:pPr>
          </w:p>
        </w:tc>
        <w:tc>
          <w:tcPr>
            <w:tcW w:w="660" w:type="dxa"/>
            <w:vAlign w:val="bottom"/>
            <w:tcBorders>
              <w:bottom w:val="single" w:sz="8" w:color="E0DBEA"/>
            </w:tcBorders>
            <w:shd w:val="clear" w:color="auto" w:fill="E0DBEA"/>
          </w:tcPr>
          <w:p>
            <w:pPr>
              <w:jc w:val="right"/>
              <w:ind w:right="108"/>
              <w:spacing w:after="0"/>
              <w:rPr>
                <w:sz w:val="20"/>
                <w:szCs w:val="20"/>
                <w:color w:val="auto"/>
              </w:rPr>
            </w:pPr>
            <w:r>
              <w:rPr>
                <w:rFonts w:ascii="Arial" w:cs="Arial" w:eastAsia="Arial" w:hAnsi="Arial"/>
                <w:sz w:val="14"/>
                <w:szCs w:val="14"/>
                <w:color w:val="auto"/>
              </w:rPr>
              <w:t>(0.17)</w:t>
            </w:r>
          </w:p>
        </w:tc>
        <w:tc>
          <w:tcPr>
            <w:tcW w:w="380" w:type="dxa"/>
            <w:vAlign w:val="bottom"/>
            <w:tcBorders>
              <w:bottom w:val="single" w:sz="8" w:color="E0DBEA"/>
            </w:tcBorders>
            <w:shd w:val="clear" w:color="auto" w:fill="E0DBEA"/>
          </w:tcPr>
          <w:p>
            <w:pPr>
              <w:spacing w:after="0"/>
              <w:rPr>
                <w:sz w:val="21"/>
                <w:szCs w:val="21"/>
                <w:color w:val="auto"/>
              </w:rPr>
            </w:pPr>
          </w:p>
        </w:tc>
        <w:tc>
          <w:tcPr>
            <w:tcW w:w="700" w:type="dxa"/>
            <w:vAlign w:val="bottom"/>
            <w:tcBorders>
              <w:bottom w:val="single" w:sz="8" w:color="E0DBEA"/>
            </w:tcBorders>
            <w:shd w:val="clear" w:color="auto" w:fill="E0DBEA"/>
          </w:tcPr>
          <w:p>
            <w:pPr>
              <w:jc w:val="right"/>
              <w:ind w:right="68"/>
              <w:spacing w:after="0"/>
              <w:rPr>
                <w:sz w:val="20"/>
                <w:szCs w:val="20"/>
                <w:color w:val="auto"/>
              </w:rPr>
            </w:pPr>
            <w:r>
              <w:rPr>
                <w:rFonts w:ascii="Arial" w:cs="Arial" w:eastAsia="Arial" w:hAnsi="Arial"/>
                <w:sz w:val="14"/>
                <w:szCs w:val="14"/>
                <w:color w:val="auto"/>
              </w:rPr>
              <w:t>0.18</w:t>
            </w:r>
          </w:p>
        </w:tc>
        <w:tc>
          <w:tcPr>
            <w:tcW w:w="840" w:type="dxa"/>
            <w:vAlign w:val="bottom"/>
            <w:tcBorders>
              <w:bottom w:val="single" w:sz="8" w:color="E0DBEA"/>
            </w:tcBorders>
            <w:shd w:val="clear" w:color="auto" w:fill="E0DBEA"/>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20" w:type="dxa"/>
            <w:vAlign w:val="bottom"/>
            <w:tcBorders>
              <w:top w:val="single" w:sz="8" w:color="582C83"/>
              <w:bottom w:val="single" w:sz="8" w:color="582C83"/>
            </w:tcBorders>
          </w:tcPr>
          <w:p>
            <w:pPr>
              <w:ind w:left="60"/>
              <w:spacing w:after="0" w:line="161" w:lineRule="exact"/>
              <w:rPr>
                <w:sz w:val="20"/>
                <w:szCs w:val="20"/>
                <w:color w:val="auto"/>
              </w:rPr>
            </w:pPr>
            <w:r>
              <w:rPr>
                <w:rFonts w:ascii="Arial" w:cs="Arial" w:eastAsia="Arial" w:hAnsi="Arial"/>
                <w:sz w:val="14"/>
                <w:szCs w:val="14"/>
                <w:color w:val="auto"/>
              </w:rPr>
              <w:t>Divestiture</w:t>
            </w:r>
            <w:r>
              <w:rPr>
                <w:rFonts w:ascii="MS PGothic" w:cs="MS PGothic" w:eastAsia="MS PGothic" w:hAnsi="MS PGothic"/>
                <w:sz w:val="14"/>
                <w:szCs w:val="14"/>
                <w:color w:val="auto"/>
              </w:rPr>
              <w:t>‑</w:t>
            </w:r>
            <w:r>
              <w:rPr>
                <w:rFonts w:ascii="Arial" w:cs="Arial" w:eastAsia="Arial" w:hAnsi="Arial"/>
                <w:sz w:val="14"/>
                <w:szCs w:val="14"/>
                <w:color w:val="auto"/>
              </w:rPr>
              <w:t>related items</w:t>
            </w:r>
          </w:p>
        </w:tc>
        <w:tc>
          <w:tcPr>
            <w:tcW w:w="580" w:type="dxa"/>
            <w:vAlign w:val="bottom"/>
            <w:tcBorders>
              <w:top w:val="single" w:sz="8" w:color="582C83"/>
              <w:bottom w:val="single" w:sz="8" w:color="582C83"/>
            </w:tcBorders>
          </w:tcPr>
          <w:p>
            <w:pPr>
              <w:spacing w:after="0"/>
              <w:rPr>
                <w:sz w:val="20"/>
                <w:szCs w:val="20"/>
                <w:color w:val="auto"/>
              </w:rPr>
            </w:pPr>
          </w:p>
        </w:tc>
        <w:tc>
          <w:tcPr>
            <w:tcW w:w="740" w:type="dxa"/>
            <w:vAlign w:val="bottom"/>
            <w:tcBorders>
              <w:top w:val="single" w:sz="8" w:color="582C83"/>
              <w:bottom w:val="single" w:sz="8" w:color="582C83"/>
            </w:tcBorders>
          </w:tcPr>
          <w:p>
            <w:pPr>
              <w:jc w:val="right"/>
              <w:ind w:right="18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582C83"/>
              <w:bottom w:val="single" w:sz="8" w:color="582C83"/>
            </w:tcBorders>
          </w:tcPr>
          <w:p>
            <w:pPr>
              <w:spacing w:after="0"/>
              <w:rPr>
                <w:sz w:val="20"/>
                <w:szCs w:val="20"/>
                <w:color w:val="auto"/>
              </w:rPr>
            </w:pPr>
          </w:p>
        </w:tc>
        <w:tc>
          <w:tcPr>
            <w:tcW w:w="660" w:type="dxa"/>
            <w:vAlign w:val="bottom"/>
            <w:tcBorders>
              <w:top w:val="single" w:sz="8" w:color="582C83"/>
              <w:bottom w:val="single" w:sz="8" w:color="582C83"/>
            </w:tcBorders>
          </w:tcPr>
          <w:p>
            <w:pPr>
              <w:jc w:val="right"/>
              <w:ind w:right="108"/>
              <w:spacing w:after="0"/>
              <w:rPr>
                <w:sz w:val="20"/>
                <w:szCs w:val="20"/>
                <w:color w:val="auto"/>
              </w:rPr>
            </w:pPr>
            <w:r>
              <w:rPr>
                <w:rFonts w:ascii="Arial" w:cs="Arial" w:eastAsia="Arial" w:hAnsi="Arial"/>
                <w:sz w:val="14"/>
                <w:szCs w:val="14"/>
                <w:color w:val="auto"/>
              </w:rPr>
              <w:t>(0.08)</w:t>
            </w:r>
          </w:p>
        </w:tc>
        <w:tc>
          <w:tcPr>
            <w:tcW w:w="380" w:type="dxa"/>
            <w:vAlign w:val="bottom"/>
            <w:tcBorders>
              <w:top w:val="single" w:sz="8" w:color="582C83"/>
              <w:bottom w:val="single" w:sz="8" w:color="582C83"/>
            </w:tcBorders>
          </w:tcPr>
          <w:p>
            <w:pPr>
              <w:spacing w:after="0"/>
              <w:rPr>
                <w:sz w:val="20"/>
                <w:szCs w:val="20"/>
                <w:color w:val="auto"/>
              </w:rPr>
            </w:pPr>
          </w:p>
        </w:tc>
        <w:tc>
          <w:tcPr>
            <w:tcW w:w="700" w:type="dxa"/>
            <w:vAlign w:val="bottom"/>
            <w:tcBorders>
              <w:top w:val="single" w:sz="8" w:color="582C83"/>
              <w:bottom w:val="single" w:sz="8" w:color="582C83"/>
            </w:tcBorders>
          </w:tcPr>
          <w:p>
            <w:pPr>
              <w:jc w:val="right"/>
              <w:ind w:right="68"/>
              <w:spacing w:after="0"/>
              <w:rPr>
                <w:sz w:val="20"/>
                <w:szCs w:val="20"/>
                <w:color w:val="auto"/>
              </w:rPr>
            </w:pPr>
            <w:r>
              <w:rPr>
                <w:rFonts w:ascii="Arial" w:cs="Arial" w:eastAsia="Arial" w:hAnsi="Arial"/>
                <w:sz w:val="14"/>
                <w:szCs w:val="14"/>
                <w:color w:val="auto"/>
              </w:rPr>
              <w:t>0.08</w:t>
            </w:r>
          </w:p>
        </w:tc>
        <w:tc>
          <w:tcPr>
            <w:tcW w:w="840" w:type="dxa"/>
            <w:vAlign w:val="bottom"/>
            <w:tcBorders>
              <w:top w:val="single" w:sz="8" w:color="582C83"/>
              <w:bottom w:val="single" w:sz="8" w:color="582C83"/>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720" w:type="dxa"/>
            <w:vAlign w:val="bottom"/>
            <w:tcBorders>
              <w:bottom w:val="single" w:sz="8" w:color="E0DBEA"/>
            </w:tcBorders>
            <w:shd w:val="clear" w:color="auto" w:fill="E0DBEA"/>
          </w:tcPr>
          <w:p>
            <w:pPr>
              <w:ind w:left="60"/>
              <w:spacing w:after="0"/>
              <w:rPr>
                <w:sz w:val="20"/>
                <w:szCs w:val="20"/>
                <w:color w:val="auto"/>
              </w:rPr>
            </w:pPr>
            <w:r>
              <w:rPr>
                <w:rFonts w:ascii="Arial" w:cs="Arial" w:eastAsia="Arial" w:hAnsi="Arial"/>
                <w:sz w:val="14"/>
                <w:szCs w:val="14"/>
                <w:color w:val="auto"/>
              </w:rPr>
              <w:t>ERP System Implementation costs</w:t>
            </w:r>
          </w:p>
        </w:tc>
        <w:tc>
          <w:tcPr>
            <w:tcW w:w="580" w:type="dxa"/>
            <w:vAlign w:val="bottom"/>
            <w:tcBorders>
              <w:bottom w:val="single" w:sz="8" w:color="E0DBEA"/>
            </w:tcBorders>
            <w:shd w:val="clear" w:color="auto" w:fill="E0DBEA"/>
          </w:tcPr>
          <w:p>
            <w:pPr>
              <w:spacing w:after="0"/>
              <w:rPr>
                <w:sz w:val="20"/>
                <w:szCs w:val="20"/>
                <w:color w:val="auto"/>
              </w:rPr>
            </w:pPr>
          </w:p>
        </w:tc>
        <w:tc>
          <w:tcPr>
            <w:tcW w:w="740" w:type="dxa"/>
            <w:vAlign w:val="bottom"/>
            <w:tcBorders>
              <w:bottom w:val="single" w:sz="8" w:color="E0DBEA"/>
            </w:tcBorders>
            <w:shd w:val="clear" w:color="auto" w:fill="E0DBEA"/>
          </w:tcPr>
          <w:p>
            <w:pPr>
              <w:jc w:val="right"/>
              <w:ind w:right="188"/>
              <w:spacing w:after="0"/>
              <w:rPr>
                <w:sz w:val="20"/>
                <w:szCs w:val="20"/>
                <w:color w:val="auto"/>
              </w:rPr>
            </w:pPr>
            <w:r>
              <w:rPr>
                <w:rFonts w:ascii="Arial" w:cs="Arial" w:eastAsia="Arial" w:hAnsi="Arial"/>
                <w:sz w:val="14"/>
                <w:szCs w:val="14"/>
                <w:color w:val="auto"/>
              </w:rPr>
              <w:t>0.10</w:t>
            </w:r>
          </w:p>
        </w:tc>
        <w:tc>
          <w:tcPr>
            <w:tcW w:w="420" w:type="dxa"/>
            <w:vAlign w:val="bottom"/>
            <w:tcBorders>
              <w:bottom w:val="single" w:sz="8" w:color="E0DBEA"/>
            </w:tcBorders>
            <w:shd w:val="clear" w:color="auto" w:fill="E0DBEA"/>
          </w:tcPr>
          <w:p>
            <w:pPr>
              <w:spacing w:after="0"/>
              <w:rPr>
                <w:sz w:val="20"/>
                <w:szCs w:val="20"/>
                <w:color w:val="auto"/>
              </w:rPr>
            </w:pPr>
          </w:p>
        </w:tc>
        <w:tc>
          <w:tcPr>
            <w:tcW w:w="660" w:type="dxa"/>
            <w:vAlign w:val="bottom"/>
            <w:tcBorders>
              <w:bottom w:val="single" w:sz="8" w:color="E0DBEA"/>
            </w:tcBorders>
            <w:shd w:val="clear" w:color="auto" w:fill="E0DBEA"/>
          </w:tcPr>
          <w:p>
            <w:pPr>
              <w:jc w:val="right"/>
              <w:ind w:right="148"/>
              <w:spacing w:after="0"/>
              <w:rPr>
                <w:sz w:val="20"/>
                <w:szCs w:val="20"/>
                <w:color w:val="auto"/>
              </w:rPr>
            </w:pPr>
            <w:r>
              <w:rPr>
                <w:rFonts w:ascii="Arial" w:cs="Arial" w:eastAsia="Arial" w:hAnsi="Arial"/>
                <w:sz w:val="14"/>
                <w:szCs w:val="14"/>
                <w:color w:val="auto"/>
              </w:rPr>
              <w:t>0.04</w:t>
            </w:r>
          </w:p>
        </w:tc>
        <w:tc>
          <w:tcPr>
            <w:tcW w:w="380" w:type="dxa"/>
            <w:vAlign w:val="bottom"/>
            <w:tcBorders>
              <w:bottom w:val="single" w:sz="8" w:color="E0DBEA"/>
            </w:tcBorders>
            <w:shd w:val="clear" w:color="auto" w:fill="E0DBEA"/>
          </w:tcPr>
          <w:p>
            <w:pPr>
              <w:spacing w:after="0"/>
              <w:rPr>
                <w:sz w:val="20"/>
                <w:szCs w:val="20"/>
                <w:color w:val="auto"/>
              </w:rPr>
            </w:pPr>
          </w:p>
        </w:tc>
        <w:tc>
          <w:tcPr>
            <w:tcW w:w="700" w:type="dxa"/>
            <w:vAlign w:val="bottom"/>
            <w:tcBorders>
              <w:bottom w:val="single" w:sz="8" w:color="E0DBEA"/>
            </w:tcBorders>
            <w:shd w:val="clear" w:color="auto" w:fill="E0DBEA"/>
          </w:tcPr>
          <w:p>
            <w:pPr>
              <w:jc w:val="right"/>
              <w:ind w:right="68"/>
              <w:spacing w:after="0"/>
              <w:rPr>
                <w:sz w:val="20"/>
                <w:szCs w:val="20"/>
                <w:color w:val="auto"/>
              </w:rPr>
            </w:pPr>
            <w:r>
              <w:rPr>
                <w:rFonts w:ascii="Arial" w:cs="Arial" w:eastAsia="Arial" w:hAnsi="Arial"/>
                <w:sz w:val="14"/>
                <w:szCs w:val="14"/>
                <w:color w:val="auto"/>
              </w:rPr>
              <w:t>0.06</w:t>
            </w:r>
          </w:p>
        </w:tc>
        <w:tc>
          <w:tcPr>
            <w:tcW w:w="840" w:type="dxa"/>
            <w:vAlign w:val="bottom"/>
            <w:tcBorders>
              <w:bottom w:val="single" w:sz="8" w:color="E0DBEA"/>
            </w:tcBorders>
            <w:shd w:val="clear" w:color="auto" w:fill="E0DBEA"/>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20" w:type="dxa"/>
            <w:vAlign w:val="bottom"/>
            <w:tcBorders>
              <w:top w:val="single" w:sz="8" w:color="582C83"/>
            </w:tcBorders>
          </w:tcPr>
          <w:p>
            <w:pPr>
              <w:ind w:left="60"/>
              <w:spacing w:after="0"/>
              <w:rPr>
                <w:sz w:val="20"/>
                <w:szCs w:val="20"/>
                <w:color w:val="auto"/>
              </w:rPr>
            </w:pPr>
            <w:r>
              <w:rPr>
                <w:rFonts w:ascii="Arial" w:cs="Arial" w:eastAsia="Arial" w:hAnsi="Arial"/>
                <w:sz w:val="14"/>
                <w:szCs w:val="14"/>
                <w:color w:val="auto"/>
              </w:rPr>
              <w:t>Remeasurement of net monetary position</w:t>
            </w:r>
          </w:p>
        </w:tc>
        <w:tc>
          <w:tcPr>
            <w:tcW w:w="580" w:type="dxa"/>
            <w:vAlign w:val="bottom"/>
            <w:tcBorders>
              <w:top w:val="single" w:sz="8" w:color="582C83"/>
            </w:tcBorders>
          </w:tcPr>
          <w:p>
            <w:pPr>
              <w:spacing w:after="0"/>
              <w:rPr>
                <w:sz w:val="18"/>
                <w:szCs w:val="18"/>
                <w:color w:val="auto"/>
              </w:rPr>
            </w:pPr>
          </w:p>
        </w:tc>
        <w:tc>
          <w:tcPr>
            <w:tcW w:w="740" w:type="dxa"/>
            <w:vAlign w:val="bottom"/>
            <w:tcBorders>
              <w:top w:val="single" w:sz="8" w:color="582C83"/>
            </w:tcBorders>
          </w:tcPr>
          <w:p>
            <w:pPr>
              <w:jc w:val="right"/>
              <w:ind w:right="188"/>
              <w:spacing w:after="0"/>
              <w:rPr>
                <w:sz w:val="20"/>
                <w:szCs w:val="20"/>
                <w:color w:val="auto"/>
              </w:rPr>
            </w:pPr>
            <w:r>
              <w:rPr>
                <w:rFonts w:ascii="Arial" w:cs="Arial" w:eastAsia="Arial" w:hAnsi="Arial"/>
                <w:sz w:val="14"/>
                <w:szCs w:val="14"/>
                <w:color w:val="auto"/>
              </w:rPr>
              <w:t>0.03</w:t>
            </w:r>
          </w:p>
        </w:tc>
        <w:tc>
          <w:tcPr>
            <w:tcW w:w="420" w:type="dxa"/>
            <w:vAlign w:val="bottom"/>
            <w:tcBorders>
              <w:top w:val="single" w:sz="8" w:color="582C83"/>
            </w:tcBorders>
          </w:tcPr>
          <w:p>
            <w:pPr>
              <w:spacing w:after="0"/>
              <w:rPr>
                <w:sz w:val="18"/>
                <w:szCs w:val="18"/>
                <w:color w:val="auto"/>
              </w:rPr>
            </w:pPr>
          </w:p>
        </w:tc>
        <w:tc>
          <w:tcPr>
            <w:tcW w:w="660" w:type="dxa"/>
            <w:vAlign w:val="bottom"/>
            <w:tcBorders>
              <w:top w:val="single" w:sz="8" w:color="582C83"/>
            </w:tcBorders>
          </w:tcPr>
          <w:p>
            <w:pPr>
              <w:jc w:val="right"/>
              <w:ind w:right="148"/>
              <w:spacing w:after="0"/>
              <w:rPr>
                <w:sz w:val="20"/>
                <w:szCs w:val="20"/>
                <w:color w:val="auto"/>
              </w:rPr>
            </w:pPr>
            <w:r>
              <w:rPr>
                <w:rFonts w:ascii="Arial" w:cs="Arial" w:eastAsia="Arial" w:hAnsi="Arial"/>
                <w:sz w:val="14"/>
                <w:szCs w:val="14"/>
                <w:color w:val="auto"/>
              </w:rPr>
              <w:t>0.02</w:t>
            </w:r>
          </w:p>
        </w:tc>
        <w:tc>
          <w:tcPr>
            <w:tcW w:w="380" w:type="dxa"/>
            <w:vAlign w:val="bottom"/>
            <w:tcBorders>
              <w:top w:val="single" w:sz="8" w:color="582C83"/>
            </w:tcBorders>
          </w:tcPr>
          <w:p>
            <w:pPr>
              <w:spacing w:after="0"/>
              <w:rPr>
                <w:sz w:val="18"/>
                <w:szCs w:val="18"/>
                <w:color w:val="auto"/>
              </w:rPr>
            </w:pPr>
          </w:p>
        </w:tc>
        <w:tc>
          <w:tcPr>
            <w:tcW w:w="700" w:type="dxa"/>
            <w:vAlign w:val="bottom"/>
            <w:tcBorders>
              <w:top w:val="single" w:sz="8" w:color="582C83"/>
            </w:tcBorders>
          </w:tcPr>
          <w:p>
            <w:pPr>
              <w:jc w:val="right"/>
              <w:ind w:right="68"/>
              <w:spacing w:after="0"/>
              <w:rPr>
                <w:sz w:val="20"/>
                <w:szCs w:val="20"/>
                <w:color w:val="auto"/>
              </w:rPr>
            </w:pPr>
            <w:r>
              <w:rPr>
                <w:rFonts w:ascii="Arial" w:cs="Arial" w:eastAsia="Arial" w:hAnsi="Arial"/>
                <w:sz w:val="14"/>
                <w:szCs w:val="14"/>
                <w:color w:val="auto"/>
              </w:rPr>
              <w:t>0.01</w:t>
            </w:r>
          </w:p>
        </w:tc>
        <w:tc>
          <w:tcPr>
            <w:tcW w:w="840" w:type="dxa"/>
            <w:vAlign w:val="bottom"/>
            <w:tcBorders>
              <w:top w:val="single" w:sz="8" w:color="582C83"/>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20" w:type="dxa"/>
            <w:vAlign w:val="bottom"/>
            <w:tcBorders>
              <w:bottom w:val="single" w:sz="8" w:color="582C83"/>
            </w:tcBorders>
          </w:tcPr>
          <w:p>
            <w:pPr>
              <w:spacing w:after="0" w:line="20" w:lineRule="exact"/>
              <w:rPr>
                <w:sz w:val="1"/>
                <w:szCs w:val="1"/>
                <w:color w:val="auto"/>
              </w:rPr>
            </w:pPr>
          </w:p>
        </w:tc>
        <w:tc>
          <w:tcPr>
            <w:tcW w:w="580" w:type="dxa"/>
            <w:vAlign w:val="bottom"/>
            <w:tcBorders>
              <w:bottom w:val="single" w:sz="8" w:color="582C83"/>
            </w:tcBorders>
          </w:tcPr>
          <w:p>
            <w:pPr>
              <w:spacing w:after="0" w:line="20" w:lineRule="exact"/>
              <w:rPr>
                <w:sz w:val="1"/>
                <w:szCs w:val="1"/>
                <w:color w:val="auto"/>
              </w:rPr>
            </w:pPr>
          </w:p>
        </w:tc>
        <w:tc>
          <w:tcPr>
            <w:tcW w:w="740" w:type="dxa"/>
            <w:vAlign w:val="bottom"/>
            <w:tcBorders>
              <w:bottom w:val="single" w:sz="8" w:color="582C83"/>
            </w:tcBorders>
          </w:tcPr>
          <w:p>
            <w:pPr>
              <w:spacing w:after="0" w:line="20" w:lineRule="exact"/>
              <w:rPr>
                <w:sz w:val="1"/>
                <w:szCs w:val="1"/>
                <w:color w:val="auto"/>
              </w:rPr>
            </w:pPr>
          </w:p>
        </w:tc>
        <w:tc>
          <w:tcPr>
            <w:tcW w:w="420" w:type="dxa"/>
            <w:vAlign w:val="bottom"/>
            <w:tcBorders>
              <w:bottom w:val="single" w:sz="8" w:color="582C83"/>
            </w:tcBorders>
          </w:tcPr>
          <w:p>
            <w:pPr>
              <w:spacing w:after="0" w:line="20" w:lineRule="exact"/>
              <w:rPr>
                <w:sz w:val="1"/>
                <w:szCs w:val="1"/>
                <w:color w:val="auto"/>
              </w:rPr>
            </w:pPr>
          </w:p>
        </w:tc>
        <w:tc>
          <w:tcPr>
            <w:tcW w:w="660" w:type="dxa"/>
            <w:vAlign w:val="bottom"/>
            <w:tcBorders>
              <w:bottom w:val="single" w:sz="8" w:color="582C83"/>
            </w:tcBorders>
          </w:tcPr>
          <w:p>
            <w:pPr>
              <w:spacing w:after="0" w:line="20" w:lineRule="exact"/>
              <w:rPr>
                <w:sz w:val="1"/>
                <w:szCs w:val="1"/>
                <w:color w:val="auto"/>
              </w:rPr>
            </w:pPr>
          </w:p>
        </w:tc>
        <w:tc>
          <w:tcPr>
            <w:tcW w:w="380" w:type="dxa"/>
            <w:vAlign w:val="bottom"/>
            <w:tcBorders>
              <w:bottom w:val="single" w:sz="8" w:color="582C83"/>
            </w:tcBorders>
          </w:tcPr>
          <w:p>
            <w:pPr>
              <w:spacing w:after="0" w:line="20" w:lineRule="exact"/>
              <w:rPr>
                <w:sz w:val="1"/>
                <w:szCs w:val="1"/>
                <w:color w:val="auto"/>
              </w:rPr>
            </w:pPr>
          </w:p>
        </w:tc>
        <w:tc>
          <w:tcPr>
            <w:tcW w:w="700" w:type="dxa"/>
            <w:vAlign w:val="bottom"/>
            <w:tcBorders>
              <w:bottom w:val="single" w:sz="8" w:color="582C83"/>
            </w:tcBorders>
          </w:tcPr>
          <w:p>
            <w:pPr>
              <w:spacing w:after="0" w:line="20" w:lineRule="exact"/>
              <w:rPr>
                <w:sz w:val="1"/>
                <w:szCs w:val="1"/>
                <w:color w:val="auto"/>
              </w:rPr>
            </w:pPr>
          </w:p>
        </w:tc>
        <w:tc>
          <w:tcPr>
            <w:tcW w:w="840" w:type="dxa"/>
            <w:vAlign w:val="bottom"/>
            <w:tcBorders>
              <w:bottom w:val="single" w:sz="8" w:color="582C8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4720" w:type="dxa"/>
            <w:vAlign w:val="bottom"/>
            <w:tcBorders>
              <w:bottom w:val="single" w:sz="8" w:color="E0DBEA"/>
            </w:tcBorders>
            <w:shd w:val="clear" w:color="auto" w:fill="E0DBEA"/>
          </w:tcPr>
          <w:p>
            <w:pPr>
              <w:ind w:left="60"/>
              <w:spacing w:after="0"/>
              <w:rPr>
                <w:sz w:val="20"/>
                <w:szCs w:val="20"/>
                <w:color w:val="auto"/>
              </w:rPr>
            </w:pPr>
            <w:r>
              <w:rPr>
                <w:rFonts w:ascii="Arial" w:cs="Arial" w:eastAsia="Arial" w:hAnsi="Arial"/>
                <w:sz w:val="14"/>
                <w:szCs w:val="14"/>
                <w:color w:val="auto"/>
              </w:rPr>
              <w:t>Pension participation changes</w:t>
            </w:r>
          </w:p>
        </w:tc>
        <w:tc>
          <w:tcPr>
            <w:tcW w:w="580" w:type="dxa"/>
            <w:vAlign w:val="bottom"/>
            <w:tcBorders>
              <w:bottom w:val="single" w:sz="8" w:color="E0DBEA"/>
            </w:tcBorders>
            <w:shd w:val="clear" w:color="auto" w:fill="E0DBEA"/>
          </w:tcPr>
          <w:p>
            <w:pPr>
              <w:spacing w:after="0"/>
              <w:rPr>
                <w:sz w:val="20"/>
                <w:szCs w:val="20"/>
                <w:color w:val="auto"/>
              </w:rPr>
            </w:pPr>
          </w:p>
        </w:tc>
        <w:tc>
          <w:tcPr>
            <w:tcW w:w="740" w:type="dxa"/>
            <w:vAlign w:val="bottom"/>
            <w:tcBorders>
              <w:bottom w:val="single" w:sz="8" w:color="E0DBEA"/>
            </w:tcBorders>
            <w:shd w:val="clear" w:color="auto" w:fill="E0DBEA"/>
          </w:tcPr>
          <w:p>
            <w:pPr>
              <w:jc w:val="right"/>
              <w:ind w:right="188"/>
              <w:spacing w:after="0"/>
              <w:rPr>
                <w:sz w:val="20"/>
                <w:szCs w:val="20"/>
                <w:color w:val="auto"/>
              </w:rPr>
            </w:pPr>
            <w:r>
              <w:rPr>
                <w:rFonts w:ascii="Arial" w:cs="Arial" w:eastAsia="Arial" w:hAnsi="Arial"/>
                <w:sz w:val="14"/>
                <w:szCs w:val="14"/>
                <w:color w:val="auto"/>
              </w:rPr>
              <w:t>0.20</w:t>
            </w:r>
          </w:p>
        </w:tc>
        <w:tc>
          <w:tcPr>
            <w:tcW w:w="420" w:type="dxa"/>
            <w:vAlign w:val="bottom"/>
            <w:tcBorders>
              <w:bottom w:val="single" w:sz="8" w:color="E0DBEA"/>
            </w:tcBorders>
            <w:shd w:val="clear" w:color="auto" w:fill="E0DBEA"/>
          </w:tcPr>
          <w:p>
            <w:pPr>
              <w:spacing w:after="0"/>
              <w:rPr>
                <w:sz w:val="20"/>
                <w:szCs w:val="20"/>
                <w:color w:val="auto"/>
              </w:rPr>
            </w:pPr>
          </w:p>
        </w:tc>
        <w:tc>
          <w:tcPr>
            <w:tcW w:w="660" w:type="dxa"/>
            <w:vAlign w:val="bottom"/>
            <w:tcBorders>
              <w:bottom w:val="single" w:sz="8" w:color="E0DBEA"/>
            </w:tcBorders>
            <w:shd w:val="clear" w:color="auto" w:fill="E0DBEA"/>
          </w:tcPr>
          <w:p>
            <w:pPr>
              <w:jc w:val="right"/>
              <w:ind w:right="148"/>
              <w:spacing w:after="0"/>
              <w:rPr>
                <w:sz w:val="20"/>
                <w:szCs w:val="20"/>
                <w:color w:val="auto"/>
              </w:rPr>
            </w:pPr>
            <w:r>
              <w:rPr>
                <w:rFonts w:ascii="Arial" w:cs="Arial" w:eastAsia="Arial" w:hAnsi="Arial"/>
                <w:sz w:val="14"/>
                <w:szCs w:val="14"/>
                <w:color w:val="auto"/>
              </w:rPr>
              <w:t>0.01</w:t>
            </w:r>
          </w:p>
        </w:tc>
        <w:tc>
          <w:tcPr>
            <w:tcW w:w="380" w:type="dxa"/>
            <w:vAlign w:val="bottom"/>
            <w:tcBorders>
              <w:bottom w:val="single" w:sz="8" w:color="E0DBEA"/>
            </w:tcBorders>
            <w:shd w:val="clear" w:color="auto" w:fill="E0DBEA"/>
          </w:tcPr>
          <w:p>
            <w:pPr>
              <w:spacing w:after="0"/>
              <w:rPr>
                <w:sz w:val="20"/>
                <w:szCs w:val="20"/>
                <w:color w:val="auto"/>
              </w:rPr>
            </w:pPr>
          </w:p>
        </w:tc>
        <w:tc>
          <w:tcPr>
            <w:tcW w:w="700" w:type="dxa"/>
            <w:vAlign w:val="bottom"/>
            <w:tcBorders>
              <w:bottom w:val="single" w:sz="8" w:color="E0DBEA"/>
            </w:tcBorders>
            <w:shd w:val="clear" w:color="auto" w:fill="E0DBEA"/>
          </w:tcPr>
          <w:p>
            <w:pPr>
              <w:jc w:val="right"/>
              <w:ind w:right="68"/>
              <w:spacing w:after="0"/>
              <w:rPr>
                <w:sz w:val="20"/>
                <w:szCs w:val="20"/>
                <w:color w:val="auto"/>
              </w:rPr>
            </w:pPr>
            <w:r>
              <w:rPr>
                <w:rFonts w:ascii="Arial" w:cs="Arial" w:eastAsia="Arial" w:hAnsi="Arial"/>
                <w:sz w:val="14"/>
                <w:szCs w:val="14"/>
                <w:color w:val="auto"/>
              </w:rPr>
              <w:t>0.19</w:t>
            </w:r>
          </w:p>
        </w:tc>
        <w:tc>
          <w:tcPr>
            <w:tcW w:w="840" w:type="dxa"/>
            <w:vAlign w:val="bottom"/>
            <w:tcBorders>
              <w:bottom w:val="single" w:sz="8" w:color="E0DBEA"/>
            </w:tcBorders>
            <w:shd w:val="clear" w:color="auto" w:fill="E0DBEA"/>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20" w:type="dxa"/>
            <w:vAlign w:val="bottom"/>
            <w:tcBorders>
              <w:top w:val="single" w:sz="8" w:color="582C83"/>
            </w:tcBorders>
          </w:tcPr>
          <w:p>
            <w:pPr>
              <w:ind w:left="60"/>
              <w:spacing w:after="0"/>
              <w:rPr>
                <w:sz w:val="20"/>
                <w:szCs w:val="20"/>
                <w:color w:val="auto"/>
              </w:rPr>
            </w:pPr>
            <w:r>
              <w:rPr>
                <w:rFonts w:ascii="Arial" w:cs="Arial" w:eastAsia="Arial" w:hAnsi="Arial"/>
                <w:sz w:val="14"/>
                <w:szCs w:val="14"/>
                <w:color w:val="auto"/>
              </w:rPr>
              <w:t>Resolution of tax matters</w:t>
            </w:r>
          </w:p>
        </w:tc>
        <w:tc>
          <w:tcPr>
            <w:tcW w:w="580" w:type="dxa"/>
            <w:vAlign w:val="bottom"/>
            <w:tcBorders>
              <w:top w:val="single" w:sz="8" w:color="582C83"/>
            </w:tcBorders>
          </w:tcPr>
          <w:p>
            <w:pPr>
              <w:spacing w:after="0"/>
              <w:rPr>
                <w:sz w:val="18"/>
                <w:szCs w:val="18"/>
                <w:color w:val="auto"/>
              </w:rPr>
            </w:pPr>
          </w:p>
        </w:tc>
        <w:tc>
          <w:tcPr>
            <w:tcW w:w="740" w:type="dxa"/>
            <w:vAlign w:val="bottom"/>
            <w:tcBorders>
              <w:top w:val="single" w:sz="8" w:color="582C83"/>
            </w:tcBorders>
          </w:tcPr>
          <w:p>
            <w:pPr>
              <w:jc w:val="right"/>
              <w:ind w:right="148"/>
              <w:spacing w:after="0"/>
              <w:rPr>
                <w:sz w:val="20"/>
                <w:szCs w:val="20"/>
                <w:color w:val="auto"/>
              </w:rPr>
            </w:pPr>
            <w:r>
              <w:rPr>
                <w:rFonts w:ascii="Arial" w:cs="Arial" w:eastAsia="Arial" w:hAnsi="Arial"/>
                <w:sz w:val="14"/>
                <w:szCs w:val="14"/>
                <w:color w:val="auto"/>
              </w:rPr>
              <w:t>(0.02)</w:t>
            </w:r>
          </w:p>
        </w:tc>
        <w:tc>
          <w:tcPr>
            <w:tcW w:w="420" w:type="dxa"/>
            <w:vAlign w:val="bottom"/>
            <w:tcBorders>
              <w:top w:val="single" w:sz="8" w:color="582C83"/>
            </w:tcBorders>
          </w:tcPr>
          <w:p>
            <w:pPr>
              <w:spacing w:after="0"/>
              <w:rPr>
                <w:sz w:val="18"/>
                <w:szCs w:val="18"/>
                <w:color w:val="auto"/>
              </w:rPr>
            </w:pPr>
          </w:p>
        </w:tc>
        <w:tc>
          <w:tcPr>
            <w:tcW w:w="660" w:type="dxa"/>
            <w:vAlign w:val="bottom"/>
            <w:tcBorders>
              <w:top w:val="single" w:sz="8" w:color="582C83"/>
            </w:tcBorders>
          </w:tcPr>
          <w:p>
            <w:pPr>
              <w:jc w:val="right"/>
              <w:ind w:right="14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582C83"/>
            </w:tcBorders>
          </w:tcPr>
          <w:p>
            <w:pPr>
              <w:spacing w:after="0"/>
              <w:rPr>
                <w:sz w:val="18"/>
                <w:szCs w:val="18"/>
                <w:color w:val="auto"/>
              </w:rPr>
            </w:pPr>
          </w:p>
        </w:tc>
        <w:tc>
          <w:tcPr>
            <w:tcW w:w="700" w:type="dxa"/>
            <w:vAlign w:val="bottom"/>
            <w:tcBorders>
              <w:top w:val="single" w:sz="8" w:color="582C83"/>
            </w:tcBorders>
          </w:tcPr>
          <w:p>
            <w:pPr>
              <w:jc w:val="right"/>
              <w:ind w:right="28"/>
              <w:spacing w:after="0"/>
              <w:rPr>
                <w:sz w:val="20"/>
                <w:szCs w:val="20"/>
                <w:color w:val="auto"/>
              </w:rPr>
            </w:pPr>
            <w:r>
              <w:rPr>
                <w:rFonts w:ascii="Arial" w:cs="Arial" w:eastAsia="Arial" w:hAnsi="Arial"/>
                <w:sz w:val="14"/>
                <w:szCs w:val="14"/>
                <w:color w:val="auto"/>
              </w:rPr>
              <w:t>(0.02)</w:t>
            </w:r>
          </w:p>
        </w:tc>
        <w:tc>
          <w:tcPr>
            <w:tcW w:w="840" w:type="dxa"/>
            <w:vAlign w:val="bottom"/>
            <w:tcBorders>
              <w:top w:val="single" w:sz="8" w:color="582C83"/>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20" w:type="dxa"/>
            <w:vAlign w:val="bottom"/>
            <w:tcBorders>
              <w:bottom w:val="single" w:sz="8" w:color="582C83"/>
            </w:tcBorders>
          </w:tcPr>
          <w:p>
            <w:pPr>
              <w:spacing w:after="0" w:line="20" w:lineRule="exact"/>
              <w:rPr>
                <w:sz w:val="1"/>
                <w:szCs w:val="1"/>
                <w:color w:val="auto"/>
              </w:rPr>
            </w:pPr>
          </w:p>
        </w:tc>
        <w:tc>
          <w:tcPr>
            <w:tcW w:w="580" w:type="dxa"/>
            <w:vAlign w:val="bottom"/>
            <w:tcBorders>
              <w:bottom w:val="single" w:sz="8" w:color="582C83"/>
            </w:tcBorders>
          </w:tcPr>
          <w:p>
            <w:pPr>
              <w:spacing w:after="0" w:line="20" w:lineRule="exact"/>
              <w:rPr>
                <w:sz w:val="1"/>
                <w:szCs w:val="1"/>
                <w:color w:val="auto"/>
              </w:rPr>
            </w:pPr>
          </w:p>
        </w:tc>
        <w:tc>
          <w:tcPr>
            <w:tcW w:w="740" w:type="dxa"/>
            <w:vAlign w:val="bottom"/>
            <w:tcBorders>
              <w:bottom w:val="single" w:sz="8" w:color="582C83"/>
            </w:tcBorders>
          </w:tcPr>
          <w:p>
            <w:pPr>
              <w:spacing w:after="0" w:line="20" w:lineRule="exact"/>
              <w:rPr>
                <w:sz w:val="1"/>
                <w:szCs w:val="1"/>
                <w:color w:val="auto"/>
              </w:rPr>
            </w:pPr>
          </w:p>
        </w:tc>
        <w:tc>
          <w:tcPr>
            <w:tcW w:w="420" w:type="dxa"/>
            <w:vAlign w:val="bottom"/>
            <w:tcBorders>
              <w:bottom w:val="single" w:sz="8" w:color="582C83"/>
            </w:tcBorders>
          </w:tcPr>
          <w:p>
            <w:pPr>
              <w:spacing w:after="0" w:line="20" w:lineRule="exact"/>
              <w:rPr>
                <w:sz w:val="1"/>
                <w:szCs w:val="1"/>
                <w:color w:val="auto"/>
              </w:rPr>
            </w:pPr>
          </w:p>
        </w:tc>
        <w:tc>
          <w:tcPr>
            <w:tcW w:w="660" w:type="dxa"/>
            <w:vAlign w:val="bottom"/>
            <w:tcBorders>
              <w:bottom w:val="single" w:sz="8" w:color="582C83"/>
            </w:tcBorders>
          </w:tcPr>
          <w:p>
            <w:pPr>
              <w:spacing w:after="0" w:line="20" w:lineRule="exact"/>
              <w:rPr>
                <w:sz w:val="1"/>
                <w:szCs w:val="1"/>
                <w:color w:val="auto"/>
              </w:rPr>
            </w:pPr>
          </w:p>
        </w:tc>
        <w:tc>
          <w:tcPr>
            <w:tcW w:w="380" w:type="dxa"/>
            <w:vAlign w:val="bottom"/>
            <w:tcBorders>
              <w:bottom w:val="single" w:sz="8" w:color="582C83"/>
            </w:tcBorders>
          </w:tcPr>
          <w:p>
            <w:pPr>
              <w:spacing w:after="0" w:line="20" w:lineRule="exact"/>
              <w:rPr>
                <w:sz w:val="1"/>
                <w:szCs w:val="1"/>
                <w:color w:val="auto"/>
              </w:rPr>
            </w:pPr>
          </w:p>
        </w:tc>
        <w:tc>
          <w:tcPr>
            <w:tcW w:w="700" w:type="dxa"/>
            <w:vAlign w:val="bottom"/>
            <w:tcBorders>
              <w:bottom w:val="single" w:sz="8" w:color="582C83"/>
            </w:tcBorders>
          </w:tcPr>
          <w:p>
            <w:pPr>
              <w:spacing w:after="0" w:line="20" w:lineRule="exact"/>
              <w:rPr>
                <w:sz w:val="1"/>
                <w:szCs w:val="1"/>
                <w:color w:val="auto"/>
              </w:rPr>
            </w:pPr>
          </w:p>
        </w:tc>
        <w:tc>
          <w:tcPr>
            <w:tcW w:w="840" w:type="dxa"/>
            <w:vAlign w:val="bottom"/>
            <w:tcBorders>
              <w:bottom w:val="single" w:sz="8" w:color="582C8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4720" w:type="dxa"/>
            <w:vAlign w:val="bottom"/>
            <w:tcBorders>
              <w:bottom w:val="single" w:sz="8" w:color="E0DBEA"/>
            </w:tcBorders>
            <w:shd w:val="clear" w:color="auto" w:fill="E0DBEA"/>
          </w:tcPr>
          <w:p>
            <w:pPr>
              <w:ind w:left="60"/>
              <w:spacing w:after="0"/>
              <w:rPr>
                <w:sz w:val="20"/>
                <w:szCs w:val="20"/>
                <w:color w:val="auto"/>
              </w:rPr>
            </w:pPr>
            <w:r>
              <w:rPr>
                <w:rFonts w:ascii="Arial" w:cs="Arial" w:eastAsia="Arial" w:hAnsi="Arial"/>
                <w:sz w:val="14"/>
                <w:szCs w:val="14"/>
                <w:color w:val="auto"/>
              </w:rPr>
              <w:t>Initial impacts from enacted tax law changes</w:t>
            </w:r>
          </w:p>
        </w:tc>
        <w:tc>
          <w:tcPr>
            <w:tcW w:w="580" w:type="dxa"/>
            <w:vAlign w:val="bottom"/>
            <w:tcBorders>
              <w:bottom w:val="single" w:sz="8" w:color="E0DBEA"/>
            </w:tcBorders>
            <w:shd w:val="clear" w:color="auto" w:fill="E0DBEA"/>
          </w:tcPr>
          <w:p>
            <w:pPr>
              <w:spacing w:after="0"/>
              <w:rPr>
                <w:sz w:val="20"/>
                <w:szCs w:val="20"/>
                <w:color w:val="auto"/>
              </w:rPr>
            </w:pPr>
          </w:p>
        </w:tc>
        <w:tc>
          <w:tcPr>
            <w:tcW w:w="740" w:type="dxa"/>
            <w:vAlign w:val="bottom"/>
            <w:tcBorders>
              <w:bottom w:val="single" w:sz="8" w:color="E0DBEA"/>
            </w:tcBorders>
            <w:shd w:val="clear" w:color="auto" w:fill="E0DBEA"/>
          </w:tcPr>
          <w:p>
            <w:pPr>
              <w:jc w:val="right"/>
              <w:ind w:right="188"/>
              <w:spacing w:after="0"/>
              <w:rPr>
                <w:sz w:val="20"/>
                <w:szCs w:val="20"/>
                <w:color w:val="auto"/>
              </w:rPr>
            </w:pPr>
            <w:r>
              <w:rPr>
                <w:rFonts w:ascii="Arial" w:cs="Arial" w:eastAsia="Arial" w:hAnsi="Arial"/>
                <w:sz w:val="14"/>
                <w:szCs w:val="14"/>
                <w:color w:val="auto"/>
              </w:rPr>
              <w:t>0.01</w:t>
            </w:r>
          </w:p>
        </w:tc>
        <w:tc>
          <w:tcPr>
            <w:tcW w:w="420" w:type="dxa"/>
            <w:vAlign w:val="bottom"/>
            <w:tcBorders>
              <w:bottom w:val="single" w:sz="8" w:color="E0DBEA"/>
            </w:tcBorders>
            <w:shd w:val="clear" w:color="auto" w:fill="E0DBEA"/>
          </w:tcPr>
          <w:p>
            <w:pPr>
              <w:spacing w:after="0"/>
              <w:rPr>
                <w:sz w:val="20"/>
                <w:szCs w:val="20"/>
                <w:color w:val="auto"/>
              </w:rPr>
            </w:pPr>
          </w:p>
        </w:tc>
        <w:tc>
          <w:tcPr>
            <w:tcW w:w="660" w:type="dxa"/>
            <w:vAlign w:val="bottom"/>
            <w:tcBorders>
              <w:bottom w:val="single" w:sz="8" w:color="E0DBEA"/>
            </w:tcBorders>
            <w:shd w:val="clear" w:color="auto" w:fill="E0DBEA"/>
          </w:tcPr>
          <w:p>
            <w:pPr>
              <w:jc w:val="right"/>
              <w:ind w:right="148"/>
              <w:spacing w:after="0"/>
              <w:rPr>
                <w:sz w:val="20"/>
                <w:szCs w:val="20"/>
                <w:color w:val="auto"/>
              </w:rPr>
            </w:pPr>
            <w:r>
              <w:rPr>
                <w:rFonts w:ascii="Arial" w:cs="Arial" w:eastAsia="Arial" w:hAnsi="Arial"/>
                <w:sz w:val="14"/>
                <w:szCs w:val="14"/>
                <w:color w:val="auto"/>
              </w:rPr>
              <w:t>0.02</w:t>
            </w:r>
          </w:p>
        </w:tc>
        <w:tc>
          <w:tcPr>
            <w:tcW w:w="380" w:type="dxa"/>
            <w:vAlign w:val="bottom"/>
            <w:tcBorders>
              <w:bottom w:val="single" w:sz="8" w:color="E0DBEA"/>
            </w:tcBorders>
            <w:shd w:val="clear" w:color="auto" w:fill="E0DBEA"/>
          </w:tcPr>
          <w:p>
            <w:pPr>
              <w:spacing w:after="0"/>
              <w:rPr>
                <w:sz w:val="20"/>
                <w:szCs w:val="20"/>
                <w:color w:val="auto"/>
              </w:rPr>
            </w:pPr>
          </w:p>
        </w:tc>
        <w:tc>
          <w:tcPr>
            <w:tcW w:w="700" w:type="dxa"/>
            <w:vAlign w:val="bottom"/>
            <w:tcBorders>
              <w:bottom w:val="single" w:sz="8" w:color="E0DBEA"/>
            </w:tcBorders>
            <w:shd w:val="clear" w:color="auto" w:fill="E0DBEA"/>
          </w:tcPr>
          <w:p>
            <w:pPr>
              <w:jc w:val="right"/>
              <w:ind w:right="28"/>
              <w:spacing w:after="0"/>
              <w:rPr>
                <w:sz w:val="20"/>
                <w:szCs w:val="20"/>
                <w:color w:val="auto"/>
              </w:rPr>
            </w:pPr>
            <w:r>
              <w:rPr>
                <w:rFonts w:ascii="Arial" w:cs="Arial" w:eastAsia="Arial" w:hAnsi="Arial"/>
                <w:sz w:val="14"/>
                <w:szCs w:val="14"/>
                <w:color w:val="auto"/>
              </w:rPr>
              <w:t>(0.01)</w:t>
            </w:r>
          </w:p>
        </w:tc>
        <w:tc>
          <w:tcPr>
            <w:tcW w:w="840" w:type="dxa"/>
            <w:vAlign w:val="bottom"/>
            <w:tcBorders>
              <w:bottom w:val="single" w:sz="8" w:color="E0DBEA"/>
            </w:tcBorders>
            <w:shd w:val="clear" w:color="auto" w:fill="E0DBEA"/>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20" w:type="dxa"/>
            <w:vAlign w:val="bottom"/>
            <w:tcBorders>
              <w:top w:val="single" w:sz="8" w:color="582C83"/>
            </w:tcBorders>
          </w:tcPr>
          <w:p>
            <w:pPr>
              <w:ind w:left="60"/>
              <w:spacing w:after="0"/>
              <w:rPr>
                <w:sz w:val="20"/>
                <w:szCs w:val="20"/>
                <w:color w:val="auto"/>
              </w:rPr>
            </w:pPr>
            <w:r>
              <w:rPr>
                <w:rFonts w:ascii="Arial" w:cs="Arial" w:eastAsia="Arial" w:hAnsi="Arial"/>
                <w:sz w:val="14"/>
                <w:szCs w:val="14"/>
                <w:color w:val="auto"/>
              </w:rPr>
              <w:t>Gain on marketable securities</w:t>
            </w:r>
          </w:p>
        </w:tc>
        <w:tc>
          <w:tcPr>
            <w:tcW w:w="580" w:type="dxa"/>
            <w:vAlign w:val="bottom"/>
            <w:tcBorders>
              <w:top w:val="single" w:sz="8" w:color="582C83"/>
            </w:tcBorders>
          </w:tcPr>
          <w:p>
            <w:pPr>
              <w:spacing w:after="0"/>
              <w:rPr>
                <w:sz w:val="18"/>
                <w:szCs w:val="18"/>
                <w:color w:val="auto"/>
              </w:rPr>
            </w:pPr>
          </w:p>
        </w:tc>
        <w:tc>
          <w:tcPr>
            <w:tcW w:w="740" w:type="dxa"/>
            <w:vAlign w:val="bottom"/>
            <w:tcBorders>
              <w:top w:val="single" w:sz="8" w:color="582C83"/>
            </w:tcBorders>
          </w:tcPr>
          <w:p>
            <w:pPr>
              <w:jc w:val="right"/>
              <w:ind w:right="148"/>
              <w:spacing w:after="0"/>
              <w:rPr>
                <w:sz w:val="20"/>
                <w:szCs w:val="20"/>
                <w:color w:val="auto"/>
              </w:rPr>
            </w:pPr>
            <w:r>
              <w:rPr>
                <w:rFonts w:ascii="Arial" w:cs="Arial" w:eastAsia="Arial" w:hAnsi="Arial"/>
                <w:sz w:val="14"/>
                <w:szCs w:val="14"/>
                <w:color w:val="auto"/>
              </w:rPr>
              <w:t>(0.02)</w:t>
            </w:r>
          </w:p>
        </w:tc>
        <w:tc>
          <w:tcPr>
            <w:tcW w:w="420" w:type="dxa"/>
            <w:vAlign w:val="bottom"/>
            <w:tcBorders>
              <w:top w:val="single" w:sz="8" w:color="582C83"/>
            </w:tcBorders>
          </w:tcPr>
          <w:p>
            <w:pPr>
              <w:spacing w:after="0"/>
              <w:rPr>
                <w:sz w:val="18"/>
                <w:szCs w:val="18"/>
                <w:color w:val="auto"/>
              </w:rPr>
            </w:pPr>
          </w:p>
        </w:tc>
        <w:tc>
          <w:tcPr>
            <w:tcW w:w="660" w:type="dxa"/>
            <w:vAlign w:val="bottom"/>
            <w:tcBorders>
              <w:top w:val="single" w:sz="8" w:color="582C83"/>
            </w:tcBorders>
          </w:tcPr>
          <w:p>
            <w:pPr>
              <w:jc w:val="right"/>
              <w:ind w:right="14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582C83"/>
            </w:tcBorders>
          </w:tcPr>
          <w:p>
            <w:pPr>
              <w:spacing w:after="0"/>
              <w:rPr>
                <w:sz w:val="18"/>
                <w:szCs w:val="18"/>
                <w:color w:val="auto"/>
              </w:rPr>
            </w:pPr>
          </w:p>
        </w:tc>
        <w:tc>
          <w:tcPr>
            <w:tcW w:w="700" w:type="dxa"/>
            <w:vAlign w:val="bottom"/>
            <w:tcBorders>
              <w:top w:val="single" w:sz="8" w:color="582C83"/>
            </w:tcBorders>
          </w:tcPr>
          <w:p>
            <w:pPr>
              <w:jc w:val="right"/>
              <w:ind w:right="28"/>
              <w:spacing w:after="0"/>
              <w:rPr>
                <w:sz w:val="20"/>
                <w:szCs w:val="20"/>
                <w:color w:val="auto"/>
              </w:rPr>
            </w:pPr>
            <w:r>
              <w:rPr>
                <w:rFonts w:ascii="Arial" w:cs="Arial" w:eastAsia="Arial" w:hAnsi="Arial"/>
                <w:sz w:val="14"/>
                <w:szCs w:val="14"/>
                <w:color w:val="auto"/>
              </w:rPr>
              <w:t>(0.02)</w:t>
            </w:r>
          </w:p>
        </w:tc>
        <w:tc>
          <w:tcPr>
            <w:tcW w:w="840" w:type="dxa"/>
            <w:vAlign w:val="bottom"/>
            <w:tcBorders>
              <w:top w:val="single" w:sz="8" w:color="582C83"/>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20" w:type="dxa"/>
            <w:vAlign w:val="bottom"/>
            <w:tcBorders>
              <w:bottom w:val="single" w:sz="8" w:color="582C83"/>
            </w:tcBorders>
          </w:tcPr>
          <w:p>
            <w:pPr>
              <w:spacing w:after="0" w:line="20" w:lineRule="exact"/>
              <w:rPr>
                <w:sz w:val="1"/>
                <w:szCs w:val="1"/>
                <w:color w:val="auto"/>
              </w:rPr>
            </w:pPr>
          </w:p>
        </w:tc>
        <w:tc>
          <w:tcPr>
            <w:tcW w:w="580" w:type="dxa"/>
            <w:vAlign w:val="bottom"/>
            <w:tcBorders>
              <w:bottom w:val="single" w:sz="8" w:color="582C83"/>
            </w:tcBorders>
          </w:tcPr>
          <w:p>
            <w:pPr>
              <w:spacing w:after="0" w:line="20" w:lineRule="exact"/>
              <w:rPr>
                <w:sz w:val="1"/>
                <w:szCs w:val="1"/>
                <w:color w:val="auto"/>
              </w:rPr>
            </w:pPr>
          </w:p>
        </w:tc>
        <w:tc>
          <w:tcPr>
            <w:tcW w:w="740" w:type="dxa"/>
            <w:vAlign w:val="bottom"/>
            <w:tcBorders>
              <w:bottom w:val="single" w:sz="8" w:color="582C83"/>
            </w:tcBorders>
          </w:tcPr>
          <w:p>
            <w:pPr>
              <w:spacing w:after="0" w:line="20" w:lineRule="exact"/>
              <w:rPr>
                <w:sz w:val="1"/>
                <w:szCs w:val="1"/>
                <w:color w:val="auto"/>
              </w:rPr>
            </w:pPr>
          </w:p>
        </w:tc>
        <w:tc>
          <w:tcPr>
            <w:tcW w:w="420" w:type="dxa"/>
            <w:vAlign w:val="bottom"/>
            <w:tcBorders>
              <w:bottom w:val="single" w:sz="8" w:color="582C83"/>
            </w:tcBorders>
          </w:tcPr>
          <w:p>
            <w:pPr>
              <w:spacing w:after="0" w:line="20" w:lineRule="exact"/>
              <w:rPr>
                <w:sz w:val="1"/>
                <w:szCs w:val="1"/>
                <w:color w:val="auto"/>
              </w:rPr>
            </w:pPr>
          </w:p>
        </w:tc>
        <w:tc>
          <w:tcPr>
            <w:tcW w:w="660" w:type="dxa"/>
            <w:vAlign w:val="bottom"/>
            <w:tcBorders>
              <w:bottom w:val="single" w:sz="8" w:color="582C83"/>
            </w:tcBorders>
          </w:tcPr>
          <w:p>
            <w:pPr>
              <w:spacing w:after="0" w:line="20" w:lineRule="exact"/>
              <w:rPr>
                <w:sz w:val="1"/>
                <w:szCs w:val="1"/>
                <w:color w:val="auto"/>
              </w:rPr>
            </w:pPr>
          </w:p>
        </w:tc>
        <w:tc>
          <w:tcPr>
            <w:tcW w:w="380" w:type="dxa"/>
            <w:vAlign w:val="bottom"/>
            <w:tcBorders>
              <w:bottom w:val="single" w:sz="8" w:color="582C83"/>
            </w:tcBorders>
          </w:tcPr>
          <w:p>
            <w:pPr>
              <w:spacing w:after="0" w:line="20" w:lineRule="exact"/>
              <w:rPr>
                <w:sz w:val="1"/>
                <w:szCs w:val="1"/>
                <w:color w:val="auto"/>
              </w:rPr>
            </w:pPr>
          </w:p>
        </w:tc>
        <w:tc>
          <w:tcPr>
            <w:tcW w:w="700" w:type="dxa"/>
            <w:vAlign w:val="bottom"/>
            <w:tcBorders>
              <w:bottom w:val="single" w:sz="8" w:color="582C83"/>
            </w:tcBorders>
          </w:tcPr>
          <w:p>
            <w:pPr>
              <w:spacing w:after="0" w:line="20" w:lineRule="exact"/>
              <w:rPr>
                <w:sz w:val="1"/>
                <w:szCs w:val="1"/>
                <w:color w:val="auto"/>
              </w:rPr>
            </w:pPr>
          </w:p>
        </w:tc>
        <w:tc>
          <w:tcPr>
            <w:tcW w:w="840" w:type="dxa"/>
            <w:vAlign w:val="bottom"/>
            <w:tcBorders>
              <w:bottom w:val="single" w:sz="8" w:color="582C8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4720" w:type="dxa"/>
            <w:vAlign w:val="bottom"/>
            <w:tcBorders>
              <w:bottom w:val="single" w:sz="8" w:color="E0DBEA"/>
            </w:tcBorders>
            <w:shd w:val="clear" w:color="auto" w:fill="E0DBEA"/>
          </w:tcPr>
          <w:p>
            <w:pPr>
              <w:ind w:left="60"/>
              <w:spacing w:after="0"/>
              <w:rPr>
                <w:sz w:val="20"/>
                <w:szCs w:val="20"/>
                <w:color w:val="auto"/>
              </w:rPr>
            </w:pPr>
            <w:r>
              <w:rPr>
                <w:rFonts w:ascii="Arial" w:cs="Arial" w:eastAsia="Arial" w:hAnsi="Arial"/>
                <w:sz w:val="14"/>
                <w:szCs w:val="14"/>
                <w:color w:val="auto"/>
              </w:rPr>
              <w:t>(Gain)/loss on equity method investment transactions</w:t>
            </w:r>
          </w:p>
        </w:tc>
        <w:tc>
          <w:tcPr>
            <w:tcW w:w="580" w:type="dxa"/>
            <w:vAlign w:val="bottom"/>
            <w:tcBorders>
              <w:bottom w:val="single" w:sz="8" w:color="E0DBEA"/>
            </w:tcBorders>
            <w:shd w:val="clear" w:color="auto" w:fill="E0DBEA"/>
          </w:tcPr>
          <w:p>
            <w:pPr>
              <w:spacing w:after="0"/>
              <w:rPr>
                <w:sz w:val="20"/>
                <w:szCs w:val="20"/>
                <w:color w:val="auto"/>
              </w:rPr>
            </w:pPr>
          </w:p>
        </w:tc>
        <w:tc>
          <w:tcPr>
            <w:tcW w:w="740" w:type="dxa"/>
            <w:vAlign w:val="bottom"/>
            <w:tcBorders>
              <w:bottom w:val="single" w:sz="8" w:color="E0DBEA"/>
            </w:tcBorders>
            <w:shd w:val="clear" w:color="auto" w:fill="E0DBEA"/>
          </w:tcPr>
          <w:p>
            <w:pPr>
              <w:jc w:val="right"/>
              <w:ind w:right="148"/>
              <w:spacing w:after="0"/>
              <w:rPr>
                <w:sz w:val="20"/>
                <w:szCs w:val="20"/>
                <w:color w:val="auto"/>
              </w:rPr>
            </w:pPr>
            <w:r>
              <w:rPr>
                <w:rFonts w:ascii="Arial" w:cs="Arial" w:eastAsia="Arial" w:hAnsi="Arial"/>
                <w:sz w:val="14"/>
                <w:szCs w:val="14"/>
                <w:color w:val="auto"/>
              </w:rPr>
              <w:t>(0.13)</w:t>
            </w:r>
          </w:p>
        </w:tc>
        <w:tc>
          <w:tcPr>
            <w:tcW w:w="420" w:type="dxa"/>
            <w:vAlign w:val="bottom"/>
            <w:tcBorders>
              <w:bottom w:val="single" w:sz="8" w:color="E0DBEA"/>
            </w:tcBorders>
            <w:shd w:val="clear" w:color="auto" w:fill="E0DBEA"/>
          </w:tcPr>
          <w:p>
            <w:pPr>
              <w:spacing w:after="0"/>
              <w:rPr>
                <w:sz w:val="20"/>
                <w:szCs w:val="20"/>
                <w:color w:val="auto"/>
              </w:rPr>
            </w:pPr>
          </w:p>
        </w:tc>
        <w:tc>
          <w:tcPr>
            <w:tcW w:w="660" w:type="dxa"/>
            <w:vAlign w:val="bottom"/>
            <w:tcBorders>
              <w:bottom w:val="single" w:sz="8" w:color="E0DBEA"/>
            </w:tcBorders>
            <w:shd w:val="clear" w:color="auto" w:fill="E0DBEA"/>
          </w:tcPr>
          <w:p>
            <w:pPr>
              <w:jc w:val="right"/>
              <w:ind w:right="148"/>
              <w:spacing w:after="0"/>
              <w:rPr>
                <w:sz w:val="20"/>
                <w:szCs w:val="20"/>
                <w:color w:val="auto"/>
              </w:rPr>
            </w:pPr>
            <w:r>
              <w:rPr>
                <w:rFonts w:ascii="Arial" w:cs="Arial" w:eastAsia="Arial" w:hAnsi="Arial"/>
                <w:sz w:val="14"/>
                <w:szCs w:val="14"/>
                <w:color w:val="auto"/>
              </w:rPr>
              <w:t>0.24</w:t>
            </w:r>
          </w:p>
        </w:tc>
        <w:tc>
          <w:tcPr>
            <w:tcW w:w="380" w:type="dxa"/>
            <w:vAlign w:val="bottom"/>
            <w:tcBorders>
              <w:bottom w:val="single" w:sz="8" w:color="E0DBEA"/>
            </w:tcBorders>
            <w:shd w:val="clear" w:color="auto" w:fill="E0DBEA"/>
          </w:tcPr>
          <w:p>
            <w:pPr>
              <w:spacing w:after="0"/>
              <w:rPr>
                <w:sz w:val="20"/>
                <w:szCs w:val="20"/>
                <w:color w:val="auto"/>
              </w:rPr>
            </w:pPr>
          </w:p>
        </w:tc>
        <w:tc>
          <w:tcPr>
            <w:tcW w:w="700" w:type="dxa"/>
            <w:vAlign w:val="bottom"/>
            <w:tcBorders>
              <w:bottom w:val="single" w:sz="8" w:color="E0DBEA"/>
            </w:tcBorders>
            <w:shd w:val="clear" w:color="auto" w:fill="E0DBEA"/>
          </w:tcPr>
          <w:p>
            <w:pPr>
              <w:jc w:val="right"/>
              <w:ind w:right="28"/>
              <w:spacing w:after="0"/>
              <w:rPr>
                <w:sz w:val="20"/>
                <w:szCs w:val="20"/>
                <w:color w:val="auto"/>
              </w:rPr>
            </w:pPr>
            <w:r>
              <w:rPr>
                <w:rFonts w:ascii="Arial" w:cs="Arial" w:eastAsia="Arial" w:hAnsi="Arial"/>
                <w:sz w:val="14"/>
                <w:szCs w:val="14"/>
                <w:color w:val="auto"/>
              </w:rPr>
              <w:t>(0.37)</w:t>
            </w:r>
          </w:p>
        </w:tc>
        <w:tc>
          <w:tcPr>
            <w:tcW w:w="840" w:type="dxa"/>
            <w:vAlign w:val="bottom"/>
            <w:tcBorders>
              <w:bottom w:val="single" w:sz="8" w:color="E0DBEA"/>
            </w:tcBorders>
            <w:shd w:val="clear" w:color="auto" w:fill="E0DBEA"/>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20" w:type="dxa"/>
            <w:vAlign w:val="bottom"/>
            <w:tcBorders>
              <w:top w:val="single" w:sz="8" w:color="582C83"/>
              <w:bottom w:val="single" w:sz="8" w:color="582C83"/>
            </w:tcBorders>
          </w:tcPr>
          <w:p>
            <w:pPr>
              <w:ind w:left="60"/>
              <w:spacing w:after="0" w:line="161" w:lineRule="exact"/>
              <w:rPr>
                <w:sz w:val="20"/>
                <w:szCs w:val="20"/>
                <w:color w:val="auto"/>
              </w:rPr>
            </w:pPr>
            <w:r>
              <w:rPr>
                <w:rFonts w:ascii="Arial" w:cs="Arial" w:eastAsia="Arial" w:hAnsi="Arial"/>
                <w:sz w:val="14"/>
                <w:szCs w:val="14"/>
                <w:b w:val="1"/>
                <w:bCs w:val="1"/>
                <w:color w:val="auto"/>
              </w:rPr>
              <w:t>Adjusted EPS (Non</w:t>
            </w:r>
            <w:r>
              <w:rPr>
                <w:rFonts w:ascii="MS PGothic" w:cs="MS PGothic" w:eastAsia="MS PGothic" w:hAnsi="MS PGothic"/>
                <w:sz w:val="14"/>
                <w:szCs w:val="14"/>
                <w:color w:val="auto"/>
                <w:strike w:val="1"/>
              </w:rPr>
              <w:t>‑</w:t>
            </w:r>
            <w:r>
              <w:rPr>
                <w:rFonts w:ascii="Arial" w:cs="Arial" w:eastAsia="Arial" w:hAnsi="Arial"/>
                <w:sz w:val="14"/>
                <w:szCs w:val="14"/>
                <w:b w:val="1"/>
                <w:bCs w:val="1"/>
                <w:color w:val="auto"/>
              </w:rPr>
              <w:t>GAAP)</w:t>
            </w:r>
          </w:p>
        </w:tc>
        <w:tc>
          <w:tcPr>
            <w:tcW w:w="580" w:type="dxa"/>
            <w:vAlign w:val="bottom"/>
            <w:tcBorders>
              <w:top w:val="single" w:sz="8" w:color="582C83"/>
              <w:bottom w:val="single" w:sz="8" w:color="582C83"/>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582C83"/>
              <w:bottom w:val="single" w:sz="8" w:color="582C83"/>
            </w:tcBorders>
          </w:tcPr>
          <w:p>
            <w:pPr>
              <w:jc w:val="right"/>
              <w:ind w:right="188"/>
              <w:spacing w:after="0"/>
              <w:rPr>
                <w:sz w:val="20"/>
                <w:szCs w:val="20"/>
                <w:color w:val="auto"/>
              </w:rPr>
            </w:pPr>
            <w:r>
              <w:rPr>
                <w:rFonts w:ascii="Arial" w:cs="Arial" w:eastAsia="Arial" w:hAnsi="Arial"/>
                <w:sz w:val="14"/>
                <w:szCs w:val="14"/>
                <w:b w:val="1"/>
                <w:bCs w:val="1"/>
                <w:color w:val="auto"/>
              </w:rPr>
              <w:t>2.92</w:t>
            </w:r>
          </w:p>
        </w:tc>
        <w:tc>
          <w:tcPr>
            <w:tcW w:w="420" w:type="dxa"/>
            <w:vAlign w:val="bottom"/>
            <w:tcBorders>
              <w:top w:val="single" w:sz="8" w:color="582C83"/>
              <w:bottom w:val="single" w:sz="8" w:color="582C83"/>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582C83"/>
              <w:bottom w:val="single" w:sz="8" w:color="582C83"/>
            </w:tcBorders>
          </w:tcPr>
          <w:p>
            <w:pPr>
              <w:jc w:val="right"/>
              <w:ind w:right="148"/>
              <w:spacing w:after="0"/>
              <w:rPr>
                <w:sz w:val="20"/>
                <w:szCs w:val="20"/>
                <w:color w:val="auto"/>
              </w:rPr>
            </w:pPr>
            <w:r>
              <w:rPr>
                <w:rFonts w:ascii="Arial" w:cs="Arial" w:eastAsia="Arial" w:hAnsi="Arial"/>
                <w:sz w:val="14"/>
                <w:szCs w:val="14"/>
                <w:b w:val="1"/>
                <w:bCs w:val="1"/>
                <w:color w:val="auto"/>
              </w:rPr>
              <w:t>3.35</w:t>
            </w:r>
          </w:p>
        </w:tc>
        <w:tc>
          <w:tcPr>
            <w:tcW w:w="38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582C83"/>
              <w:bottom w:val="single" w:sz="8" w:color="582C83"/>
            </w:tcBorders>
          </w:tcPr>
          <w:p>
            <w:pPr>
              <w:jc w:val="right"/>
              <w:ind w:right="28"/>
              <w:spacing w:after="0"/>
              <w:rPr>
                <w:sz w:val="20"/>
                <w:szCs w:val="20"/>
                <w:color w:val="auto"/>
              </w:rPr>
            </w:pPr>
            <w:r>
              <w:rPr>
                <w:rFonts w:ascii="Arial" w:cs="Arial" w:eastAsia="Arial" w:hAnsi="Arial"/>
                <w:sz w:val="14"/>
                <w:szCs w:val="14"/>
                <w:b w:val="1"/>
                <w:bCs w:val="1"/>
                <w:color w:val="auto"/>
              </w:rPr>
              <w:t>(0.43)</w:t>
            </w:r>
          </w:p>
        </w:tc>
        <w:tc>
          <w:tcPr>
            <w:tcW w:w="84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(12.8)%</w:t>
            </w:r>
          </w:p>
        </w:tc>
        <w:tc>
          <w:tcPr>
            <w:tcW w:w="0" w:type="dxa"/>
            <w:vAlign w:val="bottom"/>
          </w:tcPr>
          <w:p>
            <w:pPr>
              <w:spacing w:after="0"/>
              <w:rPr>
                <w:sz w:val="1"/>
                <w:szCs w:val="1"/>
                <w:color w:val="auto"/>
              </w:rPr>
            </w:pPr>
          </w:p>
        </w:tc>
      </w:tr>
      <w:tr>
        <w:trPr>
          <w:trHeight w:val="242"/>
        </w:trPr>
        <w:tc>
          <w:tcPr>
            <w:tcW w:w="4720" w:type="dxa"/>
            <w:vAlign w:val="bottom"/>
            <w:tcBorders>
              <w:bottom w:val="single" w:sz="8" w:color="E0DBEA"/>
            </w:tcBorders>
            <w:shd w:val="clear" w:color="auto" w:fill="E0DBEA"/>
          </w:tcPr>
          <w:p>
            <w:pPr>
              <w:ind w:left="60"/>
              <w:spacing w:after="0"/>
              <w:rPr>
                <w:sz w:val="20"/>
                <w:szCs w:val="20"/>
                <w:color w:val="auto"/>
              </w:rPr>
            </w:pPr>
            <w:r>
              <w:rPr>
                <w:rFonts w:ascii="Arial" w:cs="Arial" w:eastAsia="Arial" w:hAnsi="Arial"/>
                <w:sz w:val="14"/>
                <w:szCs w:val="14"/>
                <w:color w:val="auto"/>
              </w:rPr>
              <w:t>Currency-related items</w:t>
            </w:r>
          </w:p>
        </w:tc>
        <w:tc>
          <w:tcPr>
            <w:tcW w:w="580" w:type="dxa"/>
            <w:vAlign w:val="bottom"/>
            <w:tcBorders>
              <w:bottom w:val="single" w:sz="8" w:color="E0DBEA"/>
            </w:tcBorders>
            <w:shd w:val="clear" w:color="auto" w:fill="E0DBEA"/>
          </w:tcPr>
          <w:p>
            <w:pPr>
              <w:spacing w:after="0"/>
              <w:rPr>
                <w:sz w:val="20"/>
                <w:szCs w:val="20"/>
                <w:color w:val="auto"/>
              </w:rPr>
            </w:pPr>
          </w:p>
        </w:tc>
        <w:tc>
          <w:tcPr>
            <w:tcW w:w="740" w:type="dxa"/>
            <w:vAlign w:val="bottom"/>
            <w:tcBorders>
              <w:bottom w:val="single" w:sz="8" w:color="E0DBEA"/>
            </w:tcBorders>
            <w:shd w:val="clear" w:color="auto" w:fill="E0DBEA"/>
          </w:tcPr>
          <w:p>
            <w:pPr>
              <w:jc w:val="right"/>
              <w:ind w:right="148"/>
              <w:spacing w:after="0"/>
              <w:rPr>
                <w:sz w:val="20"/>
                <w:szCs w:val="20"/>
                <w:color w:val="auto"/>
              </w:rPr>
            </w:pPr>
            <w:r>
              <w:rPr>
                <w:rFonts w:ascii="Arial" w:cs="Arial" w:eastAsia="Arial" w:hAnsi="Arial"/>
                <w:sz w:val="14"/>
                <w:szCs w:val="14"/>
                <w:color w:val="auto"/>
              </w:rPr>
              <w:t>(0.06)</w:t>
            </w:r>
          </w:p>
        </w:tc>
        <w:tc>
          <w:tcPr>
            <w:tcW w:w="420" w:type="dxa"/>
            <w:vAlign w:val="bottom"/>
            <w:tcBorders>
              <w:bottom w:val="single" w:sz="8" w:color="E0DBEA"/>
            </w:tcBorders>
            <w:shd w:val="clear" w:color="auto" w:fill="E0DBEA"/>
          </w:tcPr>
          <w:p>
            <w:pPr>
              <w:spacing w:after="0"/>
              <w:rPr>
                <w:sz w:val="20"/>
                <w:szCs w:val="20"/>
                <w:color w:val="auto"/>
              </w:rPr>
            </w:pPr>
          </w:p>
        </w:tc>
        <w:tc>
          <w:tcPr>
            <w:tcW w:w="660" w:type="dxa"/>
            <w:vAlign w:val="bottom"/>
            <w:tcBorders>
              <w:bottom w:val="single" w:sz="8" w:color="E0DBEA"/>
            </w:tcBorders>
            <w:shd w:val="clear" w:color="auto" w:fill="E0DBEA"/>
          </w:tcPr>
          <w:p>
            <w:pPr>
              <w:jc w:val="right"/>
              <w:ind w:right="14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E0DBEA"/>
            </w:tcBorders>
            <w:shd w:val="clear" w:color="auto" w:fill="E0DBEA"/>
          </w:tcPr>
          <w:p>
            <w:pPr>
              <w:spacing w:after="0"/>
              <w:rPr>
                <w:sz w:val="20"/>
                <w:szCs w:val="20"/>
                <w:color w:val="auto"/>
              </w:rPr>
            </w:pPr>
          </w:p>
        </w:tc>
        <w:tc>
          <w:tcPr>
            <w:tcW w:w="700" w:type="dxa"/>
            <w:vAlign w:val="bottom"/>
            <w:tcBorders>
              <w:bottom w:val="single" w:sz="8" w:color="E0DBEA"/>
            </w:tcBorders>
            <w:shd w:val="clear" w:color="auto" w:fill="E0DBEA"/>
          </w:tcPr>
          <w:p>
            <w:pPr>
              <w:jc w:val="right"/>
              <w:ind w:right="28"/>
              <w:spacing w:after="0"/>
              <w:rPr>
                <w:sz w:val="20"/>
                <w:szCs w:val="20"/>
                <w:color w:val="auto"/>
              </w:rPr>
            </w:pPr>
            <w:r>
              <w:rPr>
                <w:rFonts w:ascii="Arial" w:cs="Arial" w:eastAsia="Arial" w:hAnsi="Arial"/>
                <w:sz w:val="14"/>
                <w:szCs w:val="14"/>
                <w:color w:val="auto"/>
              </w:rPr>
              <w:t>(0.06)</w:t>
            </w:r>
          </w:p>
        </w:tc>
        <w:tc>
          <w:tcPr>
            <w:tcW w:w="840" w:type="dxa"/>
            <w:vAlign w:val="bottom"/>
            <w:tcBorders>
              <w:bottom w:val="single" w:sz="8" w:color="E0DBEA"/>
            </w:tcBorders>
            <w:shd w:val="clear" w:color="auto" w:fill="E0DBEA"/>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20" w:type="dxa"/>
            <w:vAlign w:val="bottom"/>
            <w:tcBorders>
              <w:top w:val="single" w:sz="8" w:color="582C83"/>
              <w:bottom w:val="single" w:sz="8" w:color="582C83"/>
            </w:tcBorders>
          </w:tcPr>
          <w:p>
            <w:pPr>
              <w:ind w:left="60"/>
              <w:spacing w:after="0" w:line="161" w:lineRule="exact"/>
              <w:rPr>
                <w:sz w:val="20"/>
                <w:szCs w:val="20"/>
                <w:color w:val="auto"/>
              </w:rPr>
            </w:pPr>
            <w:r>
              <w:rPr>
                <w:rFonts w:ascii="Arial" w:cs="Arial" w:eastAsia="Arial" w:hAnsi="Arial"/>
                <w:sz w:val="14"/>
                <w:szCs w:val="14"/>
                <w:b w:val="1"/>
                <w:bCs w:val="1"/>
                <w:color w:val="auto"/>
              </w:rPr>
              <w:t>Adjusted EPS @ Constant FX (Non</w:t>
            </w:r>
            <w:r>
              <w:rPr>
                <w:rFonts w:ascii="MS PGothic" w:cs="MS PGothic" w:eastAsia="MS PGothic" w:hAnsi="MS PGothic"/>
                <w:sz w:val="14"/>
                <w:szCs w:val="14"/>
                <w:color w:val="auto"/>
                <w:strike w:val="1"/>
              </w:rPr>
              <w:t>‑</w:t>
            </w:r>
            <w:r>
              <w:rPr>
                <w:rFonts w:ascii="Arial" w:cs="Arial" w:eastAsia="Arial" w:hAnsi="Arial"/>
                <w:sz w:val="14"/>
                <w:szCs w:val="14"/>
                <w:b w:val="1"/>
                <w:bCs w:val="1"/>
                <w:color w:val="auto"/>
              </w:rPr>
              <w:t>GAAP)</w:t>
            </w:r>
          </w:p>
        </w:tc>
        <w:tc>
          <w:tcPr>
            <w:tcW w:w="580" w:type="dxa"/>
            <w:vAlign w:val="bottom"/>
            <w:tcBorders>
              <w:top w:val="single" w:sz="8" w:color="582C83"/>
              <w:bottom w:val="single" w:sz="8" w:color="582C83"/>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582C83"/>
              <w:bottom w:val="single" w:sz="8" w:color="582C83"/>
            </w:tcBorders>
          </w:tcPr>
          <w:p>
            <w:pPr>
              <w:jc w:val="right"/>
              <w:ind w:right="188"/>
              <w:spacing w:after="0"/>
              <w:rPr>
                <w:sz w:val="20"/>
                <w:szCs w:val="20"/>
                <w:color w:val="auto"/>
              </w:rPr>
            </w:pPr>
            <w:r>
              <w:rPr>
                <w:rFonts w:ascii="Arial" w:cs="Arial" w:eastAsia="Arial" w:hAnsi="Arial"/>
                <w:sz w:val="14"/>
                <w:szCs w:val="14"/>
                <w:b w:val="1"/>
                <w:bCs w:val="1"/>
                <w:color w:val="auto"/>
              </w:rPr>
              <w:t>2.86</w:t>
            </w:r>
          </w:p>
        </w:tc>
        <w:tc>
          <w:tcPr>
            <w:tcW w:w="420" w:type="dxa"/>
            <w:vAlign w:val="bottom"/>
            <w:tcBorders>
              <w:top w:val="single" w:sz="8" w:color="582C83"/>
              <w:bottom w:val="single" w:sz="8" w:color="582C83"/>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582C83"/>
              <w:bottom w:val="single" w:sz="8" w:color="582C83"/>
            </w:tcBorders>
          </w:tcPr>
          <w:p>
            <w:pPr>
              <w:jc w:val="right"/>
              <w:ind w:right="148"/>
              <w:spacing w:after="0"/>
              <w:rPr>
                <w:sz w:val="20"/>
                <w:szCs w:val="20"/>
                <w:color w:val="auto"/>
              </w:rPr>
            </w:pPr>
            <w:r>
              <w:rPr>
                <w:rFonts w:ascii="Arial" w:cs="Arial" w:eastAsia="Arial" w:hAnsi="Arial"/>
                <w:sz w:val="14"/>
                <w:szCs w:val="14"/>
                <w:b w:val="1"/>
                <w:bCs w:val="1"/>
                <w:color w:val="auto"/>
              </w:rPr>
              <w:t>3.35</w:t>
            </w:r>
          </w:p>
        </w:tc>
        <w:tc>
          <w:tcPr>
            <w:tcW w:w="38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582C83"/>
              <w:bottom w:val="single" w:sz="8" w:color="582C83"/>
            </w:tcBorders>
          </w:tcPr>
          <w:p>
            <w:pPr>
              <w:jc w:val="right"/>
              <w:ind w:right="28"/>
              <w:spacing w:after="0"/>
              <w:rPr>
                <w:sz w:val="20"/>
                <w:szCs w:val="20"/>
                <w:color w:val="auto"/>
              </w:rPr>
            </w:pPr>
            <w:r>
              <w:rPr>
                <w:rFonts w:ascii="Arial" w:cs="Arial" w:eastAsia="Arial" w:hAnsi="Arial"/>
                <w:sz w:val="14"/>
                <w:szCs w:val="14"/>
                <w:b w:val="1"/>
                <w:bCs w:val="1"/>
                <w:color w:val="auto"/>
              </w:rPr>
              <w:t>(0.49)</w:t>
            </w:r>
          </w:p>
        </w:tc>
        <w:tc>
          <w:tcPr>
            <w:tcW w:w="840" w:type="dxa"/>
            <w:vAlign w:val="bottom"/>
            <w:tcBorders>
              <w:top w:val="single" w:sz="8" w:color="582C83"/>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(14.6)%</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60" w:right="220" w:hanging="253"/>
        <w:spacing w:after="0" w:line="286" w:lineRule="auto"/>
        <w:tabs>
          <w:tab w:leader="none" w:pos="26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The tax expense/(benefit) of each of the pre-tax items excluded from our GAAP results was computed based on the facts and tax assumptions associated with each item, and such impacts have also been excluded from Adjusted EPS.</w:t>
      </w:r>
    </w:p>
    <w:p>
      <w:pPr>
        <w:spacing w:after="0" w:line="8" w:lineRule="exact"/>
        <w:rPr>
          <w:sz w:val="20"/>
          <w:szCs w:val="20"/>
          <w:color w:val="auto"/>
        </w:rPr>
      </w:pPr>
    </w:p>
    <w:p>
      <w:pPr>
        <w:ind w:left="140" w:right="80" w:hanging="133"/>
        <w:spacing w:after="0" w:line="268" w:lineRule="auto"/>
        <w:tabs>
          <w:tab w:leader="none" w:pos="140" w:val="left"/>
        </w:tabs>
        <w:numPr>
          <w:ilvl w:val="0"/>
          <w:numId w:val="132"/>
        </w:numPr>
        <w:rPr>
          <w:rFonts w:ascii="Arial" w:cs="Arial" w:eastAsia="Arial" w:hAnsi="Arial"/>
          <w:sz w:val="13"/>
          <w:szCs w:val="13"/>
          <w:color w:val="582C83"/>
        </w:rPr>
      </w:pPr>
      <w:r>
        <w:rPr>
          <w:rFonts w:ascii="Arial" w:cs="Arial" w:eastAsia="Arial" w:hAnsi="Arial"/>
          <w:sz w:val="13"/>
          <w:szCs w:val="13"/>
          <w:color w:val="auto"/>
        </w:rPr>
        <w:t>2025 taxes for the: Intangible asset impairment charges were $(5) million, mark-to-market losses from derivatives were $(261) million, acquisition-related items were $22 million, ERP System Implementation costs were $(39) million, remeasurement of net monetary position were zero, pension participation changes were $(87) million, resolution of tax matters were $10 million, initial impacts from enacted tax law changes were $13 million, gain on marketable securities were $(21) million, and gain on equity method investment transactions were zero.</w:t>
      </w:r>
    </w:p>
    <w:p>
      <w:pPr>
        <w:spacing w:after="0" w:line="20" w:lineRule="exact"/>
        <w:rPr>
          <w:rFonts w:ascii="Arial" w:cs="Arial" w:eastAsia="Arial" w:hAnsi="Arial"/>
          <w:sz w:val="13"/>
          <w:szCs w:val="13"/>
          <w:color w:val="582C83"/>
        </w:rPr>
      </w:pPr>
    </w:p>
    <w:p>
      <w:pPr>
        <w:ind w:left="140" w:right="640" w:hanging="133"/>
        <w:spacing w:after="0" w:line="330" w:lineRule="auto"/>
        <w:tabs>
          <w:tab w:leader="none" w:pos="140" w:val="left"/>
        </w:tabs>
        <w:numPr>
          <w:ilvl w:val="0"/>
          <w:numId w:val="132"/>
        </w:numPr>
        <w:rPr>
          <w:rFonts w:ascii="Arial" w:cs="Arial" w:eastAsia="Arial" w:hAnsi="Arial"/>
          <w:sz w:val="12"/>
          <w:szCs w:val="12"/>
          <w:color w:val="582C83"/>
        </w:rPr>
      </w:pPr>
      <w:r>
        <w:rPr>
          <w:rFonts w:ascii="Arial" w:cs="Arial" w:eastAsia="Arial" w:hAnsi="Arial"/>
          <w:sz w:val="12"/>
          <w:szCs w:val="12"/>
          <w:color w:val="auto"/>
        </w:rPr>
        <w:t>2024 taxes for the: Restructuring charges were $(36) million, intangible asset impairment charges were $(40) million, mark-to-market gains from derivatives were $107 million, acquisition-related items were $88 million, divestiture-related items were $1 million, ERP System implementation costs</w:t>
      </w:r>
    </w:p>
    <w:p>
      <w:pPr>
        <w:sectPr>
          <w:pgSz w:w="11900" w:h="16901" w:orient="portrait"/>
          <w:cols w:equalWidth="0" w:num="1">
            <w:col w:w="9040"/>
          </w:cols>
          <w:pgMar w:left="1420" w:top="56" w:right="1439" w:bottom="0" w:gutter="0" w:footer="0" w:header="0"/>
        </w:sectPr>
      </w:pPr>
    </w:p>
    <w:bookmarkStart w:id="111" w:name="page112"/>
    <w:bookmarkEnd w:id="111"/>
    <w:p>
      <w:pPr>
        <w:ind w:left="140" w:right="500"/>
        <w:spacing w:after="0" w:line="231" w:lineRule="auto"/>
        <w:rPr>
          <w:sz w:val="20"/>
          <w:szCs w:val="20"/>
          <w:color w:val="auto"/>
        </w:rPr>
      </w:pPr>
      <w:r>
        <w:rPr>
          <w:rFonts w:ascii="Arial" w:cs="Arial" w:eastAsia="Arial" w:hAnsi="Arial"/>
          <w:sz w:val="13"/>
          <w:szCs w:val="13"/>
          <w:color w:val="auto"/>
        </w:rPr>
        <w:t>were $(19) million, remeasurement of net monetary position were zero, pension participation changes were $(3) million, initial impacts from enacted tax law changes were $24 million and loss on equity method investment transactions were $4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-161925</wp:posOffset>
            </wp:positionV>
            <wp:extent cx="6810375" cy="39109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10375" cy="391096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ind w:left="60"/>
              <w:spacing w:after="0"/>
              <w:rPr>
                <w:sz w:val="20"/>
                <w:szCs w:val="20"/>
                <w:color w:val="auto"/>
              </w:rPr>
            </w:pPr>
            <w:r>
              <w:rPr>
                <w:rFonts w:ascii="Arial" w:cs="Arial" w:eastAsia="Arial" w:hAnsi="Arial"/>
                <w:sz w:val="14"/>
                <w:szCs w:val="14"/>
                <w:b w:val="1"/>
                <w:bCs w:val="1"/>
                <w:color w:val="auto"/>
              </w:rPr>
              <w:t>Net Cash Provided by Operating Activities to Free Cash Flow</w:t>
            </w:r>
          </w:p>
        </w:tc>
        <w:tc>
          <w:tcPr>
            <w:tcW w:w="332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the Twelve Months</w:t>
            </w:r>
          </w:p>
        </w:tc>
      </w:tr>
      <w:tr>
        <w:trPr>
          <w:trHeight w:val="165"/>
        </w:trPr>
        <w:tc>
          <w:tcPr>
            <w:tcW w:w="5720" w:type="dxa"/>
            <w:vAlign w:val="bottom"/>
            <w:tcBorders>
              <w:bottom w:val="single" w:sz="8" w:color="582C83"/>
            </w:tcBorders>
          </w:tcPr>
          <w:p>
            <w:pPr>
              <w:ind w:left="60"/>
              <w:spacing w:after="0" w:line="158" w:lineRule="exact"/>
              <w:rPr>
                <w:sz w:val="20"/>
                <w:szCs w:val="20"/>
                <w:color w:val="auto"/>
              </w:rPr>
            </w:pPr>
            <w:r>
              <w:rPr>
                <w:rFonts w:ascii="Arial" w:cs="Arial" w:eastAsia="Arial" w:hAnsi="Arial"/>
                <w:sz w:val="14"/>
                <w:szCs w:val="14"/>
                <w:b w:val="1"/>
                <w:bCs w:val="1"/>
                <w:color w:val="auto"/>
              </w:rPr>
              <w:t>(In millions of U.S. dollars) (Unaudited)</w:t>
            </w:r>
          </w:p>
        </w:tc>
        <w:tc>
          <w:tcPr>
            <w:tcW w:w="3320" w:type="dxa"/>
            <w:vAlign w:val="bottom"/>
            <w:tcBorders>
              <w:bottom w:val="single" w:sz="8" w:color="582C83"/>
            </w:tcBorders>
            <w:gridSpan w:val="2"/>
          </w:tcPr>
          <w:p>
            <w:pPr>
              <w:jc w:val="right"/>
              <w:spacing w:after="0" w:line="158" w:lineRule="exact"/>
              <w:rPr>
                <w:sz w:val="20"/>
                <w:szCs w:val="20"/>
                <w:color w:val="auto"/>
              </w:rPr>
            </w:pPr>
            <w:r>
              <w:rPr>
                <w:rFonts w:ascii="Arial" w:cs="Arial" w:eastAsia="Arial" w:hAnsi="Arial"/>
                <w:sz w:val="14"/>
                <w:szCs w:val="14"/>
                <w:b w:val="1"/>
                <w:bCs w:val="1"/>
                <w:color w:val="auto"/>
              </w:rPr>
              <w:t>Ended December 31, 2025</w:t>
            </w:r>
          </w:p>
        </w:tc>
      </w:tr>
      <w:tr>
        <w:trPr>
          <w:trHeight w:val="242"/>
        </w:trPr>
        <w:tc>
          <w:tcPr>
            <w:tcW w:w="5720" w:type="dxa"/>
            <w:vAlign w:val="bottom"/>
            <w:tcBorders>
              <w:bottom w:val="single" w:sz="8" w:color="582C83"/>
            </w:tcBorders>
            <w:shd w:val="clear" w:color="auto" w:fill="E0DBEA"/>
          </w:tcPr>
          <w:p>
            <w:pPr>
              <w:ind w:left="60"/>
              <w:spacing w:after="0"/>
              <w:rPr>
                <w:sz w:val="20"/>
                <w:szCs w:val="20"/>
                <w:color w:val="auto"/>
              </w:rPr>
            </w:pPr>
            <w:r>
              <w:rPr>
                <w:rFonts w:ascii="Arial" w:cs="Arial" w:eastAsia="Arial" w:hAnsi="Arial"/>
                <w:sz w:val="14"/>
                <w:szCs w:val="14"/>
                <w:b w:val="1"/>
                <w:bCs w:val="1"/>
                <w:color w:val="auto"/>
              </w:rPr>
              <w:t>Net Cash Provided by Operating Activities (GAAP)</w:t>
            </w:r>
          </w:p>
        </w:tc>
        <w:tc>
          <w:tcPr>
            <w:tcW w:w="2780" w:type="dxa"/>
            <w:vAlign w:val="bottom"/>
            <w:tcBorders>
              <w:bottom w:val="single" w:sz="8" w:color="582C83"/>
            </w:tcBorders>
            <w:shd w:val="clear" w:color="auto" w:fill="E0DBEA"/>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b w:val="1"/>
                <w:bCs w:val="1"/>
                <w:color w:val="auto"/>
              </w:rPr>
              <w:t>4,514</w:t>
            </w:r>
          </w:p>
        </w:tc>
      </w:tr>
      <w:tr>
        <w:trPr>
          <w:trHeight w:val="234"/>
        </w:trPr>
        <w:tc>
          <w:tcPr>
            <w:tcW w:w="5720" w:type="dxa"/>
            <w:vAlign w:val="bottom"/>
            <w:tcBorders>
              <w:bottom w:val="single" w:sz="8" w:color="582C83"/>
            </w:tcBorders>
          </w:tcPr>
          <w:p>
            <w:pPr>
              <w:ind w:left="60"/>
              <w:spacing w:after="0"/>
              <w:rPr>
                <w:sz w:val="20"/>
                <w:szCs w:val="20"/>
                <w:color w:val="auto"/>
              </w:rPr>
            </w:pPr>
            <w:r>
              <w:rPr>
                <w:rFonts w:ascii="Arial" w:cs="Arial" w:eastAsia="Arial" w:hAnsi="Arial"/>
                <w:sz w:val="14"/>
                <w:szCs w:val="14"/>
                <w:color w:val="auto"/>
              </w:rPr>
              <w:t>Capital Expenditures</w:t>
            </w:r>
          </w:p>
        </w:tc>
        <w:tc>
          <w:tcPr>
            <w:tcW w:w="2780" w:type="dxa"/>
            <w:vAlign w:val="bottom"/>
            <w:tcBorders>
              <w:bottom w:val="single" w:sz="8" w:color="582C83"/>
            </w:tcBorders>
          </w:tcPr>
          <w:p>
            <w:pPr>
              <w:spacing w:after="0"/>
              <w:rPr>
                <w:sz w:val="20"/>
                <w:szCs w:val="20"/>
                <w:color w:val="auto"/>
              </w:rPr>
            </w:pPr>
          </w:p>
        </w:tc>
        <w:tc>
          <w:tcPr>
            <w:tcW w:w="540" w:type="dxa"/>
            <w:vAlign w:val="bottom"/>
            <w:tcBorders>
              <w:bottom w:val="single" w:sz="8" w:color="582C83"/>
            </w:tcBorders>
          </w:tcPr>
          <w:p>
            <w:pPr>
              <w:jc w:val="right"/>
              <w:spacing w:after="0"/>
              <w:rPr>
                <w:sz w:val="20"/>
                <w:szCs w:val="20"/>
                <w:color w:val="auto"/>
              </w:rPr>
            </w:pPr>
            <w:r>
              <w:rPr>
                <w:rFonts w:ascii="Arial" w:cs="Arial" w:eastAsia="Arial" w:hAnsi="Arial"/>
                <w:sz w:val="14"/>
                <w:szCs w:val="14"/>
                <w:color w:val="auto"/>
              </w:rPr>
              <w:t>(1,279)</w:t>
            </w:r>
          </w:p>
        </w:tc>
      </w:tr>
      <w:tr>
        <w:trPr>
          <w:trHeight w:val="240"/>
        </w:trPr>
        <w:tc>
          <w:tcPr>
            <w:tcW w:w="5720" w:type="dxa"/>
            <w:vAlign w:val="bottom"/>
            <w:tcBorders>
              <w:bottom w:val="single" w:sz="8" w:color="582C83"/>
            </w:tcBorders>
            <w:shd w:val="clear" w:color="auto" w:fill="E0DBEA"/>
          </w:tcPr>
          <w:p>
            <w:pPr>
              <w:ind w:left="60"/>
              <w:spacing w:after="0" w:line="161" w:lineRule="exact"/>
              <w:rPr>
                <w:sz w:val="20"/>
                <w:szCs w:val="20"/>
                <w:color w:val="auto"/>
              </w:rPr>
            </w:pPr>
            <w:r>
              <w:rPr>
                <w:rFonts w:ascii="Arial" w:cs="Arial" w:eastAsia="Arial" w:hAnsi="Arial"/>
                <w:sz w:val="14"/>
                <w:szCs w:val="14"/>
                <w:b w:val="1"/>
                <w:bCs w:val="1"/>
                <w:color w:val="auto"/>
              </w:rPr>
              <w:t>Free Cash Flow (Non</w:t>
            </w:r>
            <w:r>
              <w:rPr>
                <w:rFonts w:ascii="MS PGothic" w:cs="MS PGothic" w:eastAsia="MS PGothic" w:hAnsi="MS PGothic"/>
                <w:sz w:val="14"/>
                <w:szCs w:val="14"/>
                <w:color w:val="auto"/>
                <w:strike w:val="1"/>
              </w:rPr>
              <w:t>‑</w:t>
            </w:r>
            <w:r>
              <w:rPr>
                <w:rFonts w:ascii="Arial" w:cs="Arial" w:eastAsia="Arial" w:hAnsi="Arial"/>
                <w:sz w:val="14"/>
                <w:szCs w:val="14"/>
                <w:b w:val="1"/>
                <w:bCs w:val="1"/>
                <w:color w:val="auto"/>
              </w:rPr>
              <w:t>GAAP)</w:t>
            </w:r>
          </w:p>
        </w:tc>
        <w:tc>
          <w:tcPr>
            <w:tcW w:w="2780" w:type="dxa"/>
            <w:vAlign w:val="bottom"/>
            <w:tcBorders>
              <w:bottom w:val="single" w:sz="8" w:color="582C83"/>
            </w:tcBorders>
            <w:shd w:val="clear" w:color="auto" w:fill="E0DBEA"/>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582C83"/>
            </w:tcBorders>
            <w:shd w:val="clear" w:color="auto" w:fill="E0DBEA"/>
          </w:tcPr>
          <w:p>
            <w:pPr>
              <w:jc w:val="right"/>
              <w:spacing w:after="0"/>
              <w:rPr>
                <w:sz w:val="20"/>
                <w:szCs w:val="20"/>
                <w:color w:val="auto"/>
              </w:rPr>
            </w:pPr>
            <w:r>
              <w:rPr>
                <w:rFonts w:ascii="Arial" w:cs="Arial" w:eastAsia="Arial" w:hAnsi="Arial"/>
                <w:sz w:val="14"/>
                <w:szCs w:val="14"/>
                <w:b w:val="1"/>
                <w:bCs w:val="1"/>
                <w:color w:val="auto"/>
              </w:rPr>
              <w:t>3,235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582C83"/>
        </w:rPr>
        <w:t>128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347345</wp:posOffset>
            </wp:positionV>
            <wp:extent cx="6810375" cy="65227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10375" cy="6522720"/>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05156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103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05156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103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1286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10375" cy="81286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1."/>
      <w:numFmt w:val="decimal"/>
      <w:start w:val="5"/>
    </w:lvl>
  </w:abstractNum>
  <w:abstractNum w:abstractNumId="6">
    <w:nsid w:val="15014ACB"/>
    <w:multiLevelType w:val="hybridMultilevel"/>
    <w:lvl w:ilvl="0">
      <w:lvlJc w:val="left"/>
      <w:lvlText w:val="%1"/>
      <w:numFmt w:val="decimal"/>
      <w:start w:val="109"/>
    </w:lvl>
  </w:abstractNum>
  <w:abstractNum w:abstractNumId="7">
    <w:nsid w:val="5F5E7FD0"/>
    <w:multiLevelType w:val="hybridMultilevel"/>
    <w:lvl w:ilvl="0">
      <w:lvlJc w:val="left"/>
      <w:lvlText w:val="%1"/>
      <w:numFmt w:val="decimal"/>
      <w:start w:val="112"/>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1)"/>
      <w:numFmt w:val="decimal"/>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
      <w:numFmt w:val="bullet"/>
      <w:start w:val="1"/>
    </w:lvl>
  </w:abstractNum>
  <w:abstractNum w:abstractNumId="39">
    <w:nsid w:val="94211F2"/>
    <w:multiLevelType w:val="hybridMultilevel"/>
    <w:lvl w:ilvl="0">
      <w:lvlJc w:val="left"/>
      <w:lvlText w:val="•"/>
      <w:numFmt w:val="bullet"/>
      <w:start w:val="1"/>
    </w:lvl>
  </w:abstractNum>
  <w:abstractNum w:abstractNumId="40">
    <w:nsid w:val="885E1B"/>
    <w:multiLevelType w:val="hybridMultilevel"/>
    <w:lvl w:ilvl="0">
      <w:lvlJc w:val="left"/>
      <w:lvlText w:val="•"/>
      <w:numFmt w:val="bullet"/>
      <w:start w:val="1"/>
    </w:lvl>
  </w:abstractNum>
  <w:abstractNum w:abstractNumId="41">
    <w:nsid w:val="76272110"/>
    <w:multiLevelType w:val="hybridMultilevel"/>
    <w:lvl w:ilvl="0">
      <w:lvlJc w:val="left"/>
      <w:lvlText w:val="•"/>
      <w:numFmt w:val="bullet"/>
      <w:start w:val="1"/>
    </w:lvl>
  </w:abstractNum>
  <w:abstractNum w:abstractNumId="42">
    <w:nsid w:val="4C04A8AF"/>
    <w:multiLevelType w:val="hybridMultilevel"/>
    <w:lvl w:ilvl="0">
      <w:lvlJc w:val="left"/>
      <w:lvlText w:val="•"/>
      <w:numFmt w:val="bullet"/>
      <w:start w:val="1"/>
    </w:lvl>
  </w:abstractNum>
  <w:abstractNum w:abstractNumId="43">
    <w:nsid w:val="1716703B"/>
    <w:multiLevelType w:val="hybridMultilevel"/>
    <w:lvl w:ilvl="0">
      <w:lvlJc w:val="left"/>
      <w:lvlText w:val="•"/>
      <w:numFmt w:val="bullet"/>
      <w:start w:val="1"/>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
      <w:numFmt w:val="bullet"/>
      <w:start w:val="1"/>
    </w:lvl>
  </w:abstractNum>
  <w:abstractNum w:abstractNumId="48">
    <w:nsid w:val="2DF6D648"/>
    <w:multiLevelType w:val="hybridMultilevel"/>
    <w:lvl w:ilvl="0">
      <w:lvlJc w:val="left"/>
      <w:lvlText w:val="•"/>
      <w:numFmt w:val="bullet"/>
      <w:start w:val="1"/>
    </w:lvl>
  </w:abstractNum>
  <w:abstractNum w:abstractNumId="49">
    <w:nsid w:val="46B7D447"/>
    <w:multiLevelType w:val="hybridMultilevel"/>
    <w:lvl w:ilvl="0">
      <w:lvlJc w:val="left"/>
      <w:lvlText w:val="+"/>
      <w:numFmt w:val="bullet"/>
      <w:start w:val="1"/>
    </w:lvl>
  </w:abstractNum>
  <w:abstractNum w:abstractNumId="50">
    <w:nsid w:val="4A2AC315"/>
    <w:multiLevelType w:val="hybridMultilevel"/>
    <w:lvl w:ilvl="0">
      <w:lvlJc w:val="left"/>
      <w:lvlText w:val="•"/>
      <w:numFmt w:val="bullet"/>
      <w:start w:val="1"/>
    </w:lvl>
  </w:abstractNum>
  <w:abstractNum w:abstractNumId="51">
    <w:nsid w:val="39EE015C"/>
    <w:multiLevelType w:val="hybridMultilevel"/>
    <w:lvl w:ilvl="0">
      <w:lvlJc w:val="left"/>
      <w:lvlText w:val="•"/>
      <w:numFmt w:val="bullet"/>
      <w:start w:val="1"/>
    </w:lvl>
  </w:abstractNum>
  <w:abstractNum w:abstractNumId="52">
    <w:nsid w:val="57FC4FBB"/>
    <w:multiLevelType w:val="hybridMultilevel"/>
    <w:lvl w:ilvl="0">
      <w:lvlJc w:val="left"/>
      <w:lvlText w:val="•"/>
      <w:numFmt w:val="bullet"/>
      <w:start w:val="1"/>
    </w:lvl>
  </w:abstractNum>
  <w:abstractNum w:abstractNumId="53">
    <w:nsid w:val="CC1016F"/>
    <w:multiLevelType w:val="hybridMultilevel"/>
    <w:lvl w:ilvl="0">
      <w:lvlJc w:val="left"/>
      <w:lvlText w:val="•"/>
      <w:numFmt w:val="bullet"/>
      <w:start w:val="1"/>
    </w:lvl>
  </w:abstractNum>
  <w:abstractNum w:abstractNumId="54">
    <w:nsid w:val="43F18422"/>
    <w:multiLevelType w:val="hybridMultilevel"/>
    <w:lvl w:ilvl="0">
      <w:lvlJc w:val="left"/>
      <w:lvlText w:val="•"/>
      <w:numFmt w:val="bullet"/>
      <w:start w:val="1"/>
    </w:lvl>
  </w:abstractNum>
  <w:abstractNum w:abstractNumId="55">
    <w:nsid w:val="60EF0119"/>
    <w:multiLevelType w:val="hybridMultilevel"/>
    <w:lvl w:ilvl="0">
      <w:lvlJc w:val="left"/>
      <w:lvlText w:val="•"/>
      <w:numFmt w:val="bullet"/>
      <w:start w:val="1"/>
    </w:lvl>
  </w:abstractNum>
  <w:abstractNum w:abstractNumId="56">
    <w:nsid w:val="26F324BA"/>
    <w:multiLevelType w:val="hybridMultilevel"/>
    <w:lvl w:ilvl="0">
      <w:lvlJc w:val="left"/>
      <w:lvlText w:val="•"/>
      <w:numFmt w:val="bullet"/>
      <w:start w:val="1"/>
    </w:lvl>
  </w:abstractNum>
  <w:abstractNum w:abstractNumId="57">
    <w:nsid w:val="7F01579B"/>
    <w:multiLevelType w:val="hybridMultilevel"/>
    <w:lvl w:ilvl="0">
      <w:lvlJc w:val="left"/>
      <w:lvlText w:val="•"/>
      <w:numFmt w:val="bullet"/>
      <w:start w:val="1"/>
    </w:lvl>
  </w:abstractNum>
  <w:abstractNum w:abstractNumId="58">
    <w:nsid w:val="49DA307D"/>
    <w:multiLevelType w:val="hybridMultilevel"/>
    <w:lvl w:ilvl="0">
      <w:lvlJc w:val="left"/>
      <w:lvlText w:val="•"/>
      <w:numFmt w:val="bullet"/>
      <w:start w:val="1"/>
    </w:lvl>
  </w:abstractNum>
  <w:abstractNum w:abstractNumId="59">
    <w:nsid w:val="7055A5F5"/>
    <w:multiLevelType w:val="hybridMultilevel"/>
    <w:lvl w:ilvl="0">
      <w:lvlJc w:val="left"/>
      <w:lvlText w:val="•"/>
      <w:numFmt w:val="bullet"/>
      <w:start w:val="1"/>
    </w:lvl>
  </w:abstractNum>
  <w:abstractNum w:abstractNumId="60">
    <w:nsid w:val="5FB8370B"/>
    <w:multiLevelType w:val="hybridMultilevel"/>
    <w:lvl w:ilvl="0">
      <w:lvlJc w:val="left"/>
      <w:lvlText w:val="•"/>
      <w:numFmt w:val="bullet"/>
      <w:start w:val="1"/>
    </w:lvl>
  </w:abstractNum>
  <w:abstractNum w:abstractNumId="61">
    <w:nsid w:val="50801EE1"/>
    <w:multiLevelType w:val="hybridMultilevel"/>
    <w:lvl w:ilvl="0">
      <w:lvlJc w:val="left"/>
      <w:lvlText w:val="•"/>
      <w:numFmt w:val="bullet"/>
      <w:start w:val="1"/>
    </w:lvl>
  </w:abstractNum>
  <w:abstractNum w:abstractNumId="62">
    <w:nsid w:val="488AC1A"/>
    <w:multiLevelType w:val="hybridMultilevel"/>
    <w:lvl w:ilvl="0">
      <w:lvlJc w:val="left"/>
      <w:lvlText w:val="•"/>
      <w:numFmt w:val="bullet"/>
      <w:start w:val="1"/>
    </w:lvl>
  </w:abstractNum>
  <w:abstractNum w:abstractNumId="63">
    <w:nsid w:val="5FB8011C"/>
    <w:multiLevelType w:val="hybridMultilevel"/>
    <w:lvl w:ilvl="0">
      <w:lvlJc w:val="left"/>
      <w:lvlText w:val="•"/>
      <w:numFmt w:val="bullet"/>
      <w:start w:val="1"/>
    </w:lvl>
  </w:abstractNum>
  <w:abstractNum w:abstractNumId="64">
    <w:nsid w:val="6AA78F7F"/>
    <w:multiLevelType w:val="hybridMultilevel"/>
    <w:lvl w:ilvl="0">
      <w:lvlJc w:val="left"/>
      <w:lvlText w:val="•"/>
      <w:numFmt w:val="bullet"/>
      <w:start w:val="1"/>
    </w:lvl>
  </w:abstractNum>
  <w:abstractNum w:abstractNumId="65">
    <w:nsid w:val="7672BD23"/>
    <w:multiLevelType w:val="hybridMultilevel"/>
    <w:lvl w:ilvl="0">
      <w:lvlJc w:val="left"/>
      <w:lvlText w:val="•"/>
      <w:numFmt w:val="bullet"/>
      <w:start w:val="1"/>
    </w:lvl>
  </w:abstractNum>
  <w:abstractNum w:abstractNumId="66">
    <w:nsid w:val="6FC75AF8"/>
    <w:multiLevelType w:val="hybridMultilevel"/>
    <w:lvl w:ilvl="0">
      <w:lvlJc w:val="left"/>
      <w:lvlText w:val="•"/>
      <w:numFmt w:val="bullet"/>
      <w:start w:val="1"/>
    </w:lvl>
  </w:abstractNum>
  <w:abstractNum w:abstractNumId="67">
    <w:nsid w:val="6A5F7029"/>
    <w:multiLevelType w:val="hybridMultilevel"/>
    <w:lvl w:ilvl="0">
      <w:lvlJc w:val="left"/>
      <w:lvlText w:val="•"/>
      <w:numFmt w:val="bullet"/>
      <w:start w:val="1"/>
    </w:lvl>
  </w:abstractNum>
  <w:abstractNum w:abstractNumId="68">
    <w:nsid w:val="7D5E18F8"/>
    <w:multiLevelType w:val="hybridMultilevel"/>
    <w:lvl w:ilvl="0">
      <w:lvlJc w:val="left"/>
      <w:lvlText w:val="•"/>
      <w:numFmt w:val="bullet"/>
      <w:start w:val="1"/>
    </w:lvl>
  </w:abstractNum>
  <w:abstractNum w:abstractNumId="69">
    <w:nsid w:val="5F3534A4"/>
    <w:multiLevelType w:val="hybridMultilevel"/>
    <w:lvl w:ilvl="0">
      <w:lvlJc w:val="left"/>
      <w:lvlText w:val="•"/>
      <w:numFmt w:val="bullet"/>
      <w:start w:val="1"/>
    </w:lvl>
  </w:abstractNum>
  <w:abstractNum w:abstractNumId="70">
    <w:nsid w:val="73A1821B"/>
    <w:multiLevelType w:val="hybridMultilevel"/>
    <w:lvl w:ilvl="0">
      <w:lvlJc w:val="left"/>
      <w:lvlText w:val="•"/>
      <w:numFmt w:val="bullet"/>
      <w:start w:val="1"/>
    </w:lvl>
  </w:abstractNum>
  <w:abstractNum w:abstractNumId="71">
    <w:nsid w:val="7DE67713"/>
    <w:multiLevelType w:val="hybridMultilevel"/>
    <w:lvl w:ilvl="0">
      <w:lvlJc w:val="left"/>
      <w:lvlText w:val="•"/>
      <w:numFmt w:val="bullet"/>
      <w:start w:val="1"/>
    </w:lvl>
  </w:abstractNum>
  <w:abstractNum w:abstractNumId="72">
    <w:nsid w:val="555C55B5"/>
    <w:multiLevelType w:val="hybridMultilevel"/>
    <w:lvl w:ilvl="0">
      <w:lvlJc w:val="left"/>
      <w:lvlText w:val="•"/>
      <w:numFmt w:val="bullet"/>
      <w:start w:val="1"/>
    </w:lvl>
  </w:abstractNum>
  <w:abstractNum w:abstractNumId="73">
    <w:nsid w:val="3FA62ACA"/>
    <w:multiLevelType w:val="hybridMultilevel"/>
    <w:lvl w:ilvl="0">
      <w:lvlJc w:val="left"/>
      <w:lvlText w:val="•"/>
      <w:numFmt w:val="bullet"/>
      <w:start w:val="1"/>
    </w:lvl>
  </w:abstractNum>
  <w:abstractNum w:abstractNumId="74">
    <w:nsid w:val="14FCE74E"/>
    <w:multiLevelType w:val="hybridMultilevel"/>
    <w:lvl w:ilvl="0">
      <w:lvlJc w:val="left"/>
      <w:lvlText w:val="(%1)"/>
      <w:numFmt w:val="decimal"/>
      <w:start w:val="1"/>
    </w:lvl>
  </w:abstractNum>
  <w:abstractNum w:abstractNumId="75">
    <w:nsid w:val="6A3DD3E8"/>
    <w:multiLevelType w:val="hybridMultilevel"/>
    <w:lvl w:ilvl="0">
      <w:lvlJc w:val="left"/>
      <w:lvlText w:val="(%1)"/>
      <w:numFmt w:val="decimal"/>
      <w:start w:val="1"/>
    </w:lvl>
  </w:abstractNum>
  <w:abstractNum w:abstractNumId="76">
    <w:nsid w:val="71C91298"/>
    <w:multiLevelType w:val="hybridMultilevel"/>
    <w:lvl w:ilvl="0">
      <w:lvlJc w:val="left"/>
      <w:lvlText w:val="(%1)"/>
      <w:numFmt w:val="decimal"/>
      <w:start w:val="1"/>
    </w:lvl>
  </w:abstractNum>
  <w:abstractNum w:abstractNumId="77">
    <w:nsid w:val="9DAF632"/>
    <w:multiLevelType w:val="hybridMultilevel"/>
    <w:lvl w:ilvl="0">
      <w:lvlJc w:val="left"/>
      <w:lvlText w:val="(%1)"/>
      <w:numFmt w:val="decimal"/>
      <w:start w:val="1"/>
    </w:lvl>
  </w:abstractNum>
  <w:abstractNum w:abstractNumId="78">
    <w:nsid w:val="53299938"/>
    <w:multiLevelType w:val="hybridMultilevel"/>
    <w:lvl w:ilvl="0">
      <w:lvlJc w:val="left"/>
      <w:lvlText w:val="(%1)"/>
      <w:numFmt w:val="decimal"/>
      <w:start w:val="1"/>
    </w:lvl>
  </w:abstractNum>
  <w:abstractNum w:abstractNumId="79">
    <w:nsid w:val="1FBFE8E0"/>
    <w:multiLevelType w:val="hybridMultilevel"/>
    <w:lvl w:ilvl="0">
      <w:lvlJc w:val="left"/>
      <w:lvlText w:val="(%1)"/>
      <w:numFmt w:val="decimal"/>
      <w:start w:val="1"/>
    </w:lvl>
  </w:abstractNum>
  <w:abstractNum w:abstractNumId="80">
    <w:nsid w:val="5092CA79"/>
    <w:multiLevelType w:val="hybridMultilevel"/>
    <w:lvl w:ilvl="0">
      <w:lvlJc w:val="left"/>
      <w:lvlText w:val="(%1)"/>
      <w:numFmt w:val="decimal"/>
      <w:start w:val="1"/>
    </w:lvl>
  </w:abstractNum>
  <w:abstractNum w:abstractNumId="81">
    <w:nsid w:val="1D545C4D"/>
    <w:multiLevelType w:val="hybridMultilevel"/>
    <w:lvl w:ilvl="0">
      <w:lvlJc w:val="left"/>
      <w:lvlText w:val="(%1)"/>
      <w:numFmt w:val="decimal"/>
      <w:start w:val="1"/>
    </w:lvl>
  </w:abstractNum>
  <w:abstractNum w:abstractNumId="82">
    <w:nsid w:val="59ADEA3D"/>
    <w:multiLevelType w:val="hybridMultilevel"/>
    <w:lvl w:ilvl="0">
      <w:lvlJc w:val="left"/>
      <w:lvlText w:val="(%1)"/>
      <w:numFmt w:val="decimal"/>
      <w:start w:val="1"/>
    </w:lvl>
  </w:abstractNum>
  <w:abstractNum w:abstractNumId="83">
    <w:nsid w:val="288F1A34"/>
    <w:multiLevelType w:val="hybridMultilevel"/>
    <w:lvl w:ilvl="0">
      <w:lvlJc w:val="left"/>
      <w:lvlText w:val="•"/>
      <w:numFmt w:val="bullet"/>
      <w:start w:val="1"/>
    </w:lvl>
  </w:abstractNum>
  <w:abstractNum w:abstractNumId="84">
    <w:nsid w:val="2A155DBC"/>
    <w:multiLevelType w:val="hybridMultilevel"/>
    <w:lvl w:ilvl="0">
      <w:lvlJc w:val="left"/>
      <w:lvlText w:val="(%1)"/>
      <w:numFmt w:val="decimal"/>
      <w:start w:val="1"/>
    </w:lvl>
  </w:abstractNum>
  <w:abstractNum w:abstractNumId="85">
    <w:nsid w:val="1D9F6E5F"/>
    <w:multiLevelType w:val="hybridMultilevel"/>
    <w:lvl w:ilvl="0">
      <w:lvlJc w:val="left"/>
      <w:lvlText w:val="•"/>
      <w:numFmt w:val="bullet"/>
      <w:start w:val="1"/>
    </w:lvl>
  </w:abstractNum>
  <w:abstractNum w:abstractNumId="86">
    <w:nsid w:val="97E1B4E"/>
    <w:multiLevelType w:val="hybridMultilevel"/>
    <w:lvl w:ilvl="0">
      <w:lvlJc w:val="left"/>
      <w:lvlText w:val="•"/>
      <w:numFmt w:val="bullet"/>
      <w:start w:val="1"/>
    </w:lvl>
  </w:abstractNum>
  <w:abstractNum w:abstractNumId="87">
    <w:nsid w:val="51088277"/>
    <w:multiLevelType w:val="hybridMultilevel"/>
    <w:lvl w:ilvl="0">
      <w:lvlJc w:val="left"/>
      <w:lvlText w:val="•"/>
      <w:numFmt w:val="bullet"/>
      <w:start w:val="1"/>
    </w:lvl>
  </w:abstractNum>
  <w:abstractNum w:abstractNumId="88">
    <w:nsid w:val="1CA0C5FA"/>
    <w:multiLevelType w:val="hybridMultilevel"/>
    <w:lvl w:ilvl="0">
      <w:lvlJc w:val="left"/>
      <w:lvlText w:val="•"/>
      <w:numFmt w:val="bullet"/>
      <w:start w:val="1"/>
    </w:lvl>
  </w:abstractNum>
  <w:abstractNum w:abstractNumId="89">
    <w:nsid w:val="53584BCB"/>
    <w:multiLevelType w:val="hybridMultilevel"/>
    <w:lvl w:ilvl="0">
      <w:lvlJc w:val="left"/>
      <w:lvlText w:val="(%1)"/>
      <w:numFmt w:val="decimal"/>
      <w:start w:val="1"/>
    </w:lvl>
  </w:abstractNum>
  <w:abstractNum w:abstractNumId="90">
    <w:nsid w:val="415E286C"/>
    <w:multiLevelType w:val="hybridMultilevel"/>
    <w:lvl w:ilvl="0">
      <w:lvlJc w:val="left"/>
      <w:lvlText w:val="•"/>
      <w:numFmt w:val="bullet"/>
      <w:start w:val="1"/>
    </w:lvl>
  </w:abstractNum>
  <w:abstractNum w:abstractNumId="91">
    <w:nsid w:val="7C58FD05"/>
    <w:multiLevelType w:val="hybridMultilevel"/>
    <w:lvl w:ilvl="0">
      <w:lvlJc w:val="left"/>
      <w:lvlText w:val="(%1)"/>
      <w:numFmt w:val="decimal"/>
    </w:lvl>
    <w:lvl w:ilvl="1">
      <w:lvlJc w:val="left"/>
      <w:lvlText w:val="•"/>
      <w:numFmt w:val="bullet"/>
      <w:start w:val="1"/>
    </w:lvl>
  </w:abstractNum>
  <w:abstractNum w:abstractNumId="92">
    <w:nsid w:val="23D86AAC"/>
    <w:multiLevelType w:val="hybridMultilevel"/>
    <w:lvl w:ilvl="0">
      <w:lvlJc w:val="left"/>
      <w:lvlText w:val="•"/>
      <w:numFmt w:val="bullet"/>
      <w:start w:val="1"/>
    </w:lvl>
  </w:abstractNum>
  <w:abstractNum w:abstractNumId="93">
    <w:nsid w:val="45E6D486"/>
    <w:multiLevelType w:val="hybridMultilevel"/>
    <w:lvl w:ilvl="0">
      <w:lvlJc w:val="left"/>
      <w:lvlText w:val="•"/>
      <w:numFmt w:val="bullet"/>
      <w:start w:val="1"/>
    </w:lvl>
  </w:abstractNum>
  <w:abstractNum w:abstractNumId="94">
    <w:nsid w:val="5C10FE21"/>
    <w:multiLevelType w:val="hybridMultilevel"/>
    <w:lvl w:ilvl="0">
      <w:lvlJc w:val="left"/>
      <w:lvlText w:val="•"/>
      <w:numFmt w:val="bullet"/>
      <w:start w:val="1"/>
    </w:lvl>
  </w:abstractNum>
  <w:abstractNum w:abstractNumId="95">
    <w:nsid w:val="E7FFA2B"/>
    <w:multiLevelType w:val="hybridMultilevel"/>
    <w:lvl w:ilvl="0">
      <w:lvlJc w:val="left"/>
      <w:lvlText w:val="•"/>
      <w:numFmt w:val="bullet"/>
      <w:start w:val="1"/>
    </w:lvl>
  </w:abstractNum>
  <w:abstractNum w:abstractNumId="96">
    <w:nsid w:val="3C5991AA"/>
    <w:multiLevelType w:val="hybridMultilevel"/>
    <w:lvl w:ilvl="0">
      <w:lvlJc w:val="left"/>
      <w:lvlText w:val="•"/>
      <w:numFmt w:val="bullet"/>
      <w:start w:val="1"/>
    </w:lvl>
  </w:abstractNum>
  <w:abstractNum w:abstractNumId="97">
    <w:nsid w:val="4BD8591A"/>
    <w:multiLevelType w:val="hybridMultilevel"/>
    <w:lvl w:ilvl="0">
      <w:lvlJc w:val="left"/>
      <w:lvlText w:val="(%1)"/>
      <w:numFmt w:val="decimal"/>
      <w:start w:val="1"/>
    </w:lvl>
  </w:abstractNum>
  <w:abstractNum w:abstractNumId="98">
    <w:nsid w:val="78DF6A55"/>
    <w:multiLevelType w:val="hybridMultilevel"/>
    <w:lvl w:ilvl="0">
      <w:lvlJc w:val="left"/>
      <w:lvlText w:val="(%1)"/>
      <w:numFmt w:val="lowerLetter"/>
      <w:start w:val="1"/>
    </w:lvl>
  </w:abstractNum>
  <w:abstractNum w:abstractNumId="99">
    <w:nsid w:val="39B7AAA2"/>
    <w:multiLevelType w:val="hybridMultilevel"/>
    <w:lvl w:ilvl="0">
      <w:lvlJc w:val="left"/>
      <w:lvlText w:val="(%1)"/>
      <w:numFmt w:val="decimal"/>
      <w:start w:val="1"/>
    </w:lvl>
  </w:abstractNum>
  <w:abstractNum w:abstractNumId="100">
    <w:nsid w:val="2B0D8DBE"/>
    <w:multiLevelType w:val="hybridMultilevel"/>
    <w:lvl w:ilvl="0">
      <w:lvlJc w:val="left"/>
      <w:lvlText w:val="(%1)"/>
      <w:numFmt w:val="decimal"/>
      <w:start w:val="2"/>
    </w:lvl>
  </w:abstractNum>
  <w:abstractNum w:abstractNumId="101">
    <w:nsid w:val="6C80EC70"/>
    <w:multiLevelType w:val="hybridMultilevel"/>
    <w:lvl w:ilvl="0">
      <w:lvlJc w:val="left"/>
      <w:lvlText w:val="(%1)"/>
      <w:numFmt w:val="decimal"/>
      <w:start w:val="1"/>
    </w:lvl>
    <w:lvl w:ilvl="1">
      <w:lvlJc w:val="left"/>
      <w:lvlText w:val="•"/>
      <w:numFmt w:val="bullet"/>
      <w:start w:val="1"/>
    </w:lvl>
  </w:abstractNum>
  <w:abstractNum w:abstractNumId="102">
    <w:nsid w:val="379E21B5"/>
    <w:multiLevelType w:val="hybridMultilevel"/>
    <w:lvl w:ilvl="0">
      <w:lvlJc w:val="left"/>
      <w:lvlText w:val="(%1)"/>
      <w:numFmt w:val="decimal"/>
      <w:start w:val="1"/>
    </w:lvl>
    <w:lvl w:ilvl="1">
      <w:lvlJc w:val="left"/>
      <w:lvlText w:val="•"/>
      <w:numFmt w:val="bullet"/>
      <w:start w:val="1"/>
    </w:lvl>
  </w:abstractNum>
  <w:abstractNum w:abstractNumId="103">
    <w:nsid w:val="69E373"/>
    <w:multiLevelType w:val="hybridMultilevel"/>
    <w:lvl w:ilvl="0">
      <w:lvlJc w:val="left"/>
      <w:lvlText w:val="•"/>
      <w:numFmt w:val="bullet"/>
      <w:start w:val="1"/>
    </w:lvl>
  </w:abstractNum>
  <w:abstractNum w:abstractNumId="104">
    <w:nsid w:val="2C27173B"/>
    <w:multiLevelType w:val="hybridMultilevel"/>
    <w:lvl w:ilvl="0">
      <w:lvlJc w:val="left"/>
      <w:lvlText w:val="(%1)"/>
      <w:numFmt w:val="decimal"/>
      <w:start w:val="1"/>
    </w:lvl>
  </w:abstractNum>
  <w:abstractNum w:abstractNumId="105">
    <w:nsid w:val="4C9B0904"/>
    <w:multiLevelType w:val="hybridMultilevel"/>
    <w:lvl w:ilvl="0">
      <w:lvlJc w:val="left"/>
      <w:lvlText w:val="(%1)"/>
      <w:numFmt w:val="decimal"/>
      <w:start w:val="2"/>
    </w:lvl>
  </w:abstractNum>
  <w:abstractNum w:abstractNumId="106">
    <w:nsid w:val="6AA7B75C"/>
    <w:multiLevelType w:val="hybridMultilevel"/>
    <w:lvl w:ilvl="0">
      <w:lvlJc w:val="left"/>
      <w:lvlText w:val="(%1)"/>
      <w:numFmt w:val="decimal"/>
    </w:lvl>
    <w:lvl w:ilvl="1">
      <w:lvlJc w:val="left"/>
      <w:lvlText w:val="•"/>
      <w:numFmt w:val="bullet"/>
      <w:start w:val="1"/>
    </w:lvl>
  </w:abstractNum>
  <w:abstractNum w:abstractNumId="107">
    <w:nsid w:val="1DF029D3"/>
    <w:multiLevelType w:val="hybridMultilevel"/>
    <w:lvl w:ilvl="0">
      <w:lvlJc w:val="left"/>
      <w:lvlText w:val="•"/>
      <w:numFmt w:val="bullet"/>
      <w:start w:val="1"/>
    </w:lvl>
  </w:abstractNum>
  <w:abstractNum w:abstractNumId="108">
    <w:nsid w:val="5675FF36"/>
    <w:multiLevelType w:val="hybridMultilevel"/>
    <w:lvl w:ilvl="0">
      <w:lvlJc w:val="left"/>
      <w:lvlText w:val="•"/>
      <w:numFmt w:val="bullet"/>
      <w:start w:val="1"/>
    </w:lvl>
  </w:abstractNum>
  <w:abstractNum w:abstractNumId="109">
    <w:nsid w:val="3DD15094"/>
    <w:multiLevelType w:val="hybridMultilevel"/>
    <w:lvl w:ilvl="0">
      <w:lvlJc w:val="left"/>
      <w:lvlText w:val="(%1)"/>
      <w:numFmt w:val="decimal"/>
      <w:start w:val="1"/>
    </w:lvl>
  </w:abstractNum>
  <w:abstractNum w:abstractNumId="110">
    <w:nsid w:val="3DB012B3"/>
    <w:multiLevelType w:val="hybridMultilevel"/>
    <w:lvl w:ilvl="0">
      <w:lvlJc w:val="left"/>
      <w:lvlText w:val="(%1)"/>
      <w:numFmt w:val="decimal"/>
      <w:start w:val="1"/>
    </w:lvl>
  </w:abstractNum>
  <w:abstractNum w:abstractNumId="111">
    <w:nsid w:val="2708C9AF"/>
    <w:multiLevelType w:val="hybridMultilevel"/>
    <w:lvl w:ilvl="0">
      <w:lvlJc w:val="left"/>
      <w:lvlText w:val="(%1)"/>
      <w:numFmt w:val="decimal"/>
      <w:start w:val="6"/>
    </w:lvl>
  </w:abstractNum>
  <w:abstractNum w:abstractNumId="112">
    <w:nsid w:val="5B25ACE2"/>
    <w:multiLevelType w:val="hybridMultilevel"/>
    <w:lvl w:ilvl="0">
      <w:lvlJc w:val="left"/>
      <w:lvlText w:val="(%1)"/>
      <w:numFmt w:val="decimal"/>
      <w:start w:val="1"/>
    </w:lvl>
  </w:abstractNum>
  <w:abstractNum w:abstractNumId="113">
    <w:nsid w:val="175DFCF0"/>
    <w:multiLevelType w:val="hybridMultilevel"/>
    <w:lvl w:ilvl="0">
      <w:lvlJc w:val="left"/>
      <w:lvlText w:val="(%1)"/>
      <w:numFmt w:val="lowerLetter"/>
      <w:start w:val="1"/>
    </w:lvl>
  </w:abstractNum>
  <w:abstractNum w:abstractNumId="114">
    <w:nsid w:val="4F97E3E4"/>
    <w:multiLevelType w:val="hybridMultilevel"/>
    <w:lvl w:ilvl="0">
      <w:lvlJc w:val="left"/>
      <w:lvlText w:val="(%1)"/>
      <w:numFmt w:val="decimal"/>
      <w:start w:val="3"/>
    </w:lvl>
  </w:abstractNum>
  <w:abstractNum w:abstractNumId="115">
    <w:nsid w:val="53B0A9E"/>
    <w:multiLevelType w:val="hybridMultilevel"/>
    <w:lvl w:ilvl="0">
      <w:lvlJc w:val="left"/>
      <w:lvlText w:val="%1"/>
      <w:numFmt w:val="decimal"/>
      <w:start w:val="1"/>
    </w:lvl>
    <w:lvl w:ilvl="1">
      <w:lvlJc w:val="left"/>
      <w:lvlText w:val="(%2)"/>
      <w:numFmt w:val="lowerLetter"/>
      <w:start w:val="2"/>
    </w:lvl>
  </w:abstractNum>
  <w:abstractNum w:abstractNumId="116">
    <w:nsid w:val="34FD6B4F"/>
    <w:multiLevelType w:val="hybridMultilevel"/>
    <w:lvl w:ilvl="0">
      <w:lvlJc w:val="left"/>
      <w:lvlText w:val="(%1)"/>
      <w:numFmt w:val="decimal"/>
      <w:start w:val="5"/>
    </w:lvl>
    <w:lvl w:ilvl="1">
      <w:lvlJc w:val="left"/>
      <w:lvlText w:val="%2"/>
      <w:numFmt w:val="lowerLetter"/>
      <w:start w:val="1"/>
    </w:lvl>
  </w:abstractNum>
  <w:abstractNum w:abstractNumId="117">
    <w:nsid w:val="5915FF32"/>
    <w:multiLevelType w:val="hybridMultilevel"/>
    <w:lvl w:ilvl="0">
      <w:lvlJc w:val="left"/>
      <w:lvlText w:val="•"/>
      <w:numFmt w:val="bullet"/>
      <w:start w:val="1"/>
    </w:lvl>
  </w:abstractNum>
  <w:abstractNum w:abstractNumId="118">
    <w:nsid w:val="56438D15"/>
    <w:multiLevelType w:val="hybridMultilevel"/>
    <w:lvl w:ilvl="0">
      <w:lvlJc w:val="left"/>
      <w:lvlText w:val="(%1)"/>
      <w:numFmt w:val="decimal"/>
      <w:start w:val="1"/>
    </w:lvl>
  </w:abstractNum>
  <w:abstractNum w:abstractNumId="119">
    <w:nsid w:val="519E3149"/>
    <w:multiLevelType w:val="hybridMultilevel"/>
    <w:lvl w:ilvl="0">
      <w:lvlJc w:val="left"/>
      <w:lvlText w:val="(%1)"/>
      <w:numFmt w:val="decimal"/>
      <w:start w:val="1"/>
    </w:lvl>
  </w:abstractNum>
  <w:abstractNum w:abstractNumId="120">
    <w:nsid w:val="2C6E4AFD"/>
    <w:multiLevelType w:val="hybridMultilevel"/>
    <w:lvl w:ilvl="0">
      <w:lvlJc w:val="left"/>
      <w:lvlText w:val="•"/>
      <w:numFmt w:val="bullet"/>
      <w:start w:val="1"/>
    </w:lvl>
  </w:abstractNum>
  <w:abstractNum w:abstractNumId="121">
    <w:nsid w:val="17A1B582"/>
    <w:multiLevelType w:val="hybridMultilevel"/>
    <w:lvl w:ilvl="0">
      <w:lvlJc w:val="left"/>
      <w:lvlText w:val="%1."/>
      <w:numFmt w:val="decimal"/>
      <w:start w:val="1"/>
    </w:lvl>
  </w:abstractNum>
  <w:abstractNum w:abstractNumId="122">
    <w:nsid w:val="4DF72E4E"/>
    <w:multiLevelType w:val="hybridMultilevel"/>
    <w:lvl w:ilvl="0">
      <w:lvlJc w:val="left"/>
      <w:lvlText w:val="(%1)"/>
      <w:numFmt w:val="decimal"/>
      <w:start w:val="1"/>
    </w:lvl>
  </w:abstractNum>
  <w:abstractNum w:abstractNumId="123">
    <w:nsid w:val="5046B5A9"/>
    <w:multiLevelType w:val="hybridMultilevel"/>
    <w:lvl w:ilvl="0">
      <w:lvlJc w:val="left"/>
      <w:lvlText w:val="(%1)"/>
      <w:numFmt w:val="decimal"/>
      <w:start w:val="1"/>
    </w:lvl>
  </w:abstractNum>
  <w:abstractNum w:abstractNumId="124">
    <w:nsid w:val="5D888A08"/>
    <w:multiLevelType w:val="hybridMultilevel"/>
    <w:lvl w:ilvl="0">
      <w:lvlJc w:val="left"/>
      <w:lvlText w:val="•"/>
      <w:numFmt w:val="bullet"/>
      <w:start w:val="1"/>
    </w:lvl>
    <w:lvl w:ilvl="1">
      <w:lvlJc w:val="left"/>
      <w:lvlText w:val="•"/>
      <w:numFmt w:val="bullet"/>
      <w:start w:val="1"/>
    </w:lvl>
  </w:abstractNum>
  <w:abstractNum w:abstractNumId="125">
    <w:nsid w:val="2A082C70"/>
    <w:multiLevelType w:val="hybridMultilevel"/>
    <w:lvl w:ilvl="0">
      <w:lvlJc w:val="left"/>
      <w:lvlText w:val="%1."/>
      <w:numFmt w:val="decimal"/>
      <w:start w:val="8"/>
    </w:lvl>
  </w:abstractNum>
  <w:abstractNum w:abstractNumId="126">
    <w:nsid w:val="5EC6AFD4"/>
    <w:multiLevelType w:val="hybridMultilevel"/>
    <w:lvl w:ilvl="0">
      <w:lvlJc w:val="left"/>
      <w:lvlText w:val="%1."/>
      <w:numFmt w:val="decimal"/>
      <w:start w:val="10"/>
    </w:lvl>
  </w:abstractNum>
  <w:abstractNum w:abstractNumId="127">
    <w:nsid w:val="19E21BB2"/>
    <w:multiLevelType w:val="hybridMultilevel"/>
    <w:lvl w:ilvl="0">
      <w:lvlJc w:val="left"/>
      <w:lvlText w:val="•"/>
      <w:numFmt w:val="bullet"/>
      <w:start w:val="1"/>
    </w:lvl>
  </w:abstractNum>
  <w:abstractNum w:abstractNumId="128">
    <w:nsid w:val="75E0858A"/>
    <w:multiLevelType w:val="hybridMultilevel"/>
    <w:lvl w:ilvl="0">
      <w:lvlJc w:val="left"/>
      <w:lvlText w:val="•"/>
      <w:numFmt w:val="bullet"/>
      <w:start w:val="1"/>
    </w:lvl>
  </w:abstractNum>
  <w:abstractNum w:abstractNumId="129">
    <w:nsid w:val="57A61A29"/>
    <w:multiLevelType w:val="hybridMultilevel"/>
    <w:lvl w:ilvl="0">
      <w:lvlJc w:val="left"/>
      <w:lvlText w:val="•"/>
      <w:numFmt w:val="bullet"/>
      <w:start w:val="1"/>
    </w:lvl>
  </w:abstractNum>
  <w:abstractNum w:abstractNumId="130">
    <w:nsid w:val="5399C654"/>
    <w:multiLevelType w:val="hybridMultilevel"/>
    <w:lvl w:ilvl="0">
      <w:lvlJc w:val="left"/>
      <w:lvlText w:val="(%1)"/>
      <w:numFmt w:val="decimal"/>
      <w:start w:val="1"/>
    </w:lvl>
  </w:abstractNum>
  <w:abstractNum w:abstractNumId="131">
    <w:nsid w:val="20EE134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2026-04-03T15:21:49Z</dcterms:created>
  <dcterms:modified xsi:type="dcterms:W3CDTF">2026-04-03T15:21:49Z</dcterms:modified>
</cp:coreProperties>
</file>