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1140" w:right="100" w:hanging="794"/>
        <w:spacing w:after="0" w:line="238"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1140" w:right="100" w:hanging="794"/>
        <w:spacing w:after="0" w:line="26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2" w:lineRule="exact"/>
        <w:rPr>
          <w:sz w:val="24"/>
          <w:szCs w:val="24"/>
          <w:color w:val="auto"/>
        </w:rPr>
      </w:pPr>
    </w:p>
    <w:p>
      <w:pPr>
        <w:ind w:left="34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137795</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11"/>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402"/>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Three Parkway North,</w:t>
            </w:r>
          </w:p>
        </w:tc>
        <w:tc>
          <w:tcPr>
            <w:tcW w:w="3160" w:type="dxa"/>
            <w:vAlign w:val="bottom"/>
          </w:tcPr>
          <w:p>
            <w:pPr>
              <w:spacing w:after="0"/>
              <w:rPr>
                <w:sz w:val="24"/>
                <w:szCs w:val="24"/>
                <w:color w:val="auto"/>
              </w:rPr>
            </w:pPr>
          </w:p>
        </w:tc>
      </w:tr>
      <w:tr>
        <w:trPr>
          <w:trHeight w:val="238"/>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11"/>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132"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158"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58" w:lineRule="exact"/>
        <w:rPr>
          <w:sz w:val="24"/>
          <w:szCs w:val="24"/>
          <w:color w:val="auto"/>
        </w:rPr>
      </w:pPr>
    </w:p>
    <w:p>
      <w:pPr>
        <w:jc w:val="both"/>
        <w:ind w:right="18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12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340"/>
        <w:spacing w:after="0" w:line="29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ind w:left="22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40" w:type="dxa"/>
            <w:vAlign w:val="bottom"/>
          </w:tcPr>
          <w:p>
            <w:pPr>
              <w:ind w:left="5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0"/>
        </w:trPr>
        <w:tc>
          <w:tcPr>
            <w:tcW w:w="6300" w:type="dxa"/>
            <w:vAlign w:val="bottom"/>
          </w:tcPr>
          <w:p>
            <w:pPr>
              <w:ind w:left="22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40" w:type="dxa"/>
            <w:vAlign w:val="bottom"/>
          </w:tcPr>
          <w:p>
            <w:pPr>
              <w:ind w:left="520"/>
              <w:spacing w:after="0"/>
              <w:rPr>
                <w:sz w:val="20"/>
                <w:szCs w:val="20"/>
                <w:color w:val="auto"/>
              </w:rPr>
            </w:pPr>
            <w:r>
              <w:rPr>
                <w:rFonts w:ascii="Arial" w:cs="Arial" w:eastAsia="Arial" w:hAnsi="Arial"/>
                <w:sz w:val="18"/>
                <w:szCs w:val="18"/>
                <w:color w:val="auto"/>
                <w:w w:val="97"/>
              </w:rPr>
              <w:t>Smaller reporting company</w:t>
            </w:r>
          </w:p>
        </w:tc>
        <w:tc>
          <w:tcPr>
            <w:tcW w:w="2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300" w:type="dxa"/>
            <w:vAlign w:val="bottom"/>
          </w:tcPr>
          <w:p>
            <w:pPr>
              <w:ind w:left="2260"/>
              <w:spacing w:after="0"/>
              <w:rPr>
                <w:sz w:val="20"/>
                <w:szCs w:val="20"/>
                <w:color w:val="auto"/>
              </w:rPr>
            </w:pPr>
            <w:r>
              <w:rPr>
                <w:rFonts w:ascii="Arial" w:cs="Arial" w:eastAsia="Arial" w:hAnsi="Arial"/>
                <w:sz w:val="18"/>
                <w:szCs w:val="18"/>
                <w:color w:val="auto"/>
              </w:rPr>
              <w:t>(Do not check if a smaller reporting company)</w:t>
            </w:r>
          </w:p>
        </w:tc>
        <w:tc>
          <w:tcPr>
            <w:tcW w:w="26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8940" w:type="dxa"/>
            <w:vAlign w:val="bottom"/>
            <w:gridSpan w:val="2"/>
          </w:tcPr>
          <w:p>
            <w:pPr>
              <w:spacing w:after="0"/>
              <w:rPr>
                <w:sz w:val="20"/>
                <w:szCs w:val="20"/>
                <w:color w:val="auto"/>
              </w:rPr>
            </w:pPr>
            <w:r>
              <w:rPr>
                <w:rFonts w:ascii="Arial" w:cs="Arial" w:eastAsia="Arial" w:hAnsi="Arial"/>
                <w:sz w:val="18"/>
                <w:szCs w:val="18"/>
                <w:color w:val="auto"/>
                <w:w w:val="99"/>
              </w:rPr>
              <w:t>Indicate by check mark whether the registrant is a shell company (as defined in Rule 12b-2 of the Exchange Act).</w:t>
            </w:r>
          </w:p>
        </w:tc>
        <w:tc>
          <w:tcPr>
            <w:tcW w:w="24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8"/>
        </w:trPr>
        <w:tc>
          <w:tcPr>
            <w:tcW w:w="8940" w:type="dxa"/>
            <w:vAlign w:val="bottom"/>
            <w:gridSpan w:val="2"/>
          </w:tcPr>
          <w:p>
            <w:pPr>
              <w:spacing w:after="0"/>
              <w:rPr>
                <w:sz w:val="20"/>
                <w:szCs w:val="20"/>
                <w:color w:val="auto"/>
              </w:rPr>
            </w:pPr>
            <w:r>
              <w:rPr>
                <w:rFonts w:ascii="Arial" w:cs="Arial" w:eastAsia="Arial" w:hAnsi="Arial"/>
                <w:sz w:val="18"/>
                <w:szCs w:val="18"/>
                <w:color w:val="auto"/>
              </w:rPr>
              <w:t>At October 21, 2016, there were 1,544,411,707 shares of the registrant’s Class A Common Stock outstanding.</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3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63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tcPr>
          <w:p>
            <w:pPr>
              <w:spacing w:after="0"/>
              <w:rPr>
                <w:sz w:val="5"/>
                <w:szCs w:val="5"/>
                <w:color w:val="auto"/>
              </w:rPr>
            </w:pPr>
          </w:p>
        </w:tc>
        <w:tc>
          <w:tcPr>
            <w:tcW w:w="2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264"/>
        </w:trPr>
        <w:tc>
          <w:tcPr>
            <w:tcW w:w="1074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6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Financial Statements (Unaudited)</w:t>
              </w:r>
            </w:hyperlink>
          </w:p>
        </w:tc>
        <w:tc>
          <w:tcPr>
            <w:tcW w:w="7040" w:type="dxa"/>
            <w:vAlign w:val="bottom"/>
            <w:gridSpan w:val="13"/>
          </w:tcPr>
          <w:p>
            <w:pPr>
              <w:spacing w:after="0"/>
              <w:rPr>
                <w:sz w:val="24"/>
                <w:szCs w:val="24"/>
                <w:color w:val="auto"/>
              </w:rPr>
            </w:pPr>
          </w:p>
        </w:tc>
        <w:tc>
          <w:tcPr>
            <w:tcW w:w="580" w:type="dxa"/>
            <w:vAlign w:val="bottom"/>
          </w:tcPr>
          <w:p>
            <w:pPr>
              <w:spacing w:after="0"/>
              <w:rPr>
                <w:sz w:val="24"/>
                <w:szCs w:val="24"/>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Condensed Consolidated Statements of Earnings</w:t>
              </w:r>
            </w:hyperlink>
          </w:p>
        </w:tc>
        <w:tc>
          <w:tcPr>
            <w:tcW w:w="58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and Nine Months Ended September 30,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4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Comprehensive Earnings</w:t>
              </w:r>
            </w:hyperlink>
          </w:p>
        </w:tc>
        <w:tc>
          <w:tcPr>
            <w:tcW w:w="45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40" w:type="dxa"/>
            <w:vAlign w:val="bottom"/>
            <w:gridSpan w:val="20"/>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and Nine Months Ended September 30, 2016 and 2015</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6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at September 30, 2016 and December 31, 2015</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tcBorders>
              <w:top w:val="single" w:sz="8" w:color="0000EE"/>
            </w:tcBorders>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4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for the Year Ended December 31, 2015 and</w:t>
              </w:r>
            </w:hyperlink>
          </w:p>
        </w:tc>
        <w:tc>
          <w:tcPr>
            <w:tcW w:w="20" w:type="dxa"/>
            <w:vAlign w:val="bottom"/>
            <w:tcBorders>
              <w:top w:val="single" w:sz="8" w:color="0000EE"/>
            </w:tcBorders>
          </w:tcPr>
          <w:p>
            <w:pPr>
              <w:spacing w:after="0"/>
              <w:rPr>
                <w:sz w:val="15"/>
                <w:szCs w:val="15"/>
                <w:color w:val="auto"/>
              </w:rPr>
            </w:pPr>
          </w:p>
        </w:tc>
        <w:tc>
          <w:tcPr>
            <w:tcW w:w="602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8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the Nine Months Ended September 30, 2016</w:t>
              </w:r>
            </w:hyperlink>
          </w:p>
        </w:tc>
        <w:tc>
          <w:tcPr>
            <w:tcW w:w="5960" w:type="dxa"/>
            <w:vAlign w:val="bottom"/>
            <w:gridSpan w:val="10"/>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58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2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for the Nine Months Ended September 30, 2016 and 2015</w:t>
              </w:r>
            </w:hyperlink>
          </w:p>
        </w:tc>
        <w:tc>
          <w:tcPr>
            <w:tcW w:w="4920" w:type="dxa"/>
            <w:vAlign w:val="bottom"/>
            <w:gridSpan w:val="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91"/>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Notes to Condensed Consolidated Financial Statements</w:t>
              </w:r>
            </w:hyperlink>
          </w:p>
        </w:tc>
        <w:tc>
          <w:tcPr>
            <w:tcW w:w="52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92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Management’s Discussion and Analysis of Financial Condition and Results of Operations</w:t>
              </w:r>
            </w:hyperlink>
          </w:p>
        </w:tc>
        <w:tc>
          <w:tcPr>
            <w:tcW w:w="274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7"/>
              </w:rPr>
            </w:pPr>
            <w:hyperlink w:anchor="page68">
              <w:r>
                <w:rPr>
                  <w:rFonts w:ascii="Arial" w:cs="Arial" w:eastAsia="Arial" w:hAnsi="Arial"/>
                  <w:sz w:val="18"/>
                  <w:szCs w:val="18"/>
                  <w:color w:val="0000EE"/>
                  <w:w w:val="97"/>
                </w:rPr>
                <w:t>Controls and Procedures</w:t>
              </w:r>
            </w:hyperlink>
          </w:p>
        </w:tc>
        <w:tc>
          <w:tcPr>
            <w:tcW w:w="2620" w:type="dxa"/>
            <w:vAlign w:val="bottom"/>
            <w:tcBorders>
              <w:top w:val="single" w:sz="8" w:color="0000EE"/>
            </w:tcBorders>
            <w:gridSpan w:val="8"/>
          </w:tcPr>
          <w:p>
            <w:pPr>
              <w:spacing w:after="0"/>
              <w:rPr>
                <w:sz w:val="24"/>
                <w:szCs w:val="24"/>
                <w:color w:val="auto"/>
              </w:rPr>
            </w:pPr>
          </w:p>
        </w:tc>
        <w:tc>
          <w:tcPr>
            <w:tcW w:w="50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91"/>
        </w:trPr>
        <w:tc>
          <w:tcPr>
            <w:tcW w:w="10740" w:type="dxa"/>
            <w:vAlign w:val="bottom"/>
            <w:gridSpan w:val="23"/>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 - OTHER INFORMATION</w:t>
              </w:r>
            </w:hyperlink>
          </w:p>
        </w:tc>
        <w:tc>
          <w:tcPr>
            <w:tcW w:w="580" w:type="dxa"/>
            <w:vAlign w:val="bottom"/>
          </w:tcPr>
          <w:p>
            <w:pPr>
              <w:spacing w:after="0"/>
              <w:rPr>
                <w:sz w:val="24"/>
                <w:szCs w:val="24"/>
                <w:color w:val="auto"/>
              </w:rPr>
            </w:pPr>
          </w:p>
        </w:tc>
      </w:tr>
      <w:tr>
        <w:trPr>
          <w:trHeight w:val="291"/>
        </w:trPr>
        <w:tc>
          <w:tcPr>
            <w:tcW w:w="1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580" w:type="dxa"/>
            <w:vAlign w:val="bottom"/>
            <w:tcBorders>
              <w:top w:val="single" w:sz="8" w:color="0000EE"/>
            </w:tcBorders>
            <w:gridSpan w:val="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Legal Proceedings</w:t>
              </w:r>
            </w:hyperlink>
          </w:p>
        </w:tc>
        <w:tc>
          <w:tcPr>
            <w:tcW w:w="808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460" w:type="dxa"/>
            <w:vAlign w:val="bottom"/>
            <w:tcBorders>
              <w:top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Risk Factors</w:t>
              </w:r>
            </w:hyperlink>
          </w:p>
        </w:tc>
        <w:tc>
          <w:tcPr>
            <w:tcW w:w="820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760" w:type="dxa"/>
            <w:vAlign w:val="bottom"/>
            <w:gridSpan w:val="13"/>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91"/>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740" w:type="dxa"/>
            <w:vAlign w:val="bottom"/>
            <w:tcBorders>
              <w:top w:val="single" w:sz="8" w:color="0000EE"/>
            </w:tcBorders>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492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71">
              <w:r>
                <w:rPr>
                  <w:rFonts w:ascii="Arial" w:cs="Arial" w:eastAsia="Arial" w:hAnsi="Arial"/>
                  <w:sz w:val="18"/>
                  <w:szCs w:val="18"/>
                  <w:color w:val="0000EE"/>
                  <w:w w:val="95"/>
                </w:rPr>
                <w:t>Signature</w:t>
              </w:r>
            </w:hyperlink>
          </w:p>
        </w:tc>
        <w:tc>
          <w:tcPr>
            <w:tcW w:w="3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16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6,849</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19,153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11,614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2,488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7,539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311"/>
        </w:trPr>
        <w:tc>
          <w:tcPr>
            <w:tcW w:w="65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1,790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4,835</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Gain on divestiture</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7,802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2,062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1,522</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 net (losses) / earnings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 earnings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160"/>
              <w:spacing w:after="0"/>
              <w:rPr>
                <w:sz w:val="20"/>
                <w:szCs w:val="20"/>
                <w:color w:val="auto"/>
              </w:rPr>
            </w:pPr>
            <w:r>
              <w:rPr>
                <w:rFonts w:ascii="Arial" w:cs="Arial" w:eastAsia="Arial" w:hAnsi="Arial"/>
                <w:sz w:val="18"/>
                <w:szCs w:val="18"/>
                <w:color w:val="auto"/>
              </w:rPr>
              <w:t>Net earnings attributable to Mondelēz International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160"/>
              <w:spacing w:after="0" w:line="201" w:lineRule="exact"/>
              <w:rPr>
                <w:sz w:val="20"/>
                <w:szCs w:val="20"/>
                <w:color w:val="auto"/>
              </w:rPr>
            </w:pPr>
            <w:r>
              <w:rPr>
                <w:rFonts w:ascii="Arial" w:cs="Arial" w:eastAsia="Arial" w:hAnsi="Arial"/>
                <w:sz w:val="18"/>
                <w:szCs w:val="18"/>
                <w:color w:val="auto"/>
              </w:rPr>
              <w:t>Basic earnings per share attributable to</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340"/>
              <w:spacing w:after="0" w:line="203" w:lineRule="exact"/>
              <w:rPr>
                <w:sz w:val="20"/>
                <w:szCs w:val="20"/>
                <w:color w:val="auto"/>
              </w:rPr>
            </w:pPr>
            <w:r>
              <w:rPr>
                <w:rFonts w:ascii="Arial" w:cs="Arial" w:eastAsia="Arial" w:hAnsi="Arial"/>
                <w:sz w:val="18"/>
                <w:szCs w:val="18"/>
                <w:color w:val="auto"/>
              </w:rPr>
              <w:t>Mondelēz International</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0.35</w:t>
            </w:r>
          </w:p>
        </w:tc>
        <w:tc>
          <w:tcPr>
            <w:tcW w:w="2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4.52</w:t>
            </w:r>
          </w:p>
        </w:tc>
        <w:tc>
          <w:tcPr>
            <w:tcW w:w="140" w:type="dxa"/>
            <w:vAlign w:val="bottom"/>
          </w:tcPr>
          <w:p>
            <w:pPr>
              <w:spacing w:after="0"/>
              <w:rPr>
                <w:sz w:val="17"/>
                <w:szCs w:val="17"/>
                <w:color w:val="auto"/>
              </w:rPr>
            </w:pP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1.00</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Diluted earnings per share attributable to</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Mondelēz International</w:t>
            </w: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0.99</w:t>
            </w:r>
          </w:p>
        </w:tc>
        <w:tc>
          <w:tcPr>
            <w:tcW w:w="2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ind w:left="160"/>
              <w:spacing w:after="0" w:line="196" w:lineRule="exact"/>
              <w:rPr>
                <w:sz w:val="20"/>
                <w:szCs w:val="20"/>
                <w:color w:val="auto"/>
              </w:rPr>
            </w:pPr>
            <w:r>
              <w:rPr>
                <w:rFonts w:ascii="Arial" w:cs="Arial" w:eastAsia="Arial" w:hAnsi="Arial"/>
                <w:sz w:val="18"/>
                <w:szCs w:val="18"/>
                <w:color w:val="auto"/>
              </w:rPr>
              <w:t>Dividends declared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0.17</w:t>
            </w:r>
          </w:p>
        </w:tc>
        <w:tc>
          <w:tcPr>
            <w:tcW w:w="14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0.53</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2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48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22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680" w:type="dxa"/>
            <w:vAlign w:val="bottom"/>
            <w:shd w:val="clear" w:color="auto" w:fill="CCEEFF"/>
          </w:tcPr>
          <w:p>
            <w:pPr>
              <w:jc w:val="right"/>
              <w:ind w:right="501"/>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548</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7,268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1,576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line="202" w:lineRule="exact"/>
              <w:rPr>
                <w:sz w:val="20"/>
                <w:szCs w:val="20"/>
                <w:color w:val="auto"/>
              </w:rPr>
            </w:pPr>
            <w:r>
              <w:rPr>
                <w:rFonts w:ascii="Arial" w:cs="Arial" w:eastAsia="Arial" w:hAnsi="Arial"/>
                <w:sz w:val="18"/>
                <w:szCs w:val="18"/>
                <w:color w:val="auto"/>
              </w:rPr>
              <w:t>Other comprehensive earnings / (losses):</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680" w:type="dxa"/>
            <w:vAlign w:val="bottom"/>
          </w:tcPr>
          <w:p>
            <w:pPr>
              <w:spacing w:after="0"/>
              <w:rPr>
                <w:sz w:val="17"/>
                <w:szCs w:val="17"/>
                <w:color w:val="auto"/>
              </w:rPr>
            </w:pPr>
          </w:p>
        </w:tc>
        <w:tc>
          <w:tcPr>
            <w:tcW w:w="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99</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5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Total other comprehensive earnings / (losses)</w:t>
            </w:r>
          </w:p>
        </w:tc>
        <w:tc>
          <w:tcPr>
            <w:tcW w:w="68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(923)</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 / (losses)</w:t>
            </w: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6,345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ind w:left="160"/>
              <w:spacing w:after="0" w:line="202" w:lineRule="exact"/>
              <w:rPr>
                <w:sz w:val="20"/>
                <w:szCs w:val="20"/>
                <w:color w:val="auto"/>
              </w:rPr>
            </w:pPr>
            <w:r>
              <w:rPr>
                <w:rFonts w:ascii="Arial" w:cs="Arial" w:eastAsia="Arial" w:hAnsi="Arial"/>
                <w:sz w:val="18"/>
                <w:szCs w:val="18"/>
                <w:color w:val="auto"/>
              </w:rPr>
              <w:t>less: Comprehensive earnings / (losses) attributable to noncontrolling interests</w:t>
            </w:r>
          </w:p>
        </w:tc>
        <w:tc>
          <w:tcPr>
            <w:tcW w:w="680" w:type="dxa"/>
            <w:vAlign w:val="bottom"/>
          </w:tcPr>
          <w:p>
            <w:pPr>
              <w:spacing w:after="0"/>
              <w:rPr>
                <w:sz w:val="17"/>
                <w:szCs w:val="17"/>
                <w:color w:val="auto"/>
              </w:rPr>
            </w:pPr>
          </w:p>
        </w:tc>
        <w:tc>
          <w:tcPr>
            <w:tcW w:w="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earnings / (losses) attributable to</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Mondelēz International</w:t>
            </w:r>
          </w:p>
        </w:tc>
        <w:tc>
          <w:tcPr>
            <w:tcW w:w="680" w:type="dxa"/>
            <w:vAlign w:val="bottom"/>
            <w:shd w:val="clear" w:color="auto" w:fill="CCEEFF"/>
          </w:tcPr>
          <w:p>
            <w:pPr>
              <w:jc w:val="right"/>
              <w:ind w:right="501"/>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9"/>
              </w:rPr>
              <w:t>617</w:t>
            </w:r>
          </w:p>
        </w:tc>
        <w:tc>
          <w:tcPr>
            <w:tcW w:w="3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6,349</w:t>
            </w: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1,853</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6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Trade receivables (net of allowances of $64 at September 30, 2016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and $54 at December 31, 2015)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3,019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rPr>
              <w:t>Other receivables (net of allowances of $103 at September 30, 2016</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3" w:lineRule="exact"/>
              <w:rPr>
                <w:sz w:val="20"/>
                <w:szCs w:val="20"/>
                <w:color w:val="auto"/>
              </w:rPr>
            </w:pPr>
            <w:r>
              <w:rPr>
                <w:rFonts w:ascii="Arial" w:cs="Arial" w:eastAsia="Arial" w:hAnsi="Arial"/>
                <w:sz w:val="18"/>
                <w:szCs w:val="18"/>
                <w:color w:val="auto"/>
              </w:rPr>
              <w:t>and $109 at December 31, 2015)</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895</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2,776</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479</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8,855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18,721</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Prepaid pension assets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Equity method investments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5,717</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63,265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2,490</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1,511</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4,884</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Accrued marketing</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1,624</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employment 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2,669</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13,957</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10,922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13,105</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14,557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4,762</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Accrued pension costs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1,654</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Accrued postretirement health care costs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1,709</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35,688</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34,743</w:t>
            </w:r>
          </w:p>
        </w:tc>
        <w:tc>
          <w:tcPr>
            <w:tcW w:w="0" w:type="dxa"/>
            <w:vAlign w:val="bottom"/>
          </w:tcPr>
          <w:p>
            <w:pPr>
              <w:spacing w:after="0"/>
              <w:rPr>
                <w:sz w:val="1"/>
                <w:szCs w:val="1"/>
                <w:color w:val="auto"/>
              </w:rPr>
            </w:pP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rPr>
              <w:t>Common Stock, no par value (5,000,000,000 shares authorized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340"/>
              <w:spacing w:after="0" w:line="203" w:lineRule="exact"/>
              <w:rPr>
                <w:sz w:val="20"/>
                <w:szCs w:val="20"/>
                <w:color w:val="auto"/>
              </w:rPr>
            </w:pPr>
            <w:r>
              <w:rPr>
                <w:rFonts w:ascii="Arial" w:cs="Arial" w:eastAsia="Arial" w:hAnsi="Arial"/>
                <w:sz w:val="18"/>
                <w:szCs w:val="18"/>
                <w:color w:val="auto"/>
              </w:rPr>
              <w:t>1,996,537,778 shares issued at September 30, 2016 and December 31, 2015)</w:t>
            </w:r>
          </w:p>
        </w:tc>
        <w:tc>
          <w:tcPr>
            <w:tcW w:w="220" w:type="dxa"/>
            <w:vAlign w:val="bottom"/>
          </w:tcPr>
          <w:p>
            <w:pPr>
              <w:spacing w:after="0"/>
              <w:rPr>
                <w:sz w:val="17"/>
                <w:szCs w:val="17"/>
                <w:color w:val="auto"/>
              </w:rPr>
            </w:pPr>
          </w:p>
        </w:tc>
        <w:tc>
          <w:tcPr>
            <w:tcW w:w="144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31,805</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21,366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losses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(9,699)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ind w:left="160"/>
              <w:spacing w:after="0" w:line="201" w:lineRule="exact"/>
              <w:rPr>
                <w:sz w:val="20"/>
                <w:szCs w:val="20"/>
                <w:color w:val="auto"/>
              </w:rPr>
            </w:pPr>
            <w:r>
              <w:rPr>
                <w:rFonts w:ascii="Arial" w:cs="Arial" w:eastAsia="Arial" w:hAnsi="Arial"/>
                <w:sz w:val="18"/>
                <w:szCs w:val="18"/>
                <w:color w:val="auto"/>
              </w:rPr>
              <w:t>Treasury stock, at cost (450,941,657 shares at September 30, 2016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340"/>
              <w:spacing w:after="0" w:line="203" w:lineRule="exact"/>
              <w:rPr>
                <w:sz w:val="20"/>
                <w:szCs w:val="20"/>
                <w:color w:val="auto"/>
              </w:rPr>
            </w:pPr>
            <w:r>
              <w:rPr>
                <w:rFonts w:ascii="Arial" w:cs="Arial" w:eastAsia="Arial" w:hAnsi="Arial"/>
                <w:sz w:val="18"/>
                <w:szCs w:val="18"/>
                <w:color w:val="auto"/>
              </w:rPr>
              <w:t>416,504,624 shares at December 31, 2015)</w:t>
            </w:r>
          </w:p>
        </w:tc>
        <w:tc>
          <w:tcPr>
            <w:tcW w:w="220" w:type="dxa"/>
            <w:vAlign w:val="bottom"/>
          </w:tcPr>
          <w:p>
            <w:pPr>
              <w:spacing w:after="0"/>
              <w:rPr>
                <w:sz w:val="18"/>
                <w:szCs w:val="18"/>
                <w:color w:val="auto"/>
              </w:rPr>
            </w:pPr>
          </w:p>
        </w:tc>
        <w:tc>
          <w:tcPr>
            <w:tcW w:w="144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(15,963)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(14,462)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27,509</w:t>
            </w:r>
          </w:p>
        </w:tc>
        <w:tc>
          <w:tcPr>
            <w:tcW w:w="6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160"/>
              <w:spacing w:after="0" w:line="202" w:lineRule="exact"/>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w:t>
            </w:r>
          </w:p>
        </w:tc>
        <w:tc>
          <w:tcPr>
            <w:tcW w:w="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27,577</w:t>
            </w:r>
          </w:p>
        </w:tc>
        <w:tc>
          <w:tcPr>
            <w:tcW w:w="6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28,100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63,265</w:t>
            </w:r>
          </w:p>
        </w:tc>
        <w:tc>
          <w:tcPr>
            <w:tcW w:w="6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12"/>
          </w:tcPr>
          <w:p>
            <w:pPr>
              <w:jc w:val="right"/>
              <w:ind w:right="40"/>
              <w:spacing w:after="0"/>
              <w:rPr>
                <w:sz w:val="20"/>
                <w:szCs w:val="20"/>
                <w:color w:val="auto"/>
              </w:rPr>
            </w:pPr>
            <w:r>
              <w:rPr>
                <w:rFonts w:ascii="Arial" w:cs="Arial" w:eastAsia="Arial" w:hAnsi="Arial"/>
                <w:sz w:val="14"/>
                <w:szCs w:val="14"/>
                <w:b w:val="1"/>
                <w:bCs w:val="1"/>
                <w:color w:val="auto"/>
              </w:rPr>
              <w:t>Mondelēz International Shareholders’ Equity</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 /</w:t>
            </w:r>
          </w:p>
        </w:tc>
        <w:tc>
          <w:tcPr>
            <w:tcW w:w="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Treasury</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Noncontrolling</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Interest*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r>
      <w:tr>
        <w:trPr>
          <w:trHeight w:val="88"/>
        </w:trPr>
        <w:tc>
          <w:tcPr>
            <w:tcW w:w="49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31,651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14,529</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(7,318)</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(11,112)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$27,853</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7,267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7,291</w:t>
            </w:r>
          </w:p>
        </w:tc>
      </w:tr>
      <w:tr>
        <w:trPr>
          <w:trHeight w:val="162"/>
        </w:trPr>
        <w:tc>
          <w:tcPr>
            <w:tcW w:w="4960" w:type="dxa"/>
            <w:vAlign w:val="bottom"/>
          </w:tcPr>
          <w:p>
            <w:pPr>
              <w:ind w:left="160"/>
              <w:spacing w:after="0"/>
              <w:rPr>
                <w:sz w:val="20"/>
                <w:szCs w:val="20"/>
                <w:color w:val="auto"/>
              </w:rPr>
            </w:pPr>
            <w:r>
              <w:rPr>
                <w:rFonts w:ascii="Arial" w:cs="Arial" w:eastAsia="Arial" w:hAnsi="Arial"/>
                <w:sz w:val="14"/>
                <w:szCs w:val="14"/>
                <w:color w:val="auto"/>
              </w:rPr>
              <w:t>Other comprehensive losses, net of income taxes</w:t>
            </w: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(2,668)</w:t>
            </w:r>
          </w:p>
        </w:tc>
        <w:tc>
          <w:tcPr>
            <w:tcW w:w="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(26)</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(2,694)</w:t>
            </w:r>
          </w:p>
        </w:tc>
      </w:tr>
      <w:tr>
        <w:trPr>
          <w:trHeight w:val="167"/>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272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311</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(3,622)</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(3,622)</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($0.64 per share)</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(1,026)</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(13)</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2015</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31,760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20,700</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(9,986)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(14,462)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$28,100</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Comprehensive earnings / (losses):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1,576</w:t>
            </w:r>
          </w:p>
        </w:tc>
      </w:tr>
      <w:tr>
        <w:trPr>
          <w:trHeight w:val="167"/>
        </w:trPr>
        <w:tc>
          <w:tcPr>
            <w:tcW w:w="4960" w:type="dxa"/>
            <w:vAlign w:val="bottom"/>
          </w:tcPr>
          <w:p>
            <w:pPr>
              <w:ind w:left="160"/>
              <w:spacing w:after="0"/>
              <w:rPr>
                <w:sz w:val="20"/>
                <w:szCs w:val="20"/>
                <w:color w:val="auto"/>
              </w:rPr>
            </w:pPr>
            <w:r>
              <w:rPr>
                <w:rFonts w:ascii="Arial" w:cs="Arial" w:eastAsia="Arial" w:hAnsi="Arial"/>
                <w:sz w:val="14"/>
                <w:szCs w:val="14"/>
                <w:color w:val="auto"/>
              </w:rPr>
              <w:t>Other comprehensive earnings / (losses),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960" w:type="dxa"/>
            <w:vAlign w:val="bottom"/>
          </w:tcPr>
          <w:p>
            <w:pPr>
              <w:ind w:left="300"/>
              <w:spacing w:after="0" w:line="157" w:lineRule="exact"/>
              <w:rPr>
                <w:sz w:val="20"/>
                <w:szCs w:val="20"/>
                <w:color w:val="auto"/>
              </w:rPr>
            </w:pPr>
            <w:r>
              <w:rPr>
                <w:rFonts w:ascii="Arial" w:cs="Arial" w:eastAsia="Arial" w:hAnsi="Arial"/>
                <w:sz w:val="14"/>
                <w:szCs w:val="14"/>
                <w:color w:val="auto"/>
              </w:rPr>
              <w:t>net of income taxes</w:t>
            </w:r>
          </w:p>
        </w:tc>
        <w:tc>
          <w:tcPr>
            <w:tcW w:w="100" w:type="dxa"/>
            <w:vAlign w:val="bottom"/>
          </w:tcPr>
          <w:p>
            <w:pPr>
              <w:spacing w:after="0"/>
              <w:rPr>
                <w:sz w:val="13"/>
                <w:szCs w:val="13"/>
                <w:color w:val="auto"/>
              </w:rPr>
            </w:pPr>
          </w:p>
        </w:tc>
        <w:tc>
          <w:tcPr>
            <w:tcW w:w="56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287</w:t>
            </w:r>
          </w:p>
        </w:tc>
        <w:tc>
          <w:tcPr>
            <w:tcW w:w="40" w:type="dxa"/>
            <w:vAlign w:val="bottom"/>
          </w:tcPr>
          <w:p>
            <w:pPr>
              <w:spacing w:after="0"/>
              <w:rPr>
                <w:sz w:val="13"/>
                <w:szCs w:val="13"/>
                <w:color w:val="auto"/>
              </w:rPr>
            </w:pPr>
          </w:p>
        </w:tc>
        <w:tc>
          <w:tcPr>
            <w:tcW w:w="8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w:t>
            </w:r>
          </w:p>
        </w:tc>
        <w:tc>
          <w:tcPr>
            <w:tcW w:w="6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284</w:t>
            </w:r>
          </w:p>
        </w:tc>
      </w:tr>
      <w:tr>
        <w:trPr>
          <w:trHeight w:val="167"/>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issuance of other stock awards</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4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286</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257</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(1,787)</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(1,787)</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($0.53 per share)</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(826)</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Dividends paid on noncontrolling interest and other activities</w:t>
            </w:r>
          </w:p>
        </w:tc>
        <w:tc>
          <w:tcPr>
            <w:tcW w:w="100" w:type="dxa"/>
            <w:vAlign w:val="bottom"/>
          </w:tcPr>
          <w:p>
            <w:pPr>
              <w:spacing w:after="0"/>
              <w:rPr>
                <w:sz w:val="14"/>
                <w:szCs w:val="14"/>
                <w:color w:val="auto"/>
              </w:rPr>
            </w:pP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(27)</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(27)</w:t>
            </w: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Balances at September 30, 2016</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31,805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21,366</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(9,699)</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(15,963)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27,577</w:t>
            </w: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140" w:hanging="335"/>
        <w:spacing w:after="0" w:line="250"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September 30, 2015 was $84 million, as compared to $103 million as of January 1, 2015. The change of $(19) million during the nine months ended September 30, 2015 was due to $(22) million of other comprehensive losses, net of taxes, $11 million of net earnings and $(8) million of dividends paid.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 / (USED IN) OPERATING ACTIVITIES</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1,576</w:t>
            </w:r>
          </w:p>
        </w:tc>
        <w:tc>
          <w:tcPr>
            <w:tcW w:w="3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benefit</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(163)</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Gains on JDE coffee business transactions and divestiture</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Asset impairments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JDE coffee business transactions currency-related net gains</w:t>
            </w:r>
          </w:p>
        </w:tc>
        <w:tc>
          <w:tcPr>
            <w:tcW w:w="18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Equity method investment net (earnings) / losses</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(218)</w:t>
            </w:r>
          </w:p>
        </w:tc>
        <w:tc>
          <w:tcPr>
            <w:tcW w:w="3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18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(265)</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(143)</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(266)</w:t>
            </w:r>
          </w:p>
        </w:tc>
        <w:tc>
          <w:tcPr>
            <w:tcW w:w="3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(362)</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3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 (USED IN) INVESTING ACTIVITIES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(909)</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JDE coffee business transactions currency hedge settlements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Acquisitions, net of cash received</w:t>
            </w:r>
          </w:p>
        </w:tc>
        <w:tc>
          <w:tcPr>
            <w:tcW w:w="18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JDE coffee business transaction and divestiture, net of disbursements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 assets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 provided by investing activities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(521)</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318"/>
        </w:trPr>
        <w:tc>
          <w:tcPr>
            <w:tcW w:w="8900" w:type="dxa"/>
            <w:vAlign w:val="bottom"/>
            <w:gridSpan w:val="2"/>
          </w:tcPr>
          <w:p>
            <w:pPr>
              <w:spacing w:after="0"/>
              <w:rPr>
                <w:sz w:val="20"/>
                <w:szCs w:val="20"/>
                <w:color w:val="auto"/>
              </w:rPr>
            </w:pPr>
            <w:r>
              <w:rPr>
                <w:rFonts w:ascii="Arial" w:cs="Arial" w:eastAsia="Arial" w:hAnsi="Arial"/>
                <w:sz w:val="18"/>
                <w:szCs w:val="18"/>
                <w:color w:val="auto"/>
              </w:rPr>
              <w:t>CASH PROVIDED BY / (USED IN) FINANCING ACTIVITIES</w:t>
            </w: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1,028</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(337)</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issuances of other short-term borrowings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1,149</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(1,757)</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(1,727)</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(801)</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2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82</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(830)</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0"/>
        </w:trPr>
        <w:tc>
          <w:tcPr>
            <w:tcW w:w="89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9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160"/>
              <w:spacing w:after="0" w:line="202" w:lineRule="exact"/>
              <w:rPr>
                <w:sz w:val="20"/>
                <w:szCs w:val="20"/>
                <w:color w:val="auto"/>
              </w:rPr>
            </w:pPr>
            <w:r>
              <w:rPr>
                <w:rFonts w:ascii="Arial" w:cs="Arial" w:eastAsia="Arial" w:hAnsi="Arial"/>
                <w:sz w:val="18"/>
                <w:szCs w:val="18"/>
                <w:color w:val="auto"/>
              </w:rPr>
              <w:t>(Decrease) / increase</w:t>
            </w:r>
          </w:p>
        </w:tc>
        <w:tc>
          <w:tcPr>
            <w:tcW w:w="180" w:type="dxa"/>
            <w:vAlign w:val="bottom"/>
          </w:tcPr>
          <w:p>
            <w:pPr>
              <w:spacing w:after="0"/>
              <w:rPr>
                <w:sz w:val="17"/>
                <w:szCs w:val="17"/>
                <w:color w:val="auto"/>
              </w:rPr>
            </w:pPr>
          </w:p>
        </w:tc>
        <w:tc>
          <w:tcPr>
            <w:tcW w:w="12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(184)</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1,870</w:t>
            </w:r>
          </w:p>
        </w:tc>
        <w:tc>
          <w:tcPr>
            <w:tcW w:w="3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1,686</w:t>
            </w:r>
          </w:p>
        </w:tc>
        <w:tc>
          <w:tcPr>
            <w:tcW w:w="3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financial position and operating results. Net revenues and net earnings for any interim period are not necessarily indicative of future or annual results.</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We derived the condensed consolidated balance sheet data as of December 31, 2015 from audited financial statements but do not include all disclosures required by U.S. GAAP. You should read these statements in conjunction with our consolidated financial statements and related notes in our Annual Report on Form 10-K for the year ended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 xml:space="preserve">As of the close of the fourth quarter of 2015, we deconsolidated our Venezuelan operations from our consolidated financial statements. As such, the results of our Venezuelan subsidiaries are not included in our condensed consolidated financial statements for the three and nine months ended September 30, 2016. The operating results of our Venezuelan subsidiaries are included in our condensed consolidated financial statements for the three and nine months ended September 30, 2015. See </w:t>
      </w:r>
      <w:r>
        <w:rPr>
          <w:rFonts w:ascii="Arial" w:cs="Arial" w:eastAsia="Arial" w:hAnsi="Arial"/>
          <w:sz w:val="18"/>
          <w:szCs w:val="18"/>
          <w:i w:val="1"/>
          <w:iCs w:val="1"/>
          <w:color w:val="auto"/>
        </w:rPr>
        <w:t>Currency Translation and Highly Inflationary Accounting: Venezuela</w:t>
      </w:r>
      <w:r>
        <w:rPr>
          <w:rFonts w:ascii="Arial" w:cs="Arial" w:eastAsia="Arial" w:hAnsi="Arial"/>
          <w:sz w:val="18"/>
          <w:szCs w:val="18"/>
          <w:color w:val="auto"/>
        </w:rPr>
        <w:t xml:space="preserve"> below for more information.</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On July 2, 2015, we contributed our global coffee businesses to a new company, Jacobs Douwe Egberts (“JDE”), in which we now hold an equity interest (collectively, the “JDE coffee business transactions”). Historically, our coffee businesses and the income from equity method investments were recorded within our operating income as these businesses were part of our base business. While we retain an ongoing interest in coffee through equity method investments including JDE, Keurig Green Mountain Inc. (“Keurig”) and Dongsuh Foods Corporation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and segment income. For periods prior to the third quarter of 2015, our historical coffee business and equity method investment earnings were included within our operating income and segment income. Please see Note 2, </w:t>
      </w:r>
      <w:r>
        <w:rPr>
          <w:rFonts w:ascii="Arial" w:cs="Arial" w:eastAsia="Arial" w:hAnsi="Arial"/>
          <w:sz w:val="18"/>
          <w:szCs w:val="18"/>
          <w:i w:val="1"/>
          <w:iCs w:val="1"/>
          <w:color w:val="auto"/>
        </w:rPr>
        <w:t>Divestitures and Acquisitions – JDE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Coffee Business Transactions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Keurig Transaction</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for more information on these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185"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On June 23, 2016, the United Kingdom (“U.K.”) voted by referendum to exit the European Union (“E.U.”); this vote is</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“Brexit.” The referendum is non-binding and the exit from the E.U. is not immediate. Once the U.K. invokes E.U. Article 50, there is a two-year window in which the U.K. and European Commission can negotiate the future terms for imports, exports, taxes, employment, immigration and other areas.</w:t>
      </w:r>
    </w:p>
    <w:p>
      <w:pPr>
        <w:spacing w:after="0" w:line="1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Brexit has caused volatility in global stock markets and currency exchange rates, affecting the markets in which we operate. The implications of Brexit could adversely affect demand for our products, our financial results and operations, and our relationships with customers, suppliers and employees in the short or long-term. On June 24, 2016, the value of the British pound sterling relative to the U.S. dollar fell by 9%. Since that date, the value of the British pound sterling relative to the U.S. dollar declined an additional 5% through September 30, 2016. Further volatility in the exchange rate is expected over the transition period.</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the business operating environment remains uncertain, we continue to monitor our investments and currency exposures abroad. As the U.K. is not a highly-inflationary economy, we record currency translation adjustments within equity and realized exchange gains and losses on transactions in earnings. While we did not experience significant business disruptions in our U.K. businesses immediately following the referendum, the devaluation of the British pound sterling in late June adversely affected our translated results reported in U.S. dollars. We have a natural hedge in the form of pound sterling-denominated debt that acts as a net investment hedge, moving counter to adverse pound sterling currency translation impacts. British pound sterling currency transaction risks are largely mitigated due to our global chocolate businesses buying cocoa in British pound sterling. Our U.K. operations contributed $505 million, or 7.9% of consolidated net revenues in the three months and $1.6 billion, or 8.4% of consolidated net revenues in the nine months ended September 30,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Venezuela. </w:t>
      </w:r>
      <w:r>
        <w:rPr>
          <w:rFonts w:ascii="Arial" w:cs="Arial" w:eastAsia="Arial" w:hAnsi="Arial"/>
          <w:sz w:val="18"/>
          <w:szCs w:val="18"/>
          <w:color w:val="auto"/>
        </w:rPr>
        <w:t>From January 1, 2010 through December 31, 2015, we accounted for the results of our Venezuelan subsidiaries using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dollar as the functional currency as prescribed by U.S. GAAP for highly inflationary economies.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During the fourth quarter of 2015, representatives of the Venezuelan government arbitrarily imposed pricing restrictions on our local operations that resulted in our inability to recover operating costs. We immediately began an appeal process with the Venezuelan authorities to demonstrate that our pricing was in line with the regulatory requirements. In January 2016, local officials communicated that some of the pricing restrictions had been lifted; however, the legally required administrative order had not been issued and it was uncertain when it would be issued. The legal and regulatory environment also became more unreliable. While we had been complying with the Venezuelan law governing pricing and profitability controls and followed the legal process for appeal, the appeal process was not available to us as outlined under law. Additionally, we were increasingly facing issues procuring raw materials and packaging. Taken together, these actions, the economic environment in Venezuela and the progressively limited access to dollars to import goods through the use of any of the available currency mechanisms impaired our ability to operate and control our Venezuelan businesses. As a result of these factors, we concluded that we no longer met the criteria for the consolidation of our Venezuelan subsidiaries.</w:t>
      </w:r>
    </w:p>
    <w:p>
      <w:pPr>
        <w:spacing w:after="0" w:line="20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 The fair value of our investments in our Venezuelan subsidiaries was estimated based on discounted cash flow projections of current and expected operating losses in the foreseeable future and our ability to operate the business on a sustainable basis. Our fair value estimate included U.S. dollar exchange and discount rate assumptions that reflect the inflation and economic uncertainty in Venezuela.</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Beginning in 2016, we no longer include net revenues, earnings or net assets of our Venezuelan subsidiaries within our condensed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including the changes to the currency exchange systems in March 2016, as our current situation in Venezuela may change over time and lead to consolidation at a future date.</w:t>
      </w:r>
    </w:p>
    <w:p>
      <w:pPr>
        <w:spacing w:after="0" w:line="20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We recorded no revenues, earnings or other financial results from our Venezuelan subsidiaries during the three and nine months ended September 30, 2016, and we continue to monitor the business, economic and regulatory climate in Venezuela. For the three and nine months ended September 30, 2015, the operating results of our Venezuelan operations were included in our condensed consolidated statements of earnings. During the first quarter of 2015, we recognized an $11 million currency-related remeasurement loss resulting from a devaluation of the Venezuela bolivar exchange rate we historically used to source U.S. dollars for purchases of imported raw materials, packaging and other goods and services.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The following table sets forth net revenues and operating income (including the impact of remeasurement losses) for our Venezuelan operations for the three and nine months ended September 30, 2015:</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Venezuela operations</w:t>
            </w:r>
          </w:p>
        </w:tc>
        <w:tc>
          <w:tcPr>
            <w:tcW w:w="3340" w:type="dxa"/>
            <w:vAlign w:val="bottom"/>
          </w:tcPr>
          <w:p>
            <w:pPr>
              <w:spacing w:after="0"/>
              <w:rPr>
                <w:sz w:val="16"/>
                <w:szCs w:val="16"/>
                <w:color w:val="auto"/>
              </w:rPr>
            </w:pP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 September 30, 2015</w:t>
            </w:r>
          </w:p>
        </w:tc>
      </w:tr>
      <w:tr>
        <w:trPr>
          <w:trHeight w:val="190"/>
        </w:trPr>
        <w:tc>
          <w:tcPr>
            <w:tcW w:w="20" w:type="dxa"/>
            <w:vAlign w:val="bottom"/>
          </w:tcPr>
          <w:p>
            <w:pPr>
              <w:spacing w:after="0"/>
              <w:rPr>
                <w:sz w:val="16"/>
                <w:szCs w:val="16"/>
                <w:color w:val="auto"/>
              </w:rPr>
            </w:pPr>
          </w:p>
        </w:tc>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revenues</w:t>
            </w:r>
          </w:p>
        </w:tc>
        <w:tc>
          <w:tcPr>
            <w:tcW w:w="334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$315 million or 4.6% of consolidated net revenues</w:t>
            </w: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Operating income</w:t>
            </w:r>
          </w:p>
        </w:tc>
        <w:tc>
          <w:tcPr>
            <w:tcW w:w="3340" w:type="dxa"/>
            <w:vAlign w:val="bottom"/>
          </w:tcPr>
          <w:p>
            <w:pPr>
              <w:spacing w:after="0"/>
              <w:rPr>
                <w:sz w:val="18"/>
                <w:szCs w:val="18"/>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9"/>
              </w:rPr>
              <w:t>$73 million or 0.9% of consolidated operating income</w:t>
            </w:r>
          </w:p>
        </w:tc>
      </w:tr>
      <w:tr>
        <w:trPr>
          <w:trHeight w:val="377"/>
        </w:trPr>
        <w:tc>
          <w:tcPr>
            <w:tcW w:w="20" w:type="dxa"/>
            <w:vAlign w:val="bottom"/>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Nine Months Ended September 30, 2015</w:t>
            </w:r>
          </w:p>
        </w:tc>
      </w:tr>
      <w:tr>
        <w:trPr>
          <w:trHeight w:val="196"/>
        </w:trPr>
        <w:tc>
          <w:tcPr>
            <w:tcW w:w="20" w:type="dxa"/>
            <w:vAlign w:val="bottom"/>
          </w:tcPr>
          <w:p>
            <w:pPr>
              <w:spacing w:after="0"/>
              <w:rPr>
                <w:sz w:val="17"/>
                <w:szCs w:val="17"/>
                <w:color w:val="auto"/>
              </w:rPr>
            </w:pPr>
          </w:p>
        </w:tc>
        <w:tc>
          <w:tcPr>
            <w:tcW w:w="1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340" w:type="dxa"/>
            <w:vAlign w:val="bottom"/>
            <w:shd w:val="clear" w:color="auto" w:fill="CCEEFF"/>
          </w:tcPr>
          <w:p>
            <w:pPr>
              <w:spacing w:after="0"/>
              <w:rPr>
                <w:sz w:val="17"/>
                <w:szCs w:val="17"/>
                <w:color w:val="auto"/>
              </w:rPr>
            </w:pPr>
          </w:p>
        </w:tc>
        <w:tc>
          <w:tcPr>
            <w:tcW w:w="43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$834 million or 3.7% of consolidated net revenues</w:t>
            </w: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Operating income</w:t>
            </w:r>
          </w:p>
        </w:tc>
        <w:tc>
          <w:tcPr>
            <w:tcW w:w="7660" w:type="dxa"/>
            <w:vAlign w:val="bottom"/>
            <w:gridSpan w:val="2"/>
          </w:tcPr>
          <w:p>
            <w:pPr>
              <w:jc w:val="center"/>
              <w:ind w:left="3250"/>
              <w:spacing w:after="0"/>
              <w:rPr>
                <w:sz w:val="20"/>
                <w:szCs w:val="20"/>
                <w:color w:val="auto"/>
              </w:rPr>
            </w:pPr>
            <w:r>
              <w:rPr>
                <w:rFonts w:ascii="Arial" w:cs="Arial" w:eastAsia="Arial" w:hAnsi="Arial"/>
                <w:sz w:val="18"/>
                <w:szCs w:val="18"/>
                <w:color w:val="auto"/>
                <w:w w:val="99"/>
              </w:rPr>
              <w:t>$188 million or 2.0% of consolidated operating income</w:t>
            </w:r>
          </w:p>
        </w:tc>
      </w:tr>
    </w:tbl>
    <w:p>
      <w:pPr>
        <w:spacing w:after="0" w:line="18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On December 16, 2015, the new Argentinean government fiscal authority announced the lifting of strict currency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reduced restrictions on exports and imports. The next day, the value of the Argentinean peso relative to the U.S. dollar fell by 36%. In the first nine months of 2016, the value of the Argentinean peso relative to the U.S. dollar declined 18%. Further volatility in the exchange rate is expected. While the business operating environment remains challenging, we continue to monitor and actively manage our investment and exposures in Argentina. We continue executing our hedging programs and refining our product portfolio to improve our product offerings, mix and profitability. We also continue to implement additional cost initiatives to protect the business. While further currency declines could have an adverse impact on our ongoing results of operations, we believe the actions by the new government to reduce economic controls and business restrictions will provide favorable opportunities for our Argentinean subsidiaries. Our Argentinean operations contributed $145 million, or 2.3% of consolidated net revenues in the three months and $439 million, or 2.3% of consolidated net revenues in the nine months ended September 30, 2016. As of September 30, 2016, the net monetary liabilities of our Argentina operations were not material. Argentina is not designated as a highly-inflationary economy for accounting purposes, so we record currency translation adjustments within equity and realized exchange gains and losses on transactions in earnings.</w:t>
      </w:r>
    </w:p>
    <w:p>
      <w:pPr>
        <w:spacing w:after="0" w:line="184"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have operations in over 80 countries and sell in 165 countries, we regularly monitor economic and currency-related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risks and seek to take protective measures in response to these exposures. Some of the countries in which we do business have recently experienced periods of significant economic uncertainty. These include Brazil, China, Mexico, Russia, Turkey, Egypt, Nigeria and Ukraine, most of which have had either currency devaluation or volatility in exchange rates. We continue to monitor operations, currencies and net monetary exposures in these countries. At this time, we do not anticipate any risk to our operating results from changing to highly inflationary accounting in these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$820 million. Under the program, we may sell eligible short-term trade receivables to the bank in exchange for cash. We then continue to collect the receivables sold, acting solely as a collecting agent on behalf of the bank. We also enter into arrangements with customers to achieve earlier collection of receivables. The incremental cost of factoring receivables for all regions was $ 2 million in the three months and $6 million in the nine months ended September 30, 2016 and $1 million in the three months and $4 million in the nine months ended September 30, 2015 and was recorded in net revenue. The outstanding principal amount of receivables under these arrangements amounted to $589 million as of September 30, 2016 and $401 million as of September 30,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Calendar Change:</w:t>
      </w:r>
    </w:p>
    <w:p>
      <w:pPr>
        <w:spacing w:after="0" w:line="1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connection with moving toward a common consolidation date across the Company, in the first quarter of 2015, we changed the consolidation date for our North America segment from the last Saturday of each period to the last calendar day of each period. The change had a favorable impact of $19 million on net revenues and $9 million on operating income in the three months and $57 million on net revenues and $27 million on operating income in the nine months ended September 30, 2015. As a result of this change, each of our operating subsidiaries now reports results as of the last calendar day of the period.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August 2016, the Financial Accounting Standards Board (“FASB”) issued an Accounting Standards Update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are currently assessing the impact on our condensed consolidated financial statements.</w:t>
      </w:r>
    </w:p>
    <w:p>
      <w:pPr>
        <w:spacing w:after="0" w:line="20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March 2016, the FASB issued an ASU to simplify the accounting for stock-based compensation. The ASU addresses several areas of accounting for share-based payment transactions, including the income tax consequences, classification of awards as either equity or liabilities and cash flow statement presentation. The ASU is effective for fiscal years beginning after December 15, 2016, with early adoption permitted. We are currently assessing the impact on our condensed consolidated financial statements. We anticipate the impact of adopting the standard on January 1, 2017 will be greater volatility in our condensed consolidated income statement in subsequent reporting periods. We will begin recording certain stock-based compensation tax impacts in our provision for income taxes prospectively which, under current guidance, are recorded directly to equity.</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March 2016, the FASB issued an ASU that simplifies the transition accounting for increases in investments that require a change from the cost basis to the equity method of accounting. U.S. GAAP currently requires the impact of such changes in accounting method to be retroactively applied to all prior periods that the investment was held. Under the new standard, adjustments to the investor’s basis in the investment should be recorded on the date the investment becomes qualified for equity method accounting. The equity method of accounting is then applied prospectively from that date. The ASU is effective for fiscal years beginning after December 15, 2016, with early adoption permitted. This ASU is not expected to have a significant impact on our condensed consolidated financial statements. We plan to adopt when the ASU becomes effective or earlier if an in-scope transaction arises.</w:t>
      </w:r>
    </w:p>
    <w:p>
      <w:pPr>
        <w:spacing w:after="0" w:line="203"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March 2016, the FASB issued an ASU that clarifies whether contingent put and call options meet the “clearly and closely related” criteria in connection with accounting for embedded derivatives. U.S GAAP requires that embedded derivatives be separated from the host contract and accounted for separately as derivatives if certain criteria are met. The criteria include determining that the economic characteristics and risks of the embedded derivatives are not “clearly and closely related” to those of the host contract. The ASU is effective for fiscal years beginning after December 15, 2016, with early adoption permitted. We plan to adopt the new standard as of December 31, 2016 and do not expect this ASU to have a significant impact on our condensed consolidated financial statements.</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March 2016, the FASB issued an ASU that applies when there is a contract novation to a new counterparty for a derivative designated as an accounting hedge. The ASU clarifies that such a change in counterparty does not, in and of itself, require de-designation of the hedging relationship, provided that all other hedge accounting criteria continue to be met. The ASU is effective for fiscal years beginning after December 15, 2016, with early adoption permitted. We plan to adopt the new standard as of December 31, 2016 and do not expect this ASU to have a significant impact on our condensed consolidated financial statements.</w:t>
      </w:r>
    </w:p>
    <w:p>
      <w:pPr>
        <w:spacing w:after="0" w:line="20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condensed consolidated statement of earnings, lessees will classify leases as either operating (resulting in straight-line expense) or financing (resulting in a front-loaded expense pattern). The ASU is effective for fiscal years beginning after December 15, 2018, with early adoption permitted. We are currently assessing the impact across our operations and on our condensed consolidated financial statements.</w:t>
      </w:r>
    </w:p>
    <w:p>
      <w:pPr>
        <w:spacing w:after="0" w:line="20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This ASU is not expected to have a significant impact on our condensed consolidated financial statements.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new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the FASB issued several ASUs that clarified principal versus agent (gross versus net) revenue presentation considerations, confirmed certain prepaid stored-value products should be accounted for under the new revenue recognition ASU and not under other U.S. GAAP and clarified the guidance for identifying performance obligations within a contract and the accounting for licenses. The FASB also issued an ASU providing narrow scope exceptions and practical expedients to clarify and improve the implementation of the new revenue recognition guidance. Early adoption is permitted as of the original effective date which was for annual reporting periods beginning after December 15, 2016. The ASU may be applied retrospectively to historical periods presented or as a cumulative-effect adjustment as of the date of adoption. We continue to make progress on our efforts to assess the impact of the ASU across our operations and on our condensed consolidated financial statements. We anticipate adopting the new standard on January 1, 2018 on a full retrospective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JDE. Following the exchange of a portion of our investment in JDE for an interest in Keurig in March 2016, we held a 26.5% equity interest in JDE. The remaining 73.5% equity interest in JDE was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As of September 30, 2016, we hold a 26.4% equity interest in JDE following the transactions discussed under </w:t>
      </w:r>
      <w:r>
        <w:rPr>
          <w:rFonts w:ascii="Arial" w:cs="Arial" w:eastAsia="Arial" w:hAnsi="Arial"/>
          <w:sz w:val="18"/>
          <w:szCs w:val="18"/>
          <w:i w:val="1"/>
          <w:iCs w:val="1"/>
          <w:color w:val="auto"/>
        </w:rPr>
        <w:t>JDE Stock-Based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w:t>
      </w:r>
      <w:r>
        <w:rPr>
          <w:rFonts w:ascii="Arial" w:cs="Arial" w:eastAsia="Arial" w:hAnsi="Arial"/>
          <w:sz w:val="18"/>
          <w:szCs w:val="18"/>
          <w:color w:val="auto"/>
        </w:rPr>
        <w:t>below.</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(prior to the decrease in ownership due to the Keurig transaction and the compensation arrangements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that we retained our interest in a Korea-based joint venture, DSF. During the second quarter of 2015, we also completed the sale of our interest in a Japanese coffee joint venture, Ajinomoto General Foods, Inc. (“AGF”). In lieu of contributing our interest in the AGF joint venture to JDE, we contributed the net cash proceeds from this sale as part of the overall JDE coffee business transactions. Please see discussion of the divestiture of AGF below under </w:t>
      </w: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 $6.6 billion after taxes) in 2015 after final adjustments as described below.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$ 313 million reduction in the pre-tax gain on the coffee transaction, reducing the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9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gains of $29 million in the three months and $436 million in the nine months ended September 30, 2015 within interest and other expense, net.</w:t>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also incurred incremental expenses related to readying our global coffee businesses for the transactions that totaled $54 million in the three months and $239 million in the nine months ended September 30, 2015. These expenses were recorded within selling, general and administrative expenses of primarily our Europe segment, as well as within our Eastern Europe, Middle East and Africa (“EEMEA”) segment and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Capital Increase:</w:t>
      </w:r>
    </w:p>
    <w:p>
      <w:pPr>
        <w:spacing w:after="0" w:line="1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On December 18, 2015, AHBV and we agreed to provide JDE additional capital to pay down some of its debt with lenders. Our pro rata share of the capital increase was €499 million ($544 million as of December 18, 2015) and was made in return for a pro rata number of additional shares in JDE such that our ownership in JDE did not change following the capital increase. To fund our share of the capital increase, we contributed €460 million ($501 million) of JDE receivables and made a €39 million ($43 million) cash payment.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close of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JDE employees. Under these arrangements, dilution of the JDE shares is limited to 2%. Upon execution of the agreements and the creation of the Class C, D and E JDE shares, as a percentage of the total JDE issued shares, our Class B shares changed from 26.5% to 26.4% and AHBV’s Class A shares changed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 As of September 30, 2016, our ownership interest in JDE was 26.4%.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tax expense of €114 million ($128 million as of September 30, 2016). As a result, our earnings in the third quarter of 2016 were negatively affected by €30 million ($34 million as of September 30,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September 30, 2016. The shareholder loan has a 5.5% interest rate and is payable at the end of a seven-year term on February 27, 2023. We recorded equity earnings of $10 million for the three months and $39 million for the seven months ended September 30, 2016 and interest income from the shareholder loan of $ 6 million for the three months and $14 million for the seven months ended September 30, 2016 within equity method earnings. Additionally, we received $2 million in the three months ended and $4 million in the seven months ended September 30, 2016 of dividends on our investment in Keurig. We continue to account for our investments in JDE and Keurig under the equity method and recognize our share of their earnings within equity method investment earnings and our share of their dividends within our cash flows. As of September 30, 2016, Keurig is working to finalize the acquisition purchase price allocation.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Coffee Business Equity Earnings:</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have reflected the results of our historical coffee businesses and equity earnings from JDE, Keurig and DSF in our results from continuing operations as the coffee category continues to be a significant part of our net earnings and business strategy going forward. Historically, our coffee businesses and the income from equity method investments were recorded within our operating income as these businesses were part of our base business. While we retain an ongoing interest in coffee through equity method investments including JDE, Keurig and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For periods prior to the third quarter of 2015, our historical coffee business and equity method investment earnings were included within our operating income.</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equity method investment earnings and interest income contributed by our coffee investments included losses of $3 million from JDE, earnings of $16 million from Keurig and $11 million from DSF for the three months and earnings of $89 million from JDE, $ 53 million from Keurig (since March 7, 2016) and $56 million from DSF for the nine months ended September 30, 2016. For the three and nine months ended September 30, 2015, the equity method investment losses contributed by our coffee investments included $105 million from JDE and the equity method investment earnings contributed by our coffee investments included $20 million from DSF. For the nine months ended September 30, 2015, after-tax earnings were $296 million for the coffee businesses we contributed to JDE on July 2, 2015 and $40 million for DSF.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r>
        <w:rPr>
          <w:rFonts w:ascii="Arial" w:cs="Arial" w:eastAsia="Arial" w:hAnsi="Arial"/>
          <w:sz w:val="18"/>
          <w:szCs w:val="18"/>
          <w:color w:val="auto"/>
        </w:rPr>
        <w:t>:</w:t>
      </w:r>
    </w:p>
    <w:p>
      <w:pPr>
        <w:spacing w:after="0" w:line="14" w:lineRule="exact"/>
        <w:rPr>
          <w:sz w:val="20"/>
          <w:szCs w:val="20"/>
          <w:color w:val="auto"/>
        </w:rPr>
      </w:pPr>
    </w:p>
    <w:p>
      <w:pPr>
        <w:ind w:right="740"/>
        <w:spacing w:after="0" w:line="234" w:lineRule="auto"/>
        <w:rPr>
          <w:sz w:val="20"/>
          <w:szCs w:val="20"/>
          <w:color w:val="auto"/>
        </w:rPr>
      </w:pPr>
      <w:r>
        <w:rPr>
          <w:rFonts w:ascii="Arial" w:cs="Arial" w:eastAsia="Arial" w:hAnsi="Arial"/>
          <w:sz w:val="18"/>
          <w:szCs w:val="18"/>
          <w:color w:val="auto"/>
        </w:rPr>
        <w:t>During the nine months ended September 30, 2016, we entered into the following transactions that as of September 30, 2016, met the qualifications of held for sale accounting. These transactions included pending sales of:</w:t>
      </w:r>
    </w:p>
    <w:p>
      <w:pPr>
        <w:spacing w:after="0" w:line="2" w:lineRule="exact"/>
        <w:rPr>
          <w:sz w:val="20"/>
          <w:szCs w:val="20"/>
          <w:color w:val="auto"/>
        </w:rPr>
      </w:pPr>
    </w:p>
    <w:p>
      <w:pPr>
        <w:ind w:left="900" w:hanging="325"/>
        <w:spacing w:after="0" w:line="23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Several manufacturing facilities in France and sale or license of several local confectionery brands. On March 31, 2016, we received a binding offer totaling €176 million ($198 million as of September 30, 2016). Taking into account agreed upon sales price adjustments related to cash, employee-related liabilities and working capital to be transferred at closing, we currently estimate a sales price of €220 million ($247 million as of September 30, 2016) based on net book values as of September 30, 2016. The final sales price is subject to change as working capital and other account balances may change at the time of closing. The transactions are subject to E.U. and local regulatory approvals, completion of employee consultation requirements and additional steps to prepare the assets for transfer. Prior to closing, together with the buyer, we will undertake consultations with all Works Councils and employee representatives required in connection with the transactions. During the third quarter, we made progress on the pre-closing sale conditions. On March 31, 2016, we recorded a $14 million impairment charge for a gum &amp; candy trademark as a portion of its carrying value would not be recoverable based on future cash flows expected under a planned license agreement with the buyer. In May 2016, we recorded an additional $5 million impairment charge for another candy trademark to reduce the overall net assets to the estimated net sales proceeds after transaction costs. Additionally, in the nine months ended September 30, 2016, we incurred and accrued $84 million of incremental expenses to ready the business for the sale transactions expected to close in 2017. We recorded these costs within cost of sales and selling, general and administrative expenses of our Europe segment.</w:t>
      </w:r>
    </w:p>
    <w:p>
      <w:pPr>
        <w:spacing w:after="0" w:line="1" w:lineRule="exact"/>
        <w:rPr>
          <w:rFonts w:ascii="Arial" w:cs="Arial" w:eastAsia="Arial" w:hAnsi="Arial"/>
          <w:sz w:val="18"/>
          <w:szCs w:val="18"/>
          <w:color w:val="auto"/>
        </w:rPr>
      </w:pPr>
    </w:p>
    <w:p>
      <w:pPr>
        <w:ind w:left="900" w:right="80" w:hanging="325"/>
        <w:spacing w:after="0" w:line="24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chocolate factory in Belgium. We entered into this transaction in the third quarter of 2016 and expect the transaction to close in the fourth quarter of 2016. In connection with this transaction, we incurred and accrued €29 million ($33 million as of September 30, 2016) of incremental expenses related to selling the factory within cost of goods sold and selling, general and administrative expense and we recorded a €30 million ($34 million as of September 30, 2016) fixed asset impairment charge within asset impairments and exit costs.</w:t>
      </w:r>
    </w:p>
    <w:p>
      <w:pPr>
        <w:ind w:left="900" w:right="24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confectionery business in Costa Rica. We entered into this transaction in the third quarter of 2016 and expect the transaction to close in the fourth quarter of 2016.</w:t>
      </w:r>
    </w:p>
    <w:p>
      <w:pPr>
        <w:spacing w:after="0" w:line="1" w:lineRule="exact"/>
        <w:rPr>
          <w:rFonts w:ascii="Arial" w:cs="Arial" w:eastAsia="Arial" w:hAnsi="Arial"/>
          <w:sz w:val="18"/>
          <w:szCs w:val="18"/>
          <w:color w:val="auto"/>
        </w:rPr>
      </w:pPr>
    </w:p>
    <w:p>
      <w:pPr>
        <w:ind w:left="900" w:right="8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manufacturing plant in Russia. During the third quarter of 2016, we recorded a related fixed asset impairment charge of $4 million within asset impairments and exit costs.</w:t>
      </w:r>
    </w:p>
    <w:p>
      <w:pPr>
        <w:spacing w:after="0" w:line="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September 30, 2016, the total held for sale assets and liabilities consisted of $139 million of current assets, $243 million of non-current assets, $39 million of current liabilities and $34 million of non-current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2016, we also completed the following asset sales:</w:t>
      </w:r>
    </w:p>
    <w:p>
      <w:pPr>
        <w:ind w:left="900" w:right="340" w:hanging="325"/>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August 26, 2016, we recorded a $7 million gain for the sale of a U.S.-owned biscuit trademark. The gain was recorded within selling, general and administrative expenses in the three and nine months ended September 30, 2016.</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line="243"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May 2, 2016, we completed the sale of certain local biscuit brands in Finland as part of our strategic decisions to exit select small and local brands and shift investment towards our Power Brands. The sales price was €14 million ($16 million as of May 2, 2016) and we recorded a pre-tax gain of $6 million ($5 million after-tax) within selling, general and administrative expenses of our Europe segment in the nine months ended September 30, 2016. We divested $8 million of indefinite lived intangible assets and less than $1 million of other assets. We received cash proceeds of €12 million ($14 million as of May 2, 2016) upon closing and expect to receive the remaining consideration in the fourth quarter of 2016 upon the completion of post-closing conditions.</w:t>
      </w:r>
    </w:p>
    <w:p>
      <w:pPr>
        <w:spacing w:after="0" w:line="20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On August 12, 2016, we announced an agreement to purchase from Burton’s Biscuit Company the license that enables us to manufacture, market and sell Cadbury-branded biscuits around the world, including in the U.K., France, Ireland, North America and Saudi Arabia. The transaction remains subject to regulatory approval. We expect that this transaction will close in the fourth quarter of 2016.</w:t>
      </w:r>
    </w:p>
    <w:p>
      <w:pPr>
        <w:spacing w:after="0" w:line="20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During the third quarter of 2016, we completed the acquisition of a Vietnamese biscuit operation within our Asia Pacific segment. On July 15, 2015, we acquired an 80% interest in the biscuit operation and on August 22, 2016, we acquired the remaining 20% interest. Total cash paid for the biscuit operation, intellectual property, non-compete and consulting agreements less purchase price adjustments was 12,404 billion Vietnamese dong ($569 million using applicable exchange rates on July 15, 2015, November 27, 2015 and August 22, 2016). We have made and received the following cash payments in connection with the acquisition:</w:t>
      </w: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10, 2014, we deposited $46 million in escrow upon signing the purchase agreement.</w:t>
      </w:r>
    </w:p>
    <w:p>
      <w:pPr>
        <w:ind w:left="900" w:right="1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15, 2015, we made a 9,122 billion Vietnamese dong ($418 million as of July 15, 2015) payment for the biscuit operation, a $44 million additional escrow deposit and a 759 billion Vietnamese dong ($35 million as of July 15, 2015) partial payment for the non-compete and continued consulting agreements.</w:t>
      </w:r>
    </w:p>
    <w:p>
      <w:pPr>
        <w:spacing w:after="0" w:line="2" w:lineRule="exact"/>
        <w:rPr>
          <w:rFonts w:ascii="Arial" w:cs="Arial" w:eastAsia="Arial" w:hAnsi="Arial"/>
          <w:sz w:val="18"/>
          <w:szCs w:val="18"/>
          <w:color w:val="auto"/>
        </w:rPr>
      </w:pPr>
    </w:p>
    <w:p>
      <w:pPr>
        <w:ind w:left="900" w:right="66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27, 2015, we received 197 billion Vietnamese dong ($9 million as of November 27, 2015) as a purchase price adjustment related to working capital adjustments at closing.</w:t>
      </w:r>
    </w:p>
    <w:p>
      <w:pPr>
        <w:spacing w:after="0" w:line="1" w:lineRule="exact"/>
        <w:rPr>
          <w:rFonts w:ascii="Arial" w:cs="Arial" w:eastAsia="Arial" w:hAnsi="Arial"/>
          <w:sz w:val="18"/>
          <w:szCs w:val="18"/>
          <w:color w:val="auto"/>
        </w:rPr>
      </w:pPr>
    </w:p>
    <w:p>
      <w:pPr>
        <w:ind w:left="9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22, 2016, in connection with acquiring the remaining 20% interest in the biscuit operation, we released escrowed funds</w:t>
      </w:r>
    </w:p>
    <w:p>
      <w:pPr>
        <w:spacing w:after="0" w:line="1" w:lineRule="exact"/>
        <w:rPr>
          <w:sz w:val="20"/>
          <w:szCs w:val="20"/>
          <w:color w:val="auto"/>
        </w:rPr>
      </w:pPr>
    </w:p>
    <w:p>
      <w:pPr>
        <w:ind w:left="900" w:right="20"/>
        <w:spacing w:after="0" w:line="234" w:lineRule="auto"/>
        <w:rPr>
          <w:sz w:val="20"/>
          <w:szCs w:val="20"/>
          <w:color w:val="auto"/>
        </w:rPr>
      </w:pPr>
      <w:r>
        <w:rPr>
          <w:rFonts w:ascii="Arial" w:cs="Arial" w:eastAsia="Arial" w:hAnsi="Arial"/>
          <w:sz w:val="18"/>
          <w:szCs w:val="18"/>
          <w:color w:val="auto"/>
        </w:rPr>
        <w:t>of $70 million and retained an agreed $20 million related to two outstanding acquisition-related matters that are expected to be resolved in the upcoming year. We also made a final payment of 759 billion Vietnamese dong ($35 million as of August 22, 2016) for the non-compete and consulting agreements.</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of September 30, 2016, we have recorded a final allocation of the consideration paid including $10 million to inventory, $49 million to property, plant and equipment, $86 million of intangible assets, $385 million of goodwill and $31 million to other net liabilities. The allocation of the fair values had an immaterial impact on operating results in periods following the initial July 15, 2015 closing date. We recorded the non-compete and consulting agreements as prepaid contracts within other current and non-current assets and they are amortized into net earnings over the contract terms. For the nine months ended September 30, 2016, the acquisition added $71 million in incremental net revenues and $5 million in incremental operating income. For the three and nine months ended September 30, 2015, the acquisition added $70 million in incremental revenues and $16 million in incremental operating income. Within selling, general and administrative expenses, we recorded integration costs of $6 million for the nine months ended September 30, 2016 and $4 million for the three months and $5 million for the nine months ended September 30, 2015. We also recorded acquisition costs of $6 million for the three months and $7 million for the nine months ended September 30, 2015.</w:t>
      </w:r>
    </w:p>
    <w:p>
      <w:pPr>
        <w:spacing w:after="0" w:line="20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On April 23, 2015, we completed the divestiture of our 50% equity interest in AGF, our Japanese coffee joint venture, to our joint venture partner, which generated cash proceeds of 27 billion Japanese yen ($ 225 million as of April 23, 2015) and a pre-tax gain of $13 million (after-tax loss of $9 million) in the second quarter of 2015. Upon closing, we divested our $99 million investment in the joint venture, $65 million of goodwill and $41 million of accumulated other comprehensive losses. We also incurred approximately $7 million of transaction costs. The operating results of the divestiture were not material to our condensed consolidated financial statements for the three and nine months ended September 30, 2015.</w:t>
      </w:r>
    </w:p>
    <w:p>
      <w:pPr>
        <w:spacing w:after="0" w:line="20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February 16, 2015, we acquired a U.S. snack food company, Enjoy Life Foods, within our North America segment. We paid cash and settled debt totaling $81 million in connection with the acquisition. Upon finalizing the valuation of the acquired net assets during the second quarter of 2015, we recorded an $ 81 million purchase price allocation of $ 58 million in identifiable intangible assets, $20 million of goodwill and $3 million of other net assets. The acquisition-related costs and operating results of the acquisition were not material to our condensed consolidated financial statements for the three and nine months ended September 30, 2016 and 2015.</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the nine months ended September 30, 2016, we sold property within our North America segment and from our centrally held corporate assets. In the third quarter, we sold property in North America that generated cash proceeds of $10 million and a pre-tax gain of $6 million and we sold a corporate aircraft hangar that generated cash proceeds of $3 million and a pre-tax gain of $1 million. In the second quarter of 2016, we also sold separate property in North America that generated cash proceeds of $ 40 million and a pre-tax gain of $33 million and we sold a corporate aircraft that generated cash proceeds of $20 million and a pre-tax gain of $6 million. The gains were recorded within selling, general and administrative expenses and cash proceeds were recorded in cash flows from other investing activities in the nine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819</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2,063</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115"/>
        </w:trPr>
        <w:tc>
          <w:tcPr>
            <w:tcW w:w="75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2,882</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2,776</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52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7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502</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2,872</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10,411</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1,383</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15,168</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(6,703)</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8,465</w:t>
            </w:r>
          </w:p>
        </w:tc>
        <w:tc>
          <w:tcPr>
            <w:tcW w:w="1280" w:type="dxa"/>
            <w:vAlign w:val="bottom"/>
            <w:gridSpan w:val="2"/>
            <w:shd w:val="clear" w:color="auto" w:fill="CCEEFF"/>
          </w:tcPr>
          <w:p>
            <w:pPr>
              <w:ind w:left="9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Capital expenditures of $909 million for the nine months ended September 30, 2016 exclude $274 million of accrued capital expenditures remaining unpaid at September 30, 2016 and include payment for $322 million of capital expenditures that were accrued and unpaid at December 31, 2015.</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In connection with our restructuring program, we recorded non-cash asset write-downs (including accelerated depreciation and asset impairments) of $120 million in the three months and $233 million in the nine months ended September 30, 2016 and $56 million in the three months and $191 million in the nine months ended September 30, 2015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 impairment and exit costs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3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184"/>
        </w:trPr>
        <w:tc>
          <w:tcPr>
            <w:tcW w:w="5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680" w:type="dxa"/>
            <w:vAlign w:val="bottom"/>
            <w:shd w:val="clear" w:color="auto" w:fill="CCEEFF"/>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680" w:type="dxa"/>
            <w:vAlign w:val="bottom"/>
          </w:tcPr>
          <w:p>
            <w:pPr>
              <w:spacing w:after="0"/>
              <w:rPr>
                <w:sz w:val="17"/>
                <w:szCs w:val="17"/>
                <w:color w:val="auto"/>
              </w:rPr>
            </w:pPr>
          </w:p>
        </w:tc>
        <w:tc>
          <w:tcPr>
            <w:tcW w:w="9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w:t>
            </w:r>
          </w:p>
        </w:tc>
        <w:tc>
          <w:tcPr>
            <w:tcW w:w="740" w:type="dxa"/>
            <w:vAlign w:val="bottom"/>
          </w:tcPr>
          <w:p>
            <w:pPr>
              <w:spacing w:after="0"/>
              <w:rPr>
                <w:sz w:val="17"/>
                <w:szCs w:val="17"/>
                <w:color w:val="auto"/>
              </w:rPr>
            </w:pPr>
          </w:p>
        </w:tc>
        <w:tc>
          <w:tcPr>
            <w:tcW w:w="6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680" w:type="dxa"/>
            <w:vAlign w:val="bottom"/>
          </w:tcPr>
          <w:p>
            <w:pPr>
              <w:spacing w:after="0"/>
              <w:rPr>
                <w:sz w:val="17"/>
                <w:szCs w:val="17"/>
                <w:color w:val="auto"/>
              </w:rPr>
            </w:pPr>
          </w:p>
        </w:tc>
        <w:tc>
          <w:tcPr>
            <w:tcW w:w="9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42</w:t>
            </w:r>
          </w:p>
        </w:tc>
        <w:tc>
          <w:tcPr>
            <w:tcW w:w="740" w:type="dxa"/>
            <w:vAlign w:val="bottom"/>
          </w:tcPr>
          <w:p>
            <w:pPr>
              <w:spacing w:after="0"/>
              <w:rPr>
                <w:sz w:val="17"/>
                <w:szCs w:val="17"/>
                <w:color w:val="auto"/>
              </w:rPr>
            </w:pPr>
          </w:p>
        </w:tc>
        <w:tc>
          <w:tcPr>
            <w:tcW w:w="6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6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59</w:t>
            </w: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17"/>
                <w:szCs w:val="17"/>
                <w:color w:val="auto"/>
              </w:rPr>
            </w:pPr>
          </w:p>
        </w:tc>
        <w:tc>
          <w:tcPr>
            <w:tcW w:w="9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6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non-cash asset write-downs</w:t>
            </w:r>
          </w:p>
        </w:tc>
        <w:tc>
          <w:tcPr>
            <w:tcW w:w="680" w:type="dxa"/>
            <w:vAlign w:val="bottom"/>
            <w:shd w:val="clear" w:color="auto" w:fill="CCEEFF"/>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w w:val="99"/>
              </w:rPr>
              <w:t>120</w:t>
            </w: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56</w:t>
            </w:r>
          </w:p>
        </w:tc>
        <w:tc>
          <w:tcPr>
            <w:tcW w:w="5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233</w:t>
            </w:r>
          </w:p>
        </w:tc>
        <w:tc>
          <w:tcPr>
            <w:tcW w:w="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w:t>
            </w:r>
          </w:p>
        </w:tc>
      </w:tr>
      <w:tr>
        <w:trPr>
          <w:trHeight w:val="20"/>
        </w:trPr>
        <w:tc>
          <w:tcPr>
            <w:tcW w:w="5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Goodwill by reportable segment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96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2260" w:type="dxa"/>
            <w:vAlign w:val="bottom"/>
            <w:gridSpan w:val="2"/>
            <w:shd w:val="clear" w:color="auto" w:fill="CCEEFF"/>
          </w:tcPr>
          <w:p>
            <w:pPr>
              <w:ind w:left="19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917</w:t>
            </w:r>
          </w:p>
        </w:tc>
        <w:tc>
          <w:tcPr>
            <w:tcW w:w="126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line="202" w:lineRule="exact"/>
              <w:rPr>
                <w:sz w:val="20"/>
                <w:szCs w:val="20"/>
                <w:color w:val="auto"/>
              </w:rPr>
            </w:pPr>
            <w:r>
              <w:rPr>
                <w:rFonts w:ascii="Arial" w:cs="Arial" w:eastAsia="Arial" w:hAnsi="Arial"/>
                <w:sz w:val="18"/>
                <w:szCs w:val="18"/>
                <w:color w:val="auto"/>
              </w:rPr>
              <w:t>Asia Pacific</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2,489</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EEMEA</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1,337</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line="202" w:lineRule="exact"/>
              <w:rPr>
                <w:sz w:val="20"/>
                <w:szCs w:val="20"/>
                <w:color w:val="auto"/>
              </w:rPr>
            </w:pPr>
            <w:r>
              <w:rPr>
                <w:rFonts w:ascii="Arial" w:cs="Arial" w:eastAsia="Arial" w:hAnsi="Arial"/>
                <w:sz w:val="18"/>
                <w:szCs w:val="18"/>
                <w:color w:val="auto"/>
              </w:rPr>
              <w:t>Europe</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7,107</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North America</w:t>
            </w: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8,901</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ind w:left="540"/>
              <w:spacing w:after="0"/>
              <w:rPr>
                <w:sz w:val="20"/>
                <w:szCs w:val="20"/>
                <w:color w:val="auto"/>
              </w:rPr>
            </w:pPr>
            <w:r>
              <w:rPr>
                <w:rFonts w:ascii="Arial" w:cs="Arial" w:eastAsia="Arial" w:hAnsi="Arial"/>
                <w:sz w:val="18"/>
                <w:szCs w:val="18"/>
                <w:color w:val="auto"/>
              </w:rPr>
              <w:t>Goodwill</w:t>
            </w:r>
          </w:p>
        </w:tc>
        <w:tc>
          <w:tcPr>
            <w:tcW w:w="226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20,751</w:t>
            </w: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20,664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960" w:type="dxa"/>
            <w:vAlign w:val="bottom"/>
          </w:tcPr>
          <w:p>
            <w:pPr>
              <w:spacing w:after="0"/>
              <w:rPr>
                <w:sz w:val="24"/>
                <w:szCs w:val="2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2260" w:type="dxa"/>
            <w:vAlign w:val="bottom"/>
            <w:gridSpan w:val="2"/>
            <w:shd w:val="clear" w:color="auto" w:fill="CCEEFF"/>
          </w:tcPr>
          <w:p>
            <w:pPr>
              <w:ind w:left="19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17,603</w:t>
            </w:r>
          </w:p>
        </w:tc>
        <w:tc>
          <w:tcPr>
            <w:tcW w:w="126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2,340</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115"/>
        </w:trPr>
        <w:tc>
          <w:tcPr>
            <w:tcW w:w="54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19,943</w:t>
            </w: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19,847</w:t>
            </w:r>
          </w:p>
        </w:tc>
        <w:tc>
          <w:tcPr>
            <w:tcW w:w="0" w:type="dxa"/>
            <w:vAlign w:val="bottom"/>
          </w:tcPr>
          <w:p>
            <w:pPr>
              <w:spacing w:after="0"/>
              <w:rPr>
                <w:sz w:val="1"/>
                <w:szCs w:val="1"/>
                <w:color w:val="auto"/>
              </w:rPr>
            </w:pPr>
          </w:p>
        </w:tc>
      </w:tr>
      <w:tr>
        <w:trPr>
          <w:trHeight w:val="203"/>
        </w:trPr>
        <w:tc>
          <w:tcPr>
            <w:tcW w:w="542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(1,222)</w:t>
            </w: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2260" w:type="dxa"/>
            <w:vAlign w:val="bottom"/>
            <w:gridSpan w:val="2"/>
            <w:shd w:val="clear" w:color="auto" w:fill="CCEEFF"/>
          </w:tcPr>
          <w:p>
            <w:pPr>
              <w:ind w:left="19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18,721</w:t>
            </w:r>
          </w:p>
        </w:tc>
        <w:tc>
          <w:tcPr>
            <w:tcW w:w="1260" w:type="dxa"/>
            <w:vAlign w:val="bottom"/>
            <w:gridSpan w:val="2"/>
            <w:shd w:val="clear" w:color="auto" w:fill="CCEEFF"/>
          </w:tcPr>
          <w:p>
            <w:pPr>
              <w:ind w:left="96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September 30, 2016, the weighted-average life of our amortizable intangible assets was 13.6 years.</w:t>
      </w:r>
    </w:p>
    <w:p>
      <w:pPr>
        <w:spacing w:after="0" w:line="22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Amortization expense for intangible assets was $44 million in the three months and $132 million in the nine months ended September 30, 2016 and $45 million in the three months and $137 million in the nine months ended September 30, 2015. We currently estimate annual amortization expense for each of the next five years to be approximately $185 million, estimated using September 30, 2016 exchange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Intangible</w:t>
            </w:r>
          </w:p>
        </w:tc>
      </w:tr>
      <w:tr>
        <w:trPr>
          <w:trHeight w:val="175"/>
        </w:trPr>
        <w:tc>
          <w:tcPr>
            <w:tcW w:w="5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Goodwill</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 at cost</w:t>
            </w:r>
          </w:p>
        </w:tc>
      </w:tr>
      <w:tr>
        <w:trPr>
          <w:trHeight w:val="184"/>
        </w:trPr>
        <w:tc>
          <w:tcPr>
            <w:tcW w:w="52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80"/>
        </w:trPr>
        <w:tc>
          <w:tcPr>
            <w:tcW w:w="52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r>
      <w:tr>
        <w:trPr>
          <w:trHeight w:val="203"/>
        </w:trPr>
        <w:tc>
          <w:tcPr>
            <w:tcW w:w="52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23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20,664</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19,847</w:t>
            </w:r>
          </w:p>
        </w:tc>
      </w:tr>
      <w:tr>
        <w:trPr>
          <w:trHeight w:val="203"/>
        </w:trPr>
        <w:tc>
          <w:tcPr>
            <w:tcW w:w="5220" w:type="dxa"/>
            <w:vAlign w:val="bottom"/>
          </w:tcPr>
          <w:p>
            <w:pPr>
              <w:ind w:left="540"/>
              <w:spacing w:after="0" w:line="202" w:lineRule="exact"/>
              <w:rPr>
                <w:sz w:val="20"/>
                <w:szCs w:val="20"/>
                <w:color w:val="auto"/>
              </w:rPr>
            </w:pPr>
            <w:r>
              <w:rPr>
                <w:rFonts w:ascii="Arial" w:cs="Arial" w:eastAsia="Arial" w:hAnsi="Arial"/>
                <w:sz w:val="18"/>
                <w:szCs w:val="18"/>
                <w:color w:val="auto"/>
              </w:rPr>
              <w:t>Changes due to:</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163</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5220" w:type="dxa"/>
            <w:vAlign w:val="bottom"/>
          </w:tcPr>
          <w:p>
            <w:pPr>
              <w:ind w:left="720"/>
              <w:spacing w:after="0" w:line="202" w:lineRule="exact"/>
              <w:rPr>
                <w:sz w:val="20"/>
                <w:szCs w:val="20"/>
                <w:color w:val="auto"/>
              </w:rPr>
            </w:pPr>
            <w:r>
              <w:rPr>
                <w:rFonts w:ascii="Arial" w:cs="Arial" w:eastAsia="Arial" w:hAnsi="Arial"/>
                <w:sz w:val="18"/>
                <w:szCs w:val="18"/>
                <w:color w:val="auto"/>
              </w:rPr>
              <w:t>Acquisition</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(76)</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86</w:t>
            </w:r>
          </w:p>
        </w:tc>
      </w:tr>
      <w:tr>
        <w:trPr>
          <w:trHeight w:val="203"/>
        </w:trPr>
        <w:tc>
          <w:tcPr>
            <w:tcW w:w="5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Asset impairments</w:t>
            </w:r>
          </w:p>
        </w:tc>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w:t>
            </w:r>
          </w:p>
        </w:tc>
      </w:tr>
      <w:tr>
        <w:trPr>
          <w:trHeight w:val="203"/>
        </w:trPr>
        <w:tc>
          <w:tcPr>
            <w:tcW w:w="5220" w:type="dxa"/>
            <w:vAlign w:val="bottom"/>
          </w:tcPr>
          <w:p>
            <w:pPr>
              <w:ind w:left="720"/>
              <w:spacing w:after="0" w:line="202" w:lineRule="exact"/>
              <w:rPr>
                <w:sz w:val="20"/>
                <w:szCs w:val="20"/>
                <w:color w:val="auto"/>
              </w:rPr>
            </w:pPr>
            <w:r>
              <w:rPr>
                <w:rFonts w:ascii="Arial" w:cs="Arial" w:eastAsia="Arial" w:hAnsi="Arial"/>
                <w:sz w:val="18"/>
                <w:szCs w:val="18"/>
                <w:color w:val="auto"/>
              </w:rPr>
              <w:t>Sale of business and assets</w:t>
            </w:r>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w:t>
            </w:r>
          </w:p>
        </w:tc>
      </w:tr>
      <w:tr>
        <w:trPr>
          <w:trHeight w:val="27"/>
        </w:trPr>
        <w:tc>
          <w:tcPr>
            <w:tcW w:w="5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03"/>
        </w:trPr>
        <w:tc>
          <w:tcPr>
            <w:tcW w:w="52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September 30, 2016</w:t>
            </w:r>
          </w:p>
        </w:tc>
        <w:tc>
          <w:tcPr>
            <w:tcW w:w="23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20,751</w:t>
            </w:r>
          </w:p>
        </w:tc>
        <w:tc>
          <w:tcPr>
            <w:tcW w:w="10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19,943</w:t>
            </w:r>
          </w:p>
        </w:tc>
      </w:tr>
      <w:tr>
        <w:trPr>
          <w:trHeight w:val="20"/>
        </w:trPr>
        <w:tc>
          <w:tcPr>
            <w:tcW w:w="5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20" w:hanging="325"/>
        <w:spacing w:after="0" w:line="23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Acquisition – During the first nine months of 2016, in connection with the acquisition of a biscuit operation in Vietnam, we recorded a final allocation of the consideration paid including $25 million of amortizable intangible assets and $61 million of non-amortizable intangible assets. Intangible assets acquired included trademarks and customer-related intangibles with definite and indefinite lives. A preliminary goodwill balance recorded in the third quarter of 2015 was adjusted during the first nine months of 2016 to reflect intangible asset and other asset fair valuations. See Note 2, </w:t>
      </w:r>
      <w:r>
        <w:rPr>
          <w:rFonts w:ascii="Arial" w:cs="Arial" w:eastAsia="Arial" w:hAnsi="Arial"/>
          <w:sz w:val="18"/>
          <w:szCs w:val="18"/>
          <w:i w:val="1"/>
          <w:iCs w:val="1"/>
          <w:color w:val="auto"/>
        </w:rPr>
        <w:t>Divestitures and Acquisitions – Other Divestitures and Acquisitions</w:t>
      </w:r>
      <w:r>
        <w:rPr>
          <w:rFonts w:ascii="Arial" w:cs="Arial" w:eastAsia="Arial" w:hAnsi="Arial"/>
          <w:sz w:val="18"/>
          <w:szCs w:val="18"/>
          <w:color w:val="auto"/>
        </w:rPr>
        <w:t>, for additional information.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6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Asset impairments – During the nine months ended September 30, 2016, in connection with our global supply chain reinvention initiatives, we made a determination to discontinue manufacturing a candy product that resulted in a $7 million impairment charge in our North America segment, we discontinued one biscuit product that resulted in a $4 million intangible asset impairment charge in our EEMEA segment and we recorded $19 million of impairment charges related to two gum &amp; candy trademarks in our Europe segment, both related to the planned sale of a confectionery business in France (see Note 2, </w:t>
      </w:r>
      <w:r>
        <w:rPr>
          <w:rFonts w:ascii="Arial" w:cs="Arial" w:eastAsia="Arial" w:hAnsi="Arial"/>
          <w:sz w:val="18"/>
          <w:szCs w:val="18"/>
          <w:i w:val="1"/>
          <w:iCs w:val="1"/>
          <w:color w:val="auto"/>
        </w:rPr>
        <w:t>Divestitures and Acquisitions – Other</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4" w:lineRule="exact"/>
        <w:rPr>
          <w:rFonts w:ascii="Arial" w:cs="Arial" w:eastAsia="Arial" w:hAnsi="Arial"/>
          <w:sz w:val="18"/>
          <w:szCs w:val="18"/>
          <w:color w:val="auto"/>
        </w:rPr>
      </w:pPr>
    </w:p>
    <w:p>
      <w:pPr>
        <w:ind w:left="900" w:right="580" w:hanging="325"/>
        <w:spacing w:after="0" w:line="24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Sale of business and assets – During the first nine months of 2016, we sold $8 million of non-amortizable intangible assets in Finland.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our 2015 annual testing of non-amortizable intangible assets, we recorded $71 million of impairment charges in the three months ended December 31, 2015 related to four trademarks in Asia Pacific, Europe and Latin America. We also noted seven brands, including the four impaired trademarks, with $598 million of aggregate book value as of December 31, 2015 that each had a fair value in excess of book value of 10% or less. While these intangible assets passed our annual impairment testing and we believe our current plans for each of these brands will allow them to continue to not be impaired, if expectations are not met or specific valuation factors outside of our control, such as discount rates, change significantly, then a brand or brands could become impaired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May 6, 2014, our Board of Directors approved a $3.5 billion restructuring program, comprised of approximately $2.5 billion in cash costs and $1 billion in non-cash costs (the “2014-2018 Restructuring Program”), and up to $2.2 billion of capital expenditures. On August 31, 2016, our Board of Directors approved a reallocation within the program of $600 million of previously approved capital expenditures to be spent on restructuring program cash costs, resulting in $3.1 billion of cash costs to be expensed and up to $1.6 billion of capital expenditures. There was no change to the total $5.7 billion of total program costs and no change to the total $4.7 billion of cash outlays.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$2.1 billion related to the 2014-2018 Restructuring Program. We have incurred the majority of the program’s charges through the third quarter of 2016 and we expect to complete the program by year-end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recorded restructuring charges of $187 million in the three months and $480 million in the nine months ended September 30, 2016 and $146 million in the three months and $442 million in the nine months ended September 30, 2015 within asset impairment and exit costs. The activity for the 2014-2018 Restructuring Program liability for the nine months ended September 30, 2016 was: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and related</w:t>
            </w:r>
          </w:p>
        </w:tc>
        <w:tc>
          <w:tcPr>
            <w:tcW w:w="10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costs</w:t>
            </w: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4"/>
        </w:trPr>
        <w:tc>
          <w:tcPr>
            <w:tcW w:w="7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1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r>
      <w:tr>
        <w:trPr>
          <w:trHeight w:val="203"/>
        </w:trPr>
        <w:tc>
          <w:tcPr>
            <w:tcW w:w="710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234</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480</w:t>
            </w:r>
          </w:p>
        </w:tc>
        <w:tc>
          <w:tcPr>
            <w:tcW w:w="120" w:type="dxa"/>
            <w:vAlign w:val="bottom"/>
          </w:tcPr>
          <w:p>
            <w:pPr>
              <w:spacing w:after="0"/>
              <w:rPr>
                <w:sz w:val="17"/>
                <w:szCs w:val="17"/>
                <w:color w:val="auto"/>
              </w:rPr>
            </w:pPr>
          </w:p>
        </w:tc>
      </w:tr>
      <w:tr>
        <w:trPr>
          <w:trHeight w:val="203"/>
        </w:trPr>
        <w:tc>
          <w:tcPr>
            <w:tcW w:w="7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w:t>
            </w:r>
          </w:p>
        </w:tc>
      </w:tr>
      <w:tr>
        <w:trPr>
          <w:trHeight w:val="203"/>
        </w:trPr>
        <w:tc>
          <w:tcPr>
            <w:tcW w:w="710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 / adjustments</w:t>
            </w:r>
          </w:p>
        </w:tc>
        <w:tc>
          <w:tcPr>
            <w:tcW w:w="100" w:type="dxa"/>
            <w:vAlign w:val="bottom"/>
          </w:tcPr>
          <w:p>
            <w:pPr>
              <w:spacing w:after="0"/>
              <w:rPr>
                <w:sz w:val="17"/>
                <w:szCs w:val="17"/>
                <w:color w:val="auto"/>
              </w:rPr>
            </w:pP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4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(234)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(244)</w:t>
            </w:r>
          </w:p>
        </w:tc>
      </w:tr>
      <w:tr>
        <w:trPr>
          <w:trHeight w:val="203"/>
        </w:trPr>
        <w:tc>
          <w:tcPr>
            <w:tcW w:w="71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00" w:type="dxa"/>
            <w:vAlign w:val="bottom"/>
          </w:tcPr>
          <w:p>
            <w:pPr>
              <w:ind w:left="540"/>
              <w:spacing w:after="0"/>
              <w:rPr>
                <w:sz w:val="20"/>
                <w:szCs w:val="20"/>
                <w:color w:val="auto"/>
              </w:rPr>
            </w:pPr>
            <w:r>
              <w:rPr>
                <w:rFonts w:ascii="Arial" w:cs="Arial" w:eastAsia="Arial" w:hAnsi="Arial"/>
                <w:sz w:val="18"/>
                <w:szCs w:val="18"/>
                <w:color w:val="auto"/>
              </w:rPr>
              <w:t>Liability balance, September 30, 2016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We spent $89 million in the three months and $249 million in the nine months ended September 30, 2016 and $51 million in the three months and $156 million in the nine months ended September 30, 2015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of $120 million in the three months and $244 million in the nine months ended September 30, 2016 and $56 million in the three months and $196 million in the nine months ended September 30, 2015. At September 30, 2016, $302 million of our net restructuring liability was recorded within other current liabilities and $87 million was recorded within other long-term liabilities.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$114 million in the three months and $286 million in the nine months ended September 30, 2016 and $75 million in the three months and $ 185 million in the nine months ended September 30, 2015. We recorded these costs within cost of sales and general corporate expense within selling, general and administrative expenses.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During the three and nine months ended September 30, 2016 and 2015 and since inception of the 2014-2018 Restructuring Program, we recorded restructuring and implementation costs within operating income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Latin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Asia</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546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America</w:t>
            </w:r>
          </w:p>
        </w:tc>
        <w:tc>
          <w:tcPr>
            <w:tcW w:w="100" w:type="dxa"/>
            <w:vAlign w:val="bottom"/>
          </w:tcPr>
          <w:p>
            <w:pPr>
              <w:spacing w:after="0"/>
              <w:rPr>
                <w:sz w:val="15"/>
                <w:szCs w:val="15"/>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Pacific</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EEMEA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5"/>
                <w:szCs w:val="15"/>
                <w:color w:val="auto"/>
              </w:rPr>
            </w:pPr>
          </w:p>
        </w:tc>
        <w:tc>
          <w:tcPr>
            <w:tcW w:w="94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98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84"/>
        </w:trPr>
        <w:tc>
          <w:tcPr>
            <w:tcW w:w="5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5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75</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w:t>
            </w: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5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Nine Months Ended</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September 30, 2016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144</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480</w:t>
            </w: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286</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5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September 30, 2015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33</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w:t>
            </w: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80"/>
        </w:trPr>
        <w:tc>
          <w:tcPr>
            <w:tcW w:w="5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Nine Months Ended</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5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September 30, 2015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78</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190</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w:t>
            </w: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Project 2014-2016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46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8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199</w:t>
            </w:r>
          </w:p>
        </w:tc>
        <w:tc>
          <w:tcPr>
            <w:tcW w:w="200" w:type="dxa"/>
            <w:vAlign w:val="bottom"/>
          </w:tcPr>
          <w:p>
            <w:pPr>
              <w:spacing w:after="0"/>
              <w:rPr>
                <w:sz w:val="17"/>
                <w:szCs w:val="17"/>
                <w:color w:val="auto"/>
              </w:rPr>
            </w:pP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491</w:t>
            </w:r>
          </w:p>
        </w:tc>
        <w:tc>
          <w:tcPr>
            <w:tcW w:w="2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313</w:t>
            </w:r>
          </w:p>
        </w:tc>
        <w:tc>
          <w:tcPr>
            <w:tcW w:w="3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1,465</w:t>
            </w:r>
          </w:p>
        </w:tc>
      </w:tr>
      <w:tr>
        <w:trPr>
          <w:trHeight w:val="203"/>
        </w:trPr>
        <w:tc>
          <w:tcPr>
            <w:tcW w:w="5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684</w:t>
            </w:r>
          </w:p>
        </w:tc>
      </w:tr>
      <w:tr>
        <w:trPr>
          <w:trHeight w:val="20"/>
        </w:trPr>
        <w:tc>
          <w:tcPr>
            <w:tcW w:w="5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tcPr>
          <w:p>
            <w:pPr>
              <w:ind w:left="5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2,149</w:t>
            </w: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80" w:hanging="335"/>
        <w:spacing w:after="0" w:line="241" w:lineRule="auto"/>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nine months ended September 30,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 We expect to incur additional costs related to these activities in the fourth quarter of 2016.</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September 30,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As of September 30, 2016</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ind w:left="38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5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right="760"/>
              <w:spacing w:after="0" w:line="143"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top w:val="single" w:sz="8" w:color="auto"/>
            </w:tcBorders>
          </w:tcPr>
          <w:p>
            <w:pPr>
              <w:jc w:val="right"/>
              <w:ind w:right="39"/>
              <w:spacing w:after="0" w:line="143" w:lineRule="exact"/>
              <w:rPr>
                <w:sz w:val="20"/>
                <w:szCs w:val="20"/>
                <w:color w:val="auto"/>
              </w:rPr>
            </w:pPr>
            <w:r>
              <w:rPr>
                <w:rFonts w:ascii="Arial" w:cs="Arial" w:eastAsia="Arial" w:hAnsi="Arial"/>
                <w:sz w:val="14"/>
                <w:szCs w:val="14"/>
                <w:b w:val="1"/>
                <w:bCs w:val="1"/>
                <w:color w:val="auto"/>
              </w:rPr>
              <w:t>Weighted-</w:t>
            </w: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78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2"/>
                <w:szCs w:val="12"/>
                <w:color w:val="auto"/>
              </w:rPr>
            </w:pPr>
          </w:p>
        </w:tc>
      </w:tr>
      <w:tr>
        <w:trPr>
          <w:trHeight w:val="175"/>
        </w:trPr>
        <w:tc>
          <w:tcPr>
            <w:tcW w:w="5360" w:type="dxa"/>
            <w:vAlign w:val="bottom"/>
          </w:tcPr>
          <w:p>
            <w:pPr>
              <w:spacing w:after="0"/>
              <w:rPr>
                <w:sz w:val="15"/>
                <w:szCs w:val="15"/>
                <w:color w:val="auto"/>
              </w:rPr>
            </w:pPr>
          </w:p>
        </w:tc>
        <w:tc>
          <w:tcPr>
            <w:tcW w:w="16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Average Rate</w:t>
            </w:r>
          </w:p>
        </w:tc>
        <w:tc>
          <w:tcPr>
            <w:tcW w:w="680" w:type="dxa"/>
            <w:vAlign w:val="bottom"/>
          </w:tcPr>
          <w:p>
            <w:pPr>
              <w:spacing w:after="0"/>
              <w:rPr>
                <w:sz w:val="15"/>
                <w:szCs w:val="15"/>
                <w:color w:val="auto"/>
              </w:rPr>
            </w:pPr>
          </w:p>
        </w:tc>
        <w:tc>
          <w:tcPr>
            <w:tcW w:w="17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Outstanding</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5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2,175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w:t>
            </w:r>
          </w:p>
        </w:tc>
      </w:tr>
      <w:tr>
        <w:trPr>
          <w:trHeight w:val="210"/>
        </w:trPr>
        <w:tc>
          <w:tcPr>
            <w:tcW w:w="5360" w:type="dxa"/>
            <w:vAlign w:val="bottom"/>
          </w:tcPr>
          <w:p>
            <w:pPr>
              <w:ind w:left="540"/>
              <w:spacing w:after="0" w:line="202" w:lineRule="exact"/>
              <w:rPr>
                <w:sz w:val="20"/>
                <w:szCs w:val="20"/>
                <w:color w:val="auto"/>
              </w:rPr>
            </w:pPr>
            <w:r>
              <w:rPr>
                <w:rFonts w:ascii="Arial" w:cs="Arial" w:eastAsia="Arial" w:hAnsi="Arial"/>
                <w:sz w:val="18"/>
                <w:szCs w:val="18"/>
                <w:color w:val="auto"/>
              </w:rPr>
              <w:t>Bank loans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w:t>
            </w:r>
          </w:p>
        </w:tc>
        <w:tc>
          <w:tcPr>
            <w:tcW w:w="680" w:type="dxa"/>
            <w:vAlign w:val="bottom"/>
          </w:tcPr>
          <w:p>
            <w:pPr>
              <w:spacing w:after="0"/>
              <w:rPr>
                <w:sz w:val="18"/>
                <w:szCs w:val="18"/>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w:t>
            </w: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2,490</w:t>
            </w:r>
          </w:p>
        </w:tc>
        <w:tc>
          <w:tcPr>
            <w:tcW w:w="9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As of September 30, 2016, the commercial paper issued and outstanding had between 3 and 88 days remaining to maturity. Bank loans include borrowings on primarily uncommitted credit lines maintained by some of our international subsidiaries to meet short-term working capital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 / (losses) and the cumulative effects of any changes in accounting principles. At September 30, 2016, we complied with this covenant as our shareholders’ equity, as defined by the covenant, was $37.2 billion. The revolving credit facility agreement also contains customary representations, covenants and events of default. There are no credit rating triggers, provisions or other financial covenants that could require us to post collateral as security. As of September 30, 2016, no amounts were drawn on the facility.</w:t>
      </w:r>
    </w:p>
    <w:p>
      <w:pPr>
        <w:spacing w:after="0" w:line="2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$1.8 billion at September 30, 2016 and $1.9 billion at December 31, 2015. Borrowings on these lines amounted to $315 million at September 30, 2016 and $236 million at December 31,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On October 17, 2016, we announced a cash tender offer to retire some of our long-term debt. We expect to complete the tender in the fourth quarter of 2016. We have not yet determined the notes to be retired and the full impact to our operating results. We expect to finance the repurchase of these notes, including the payment of accrued interest and other costs incurred, from net proceeds received from the $3.75 billion note issuance, expected to close on October 28, 2016, and the term loans, both described below.</w:t>
      </w:r>
    </w:p>
    <w:p>
      <w:pPr>
        <w:spacing w:after="0" w:line="2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October 19, 2016, Mondelez International Holdings Netherlands B.V. (“MIHN”), a wholly owned subsidiary of Mondelēz International, Inc., launched an offering of $3.75 billion of notes, guaranteed by Mondelēz International, Inc. The $ 1.75 billion of 1.625% notes and the $500 million of floating rate notes will mature on October 28, 2019 and the $1.5 billion of 2.0% notes will mature on October 28, 2021. On October 28, 2016, we expect to receive proceeds, net of discounts and associated financing costs, of $3.73 billion. Proceeds from the notes issuance will be used for general corporate purposes, including to grant loans or make distributions to Mondelēz International, Inc. or its subsidiaries to fund all or a portion of the October 2016 cash tender offer and near-term debt maturities. We expect to amortize deferred financing costs into interest expense over the life of the notes. We entered into cross-currency swaps, serving as cash flow hedges, so that the U.S. dollar-denominated debt payments will effectively be paid in euros over the life of the debt.</w:t>
      </w:r>
    </w:p>
    <w:p>
      <w:pPr>
        <w:spacing w:after="0" w:line="20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October 14, 2016, MIHN executed a $1.5 billion bank term loan facility. The loan facility consists of two $750 million loans, one with a three-year maturity and the other with a five-year maturity. The term loans can be drawn at any time for 60 days after signing. On October 25, 2016, we gave notice of our intent to fully draw on the loan with a five-year maturity, and we expect funding to occur on October 28, 2016. Proceeds from the $750 million term loan may be used for general corporate purposes, including funding of the tender offer or other debt. On October 25, 2016, we also gave notice of our intent to terminate the $750 million loan with the three-year maturity.</w:t>
      </w:r>
    </w:p>
    <w:p>
      <w:pPr>
        <w:spacing w:after="0" w:line="203"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 xml:space="preserve">On February 9, 2016, $1,750 million of our 4.125% U.S. dollar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 xml:space="preserve">.400 million Swiss franc-denominated notes issued on January 26, 2016 and the </w:t>
      </w:r>
      <w:r>
        <w:rPr>
          <w:rFonts w:ascii="Arial" w:cs="Arial" w:eastAsia="Arial" w:hAnsi="Arial"/>
          <w:sz w:val="18"/>
          <w:szCs w:val="18"/>
          <w:color w:val="auto"/>
        </w:rPr>
        <w:t>€</w:t>
      </w:r>
      <w:r>
        <w:rPr>
          <w:rFonts w:ascii="Arial" w:cs="Arial" w:eastAsia="Arial" w:hAnsi="Arial"/>
          <w:sz w:val="18"/>
          <w:szCs w:val="18"/>
          <w:color w:val="auto"/>
        </w:rPr>
        <w:t>700 million euro-denominated notes issued on January 21, 2016, as well as cash on hand and the issuance of commercial paper. As we refinanced $1,150 million of the matured notes with net proceeds from the long-term debt issued in January 2016, we reflected this amount within long-term debt as of December 31, 2015.</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20"/>
        <w:spacing w:after="0" w:line="245" w:lineRule="auto"/>
        <w:rPr>
          <w:sz w:val="20"/>
          <w:szCs w:val="20"/>
          <w:color w:val="auto"/>
        </w:rPr>
      </w:pPr>
      <w:r>
        <w:rPr>
          <w:rFonts w:ascii="Arial" w:cs="Arial" w:eastAsia="Arial" w:hAnsi="Arial"/>
          <w:sz w:val="18"/>
          <w:szCs w:val="18"/>
          <w:color w:val="auto"/>
        </w:rPr>
        <w:t xml:space="preserve">On January 26, 2016, we issued </w:t>
      </w:r>
      <w:r>
        <w:rPr>
          <w:rFonts w:ascii="Arial" w:cs="Arial" w:eastAsia="Arial" w:hAnsi="Arial"/>
          <w:sz w:val="18"/>
          <w:szCs w:val="18"/>
          <w:i w:val="1"/>
          <w:iCs w:val="1"/>
          <w:color w:val="auto"/>
        </w:rPr>
        <w:t>fr</w:t>
      </w:r>
      <w:r>
        <w:rPr>
          <w:rFonts w:ascii="Arial" w:cs="Arial" w:eastAsia="Arial" w:hAnsi="Arial"/>
          <w:sz w:val="18"/>
          <w:szCs w:val="18"/>
          <w:color w:val="auto"/>
        </w:rPr>
        <w:t>.400 million of Swiss franc-denominated notes, or $399 million in U.S. dollars locked in with a forward currency contract on January 12, 2016, consisting of:</w:t>
      </w:r>
    </w:p>
    <w:p>
      <w:pPr>
        <w:ind w:left="900" w:hanging="325"/>
        <w:spacing w:after="0" w:line="23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.250 million (or $249 million) of 0.080% fixed rate notes that mature on January 26, 2018</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.150 million (or $150 million) of 0.650% fixed rate notes that mature on July 26, 2022</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received proceeds, net of premiums and deferred financing costs, of $398 million that were used to partially fund the February 2016 note maturity and for other general corporate purposes. We recorded approximately $1 million of premiums and deferred financing costs, which will be amortized into interest expense over the life of the notes.</w:t>
      </w:r>
    </w:p>
    <w:p>
      <w:pPr>
        <w:spacing w:after="0" w:line="18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On January 21, 2016, we issued €700 million of euro-denominated 1.625% notes, or $760 million in U.S. dollars locked in with a forward currency contract on January 13, 2016. The euro-denominated notes will mature on January 20, 2023. We received proceeds, net of discounts and deferred financing costs, of $752 million that were used to partially fund the February 2016 note maturity and for other general corporate purposes. We recorded approximately $8 million of discounts and deferred financing costs, which will be amortized into interest expense over the life of the notes.</w:t>
      </w:r>
    </w:p>
    <w:p>
      <w:pPr>
        <w:spacing w:after="0" w:line="19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Our weighted-average interest rate on our total debt was 3.1% as of September 30, 2016, following the refinancing of the February 9, 2016 debt maturity. Our weighted-average interest rate on our total debt was 3.7% as of December 31, 2015, down from 4.3% as of December 31,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fair value of our short-term borrowings at September 30, 2016 and December 31, 2015 reflects current market interest rates and approximates the amounts we have recorded on our condensed consolidated balance sheet. The fair value of our long-term debt was determined using quoted prices in active markets (Level 1 valuation data) for the publicly traded debt obligations. At September 30, 2016, the aggregate fair value of our total debt was $ 18,616 million and its carrying value was $17,106 million. At December 31, 2015, the aggregate fair value of our total debt was $15,908 million and its carrying value was $15,398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5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68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129</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3"/>
              </w:rPr>
              <w:t>139</w:t>
            </w:r>
          </w:p>
        </w:tc>
        <w:tc>
          <w:tcPr>
            <w:tcW w:w="5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7"/>
                <w:szCs w:val="17"/>
                <w:color w:val="auto"/>
              </w:rPr>
            </w:pPr>
          </w:p>
        </w:tc>
      </w:tr>
      <w:tr>
        <w:trPr>
          <w:trHeight w:val="203"/>
        </w:trPr>
        <w:tc>
          <w:tcPr>
            <w:tcW w:w="5540" w:type="dxa"/>
            <w:vAlign w:val="bottom"/>
          </w:tcPr>
          <w:p>
            <w:pPr>
              <w:ind w:left="540"/>
              <w:spacing w:after="0" w:line="202" w:lineRule="exact"/>
              <w:rPr>
                <w:sz w:val="20"/>
                <w:szCs w:val="20"/>
                <w:color w:val="auto"/>
              </w:rPr>
            </w:pPr>
            <w:r>
              <w:rPr>
                <w:rFonts w:ascii="Arial" w:cs="Arial" w:eastAsia="Arial" w:hAnsi="Arial"/>
                <w:sz w:val="18"/>
                <w:szCs w:val="18"/>
                <w:color w:val="auto"/>
              </w:rPr>
              <w:t>Loss on debt extinguishment and related expenses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6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713</w:t>
            </w:r>
          </w:p>
        </w:tc>
        <w:tc>
          <w:tcPr>
            <w:tcW w:w="120" w:type="dxa"/>
            <w:vAlign w:val="bottom"/>
          </w:tcPr>
          <w:p>
            <w:pPr>
              <w:spacing w:after="0"/>
              <w:rPr>
                <w:sz w:val="17"/>
                <w:szCs w:val="17"/>
                <w:color w:val="auto"/>
              </w:rPr>
            </w:pPr>
          </w:p>
        </w:tc>
      </w:tr>
      <w:tr>
        <w:trPr>
          <w:trHeight w:val="202"/>
        </w:trPr>
        <w:tc>
          <w:tcPr>
            <w:tcW w:w="55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JDE coffee business transactions currency-related net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54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gain</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(436)</w:t>
            </w:r>
          </w:p>
        </w:tc>
      </w:tr>
      <w:tr>
        <w:trPr>
          <w:trHeight w:val="203"/>
        </w:trPr>
        <w:tc>
          <w:tcPr>
            <w:tcW w:w="5540" w:type="dxa"/>
            <w:vAlign w:val="bottom"/>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6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97</w:t>
            </w:r>
          </w:p>
        </w:tc>
        <w:tc>
          <w:tcPr>
            <w:tcW w:w="28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5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w:t>
            </w: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40" w:type="dxa"/>
            <w:vAlign w:val="bottom"/>
          </w:tcPr>
          <w:p>
            <w:pPr>
              <w:ind w:left="360"/>
              <w:spacing w:after="0"/>
              <w:rPr>
                <w:sz w:val="20"/>
                <w:szCs w:val="20"/>
                <w:color w:val="auto"/>
              </w:rPr>
            </w:pPr>
            <w:r>
              <w:rPr>
                <w:rFonts w:ascii="Arial" w:cs="Arial" w:eastAsia="Arial" w:hAnsi="Arial"/>
                <w:sz w:val="18"/>
                <w:szCs w:val="18"/>
                <w:color w:val="auto"/>
              </w:rPr>
              <w:t>Interest and other expense, net</w:t>
            </w:r>
          </w:p>
        </w:tc>
        <w:tc>
          <w:tcPr>
            <w:tcW w:w="680" w:type="dxa"/>
            <w:vAlign w:val="bottom"/>
            <w:gridSpan w:val="2"/>
          </w:tcPr>
          <w:p>
            <w:pPr>
              <w:jc w:val="right"/>
              <w:ind w:right="508"/>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58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114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540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information on the currency exchange forward contracts associated with the JDE coffee business transactions. Also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quarters of 2016 and 2015.</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September 30, 2016</w:t>
            </w:r>
          </w:p>
        </w:tc>
        <w:tc>
          <w:tcPr>
            <w:tcW w:w="120" w:type="dxa"/>
            <w:vAlign w:val="bottom"/>
          </w:tcPr>
          <w:p>
            <w:pPr>
              <w:spacing w:after="0"/>
              <w:rPr>
                <w:sz w:val="15"/>
                <w:szCs w:val="15"/>
                <w:color w:val="auto"/>
              </w:rPr>
            </w:pPr>
          </w:p>
        </w:tc>
        <w:tc>
          <w:tcPr>
            <w:tcW w:w="2560" w:type="dxa"/>
            <w:vAlign w:val="bottom"/>
            <w:gridSpan w:val="6"/>
          </w:tcPr>
          <w:p>
            <w:pPr>
              <w:ind w:left="320"/>
              <w:spacing w:after="0"/>
              <w:rPr>
                <w:sz w:val="20"/>
                <w:szCs w:val="20"/>
                <w:color w:val="auto"/>
              </w:rPr>
            </w:pPr>
            <w:r>
              <w:rPr>
                <w:rFonts w:ascii="Arial" w:cs="Arial" w:eastAsia="Arial" w:hAnsi="Arial"/>
                <w:sz w:val="14"/>
                <w:szCs w:val="14"/>
                <w:b w:val="1"/>
                <w:bCs w:val="1"/>
                <w:color w:val="auto"/>
              </w:rPr>
              <w:t>As of December 31, 2015</w:t>
            </w:r>
          </w:p>
        </w:tc>
      </w:tr>
      <w:tr>
        <w:trPr>
          <w:trHeight w:val="142"/>
        </w:trPr>
        <w:tc>
          <w:tcPr>
            <w:tcW w:w="5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640"/>
              <w:spacing w:after="0" w:line="143" w:lineRule="exact"/>
              <w:rPr>
                <w:sz w:val="20"/>
                <w:szCs w:val="20"/>
                <w:color w:val="auto"/>
              </w:rPr>
            </w:pPr>
            <w:r>
              <w:rPr>
                <w:rFonts w:ascii="Arial" w:cs="Arial" w:eastAsia="Arial" w:hAnsi="Arial"/>
                <w:sz w:val="14"/>
                <w:szCs w:val="14"/>
                <w:b w:val="1"/>
                <w:bCs w:val="1"/>
                <w:color w:val="auto"/>
                <w:w w:val="99"/>
              </w:rPr>
              <w:t>Asset</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4"/>
              <w:spacing w:after="0" w:line="143" w:lineRule="exact"/>
              <w:rPr>
                <w:sz w:val="20"/>
                <w:szCs w:val="20"/>
                <w:color w:val="auto"/>
              </w:rPr>
            </w:pPr>
            <w:r>
              <w:rPr>
                <w:rFonts w:ascii="Arial" w:cs="Arial" w:eastAsia="Arial" w:hAnsi="Arial"/>
                <w:sz w:val="14"/>
                <w:szCs w:val="14"/>
                <w:b w:val="1"/>
                <w:bCs w:val="1"/>
                <w:color w:val="auto"/>
              </w:rPr>
              <w:t>Liability</w:t>
            </w: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99"/>
              </w:rPr>
              <w:t>Asset</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33"/>
              <w:spacing w:after="0" w:line="143" w:lineRule="exact"/>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2"/>
                <w:szCs w:val="12"/>
                <w:color w:val="auto"/>
              </w:rPr>
            </w:pPr>
          </w:p>
        </w:tc>
      </w:tr>
      <w:tr>
        <w:trPr>
          <w:trHeight w:val="175"/>
        </w:trPr>
        <w:tc>
          <w:tcPr>
            <w:tcW w:w="5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56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00" w:type="dxa"/>
            <w:vAlign w:val="bottom"/>
            <w:tcBorders>
              <w:top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80"/>
        </w:trPr>
        <w:tc>
          <w:tcPr>
            <w:tcW w:w="56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566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5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w:t>
            </w: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w:t>
            </w:r>
          </w:p>
        </w:tc>
      </w:tr>
      <w:tr>
        <w:trPr>
          <w:trHeight w:val="210"/>
        </w:trPr>
        <w:tc>
          <w:tcPr>
            <w:tcW w:w="566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03"/>
        </w:trPr>
        <w:tc>
          <w:tcPr>
            <w:tcW w:w="5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w:t>
            </w:r>
          </w:p>
        </w:tc>
      </w:tr>
      <w:tr>
        <w:trPr>
          <w:trHeight w:val="295"/>
        </w:trPr>
        <w:tc>
          <w:tcPr>
            <w:tcW w:w="566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 as</w:t>
            </w: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660" w:type="dxa"/>
            <w:vAlign w:val="bottom"/>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3"/>
        </w:trPr>
        <w:tc>
          <w:tcPr>
            <w:tcW w:w="5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2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7"/>
                <w:szCs w:val="17"/>
                <w:color w:val="auto"/>
              </w:rPr>
            </w:pP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r>
      <w:tr>
        <w:trPr>
          <w:trHeight w:val="210"/>
        </w:trPr>
        <w:tc>
          <w:tcPr>
            <w:tcW w:w="5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7"/>
        </w:trPr>
        <w:tc>
          <w:tcPr>
            <w:tcW w:w="5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r>
      <w:tr>
        <w:trPr>
          <w:trHeight w:val="20"/>
        </w:trPr>
        <w:tc>
          <w:tcPr>
            <w:tcW w:w="5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During the first nine months of 2016 and 2015, 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We record derivative assets and liabilities on a gross basis in our condensed consolidated balance sheet.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asset derivatives is recorded within other current assets and the fair value of our liability derivatives is recorded within other current liabilities.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 / (liability)) of our derivative instruments were determined using: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rPr>
              <w:t>As of September 30, 2016</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 (Liability)</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w:t>
            </w: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(47)</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14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(17)</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jc w:val="center"/>
              <w:ind w:right="68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3"/>
          </w:tcPr>
          <w:p>
            <w:pPr>
              <w:jc w:val="center"/>
              <w:ind w:right="72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for Identical</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580" w:type="dxa"/>
            <w:vAlign w:val="bottom"/>
          </w:tcPr>
          <w:p>
            <w:pPr>
              <w:spacing w:after="0"/>
              <w:rPr>
                <w:sz w:val="14"/>
                <w:szCs w:val="14"/>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58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 (Liability)</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5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3"/>
          </w:tcPr>
          <w:p>
            <w:pPr>
              <w:jc w:val="center"/>
              <w:ind w:left="68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4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41</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$16 million as of September 30, 2016 and margin deposits of $22 million as of December 31, 2015 within other current assets. Based on our net asset or liability positions with individual counterparties, in the event of default and immediate net settlement of all of our open positions, for derivatives we have in a net asset position, our counterparties would owe us a total of $32 million as of September 30, 2016 and $52 million as of December 31, 2015. For derivatives we have in a net liability position, we would owe less than $1 million as of September 30, 2016. As of December 31, 2015, there were no Level 1 derivatives in a net liability position.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$36 million as of September 30, 2016 and $101 million as of December 31, 2015, and for derivatives we have in a net asset position, our counterparties would owe us a total of $54 million as of September 30, 2016 and $64 million as of December 31, 2015.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5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As of September 30,</w:t>
            </w:r>
          </w:p>
        </w:tc>
        <w:tc>
          <w:tcPr>
            <w:tcW w:w="13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2"/>
                <w:szCs w:val="12"/>
                <w:color w:val="auto"/>
              </w:rPr>
            </w:pPr>
          </w:p>
        </w:tc>
      </w:tr>
      <w:tr>
        <w:trPr>
          <w:trHeight w:val="175"/>
        </w:trPr>
        <w:tc>
          <w:tcPr>
            <w:tcW w:w="5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ind w:right="161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r>
      <w:tr>
        <w:trPr>
          <w:trHeight w:val="184"/>
        </w:trPr>
        <w:tc>
          <w:tcPr>
            <w:tcW w:w="5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jc w:val="right"/>
              <w:ind w:right="115"/>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53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2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240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w:t>
            </w:r>
          </w:p>
        </w:tc>
        <w:tc>
          <w:tcPr>
            <w:tcW w:w="2240" w:type="dxa"/>
            <w:vAlign w:val="bottom"/>
          </w:tcPr>
          <w:p>
            <w:pPr>
              <w:jc w:val="right"/>
              <w:ind w:right="1075"/>
              <w:spacing w:after="0" w:line="202" w:lineRule="exact"/>
              <w:rPr>
                <w:sz w:val="20"/>
                <w:szCs w:val="20"/>
                <w:color w:val="auto"/>
              </w:rPr>
            </w:pPr>
            <w:r>
              <w:rPr>
                <w:rFonts w:ascii="Arial" w:cs="Arial" w:eastAsia="Arial" w:hAnsi="Arial"/>
                <w:sz w:val="18"/>
                <w:szCs w:val="18"/>
                <w:color w:val="auto"/>
              </w:rPr>
              <w:t>3,211</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4,148</w:t>
            </w:r>
          </w:p>
        </w:tc>
      </w:tr>
      <w:tr>
        <w:trPr>
          <w:trHeight w:val="203"/>
        </w:trPr>
        <w:tc>
          <w:tcPr>
            <w:tcW w:w="5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075"/>
              <w:spacing w:after="0" w:line="202" w:lineRule="exact"/>
              <w:rPr>
                <w:sz w:val="20"/>
                <w:szCs w:val="20"/>
                <w:color w:val="auto"/>
              </w:rPr>
            </w:pPr>
            <w:r>
              <w:rPr>
                <w:rFonts w:ascii="Arial" w:cs="Arial" w:eastAsia="Arial" w:hAnsi="Arial"/>
                <w:sz w:val="18"/>
                <w:szCs w:val="18"/>
                <w:color w:val="auto"/>
              </w:rPr>
              <w:t>1,318</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1,094</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jc w:val="right"/>
              <w:ind w:right="1075"/>
              <w:spacing w:after="0" w:line="202" w:lineRule="exact"/>
              <w:rPr>
                <w:sz w:val="20"/>
                <w:szCs w:val="20"/>
                <w:color w:val="auto"/>
              </w:rPr>
            </w:pPr>
            <w:r>
              <w:rPr>
                <w:rFonts w:ascii="Arial" w:cs="Arial" w:eastAsia="Arial" w:hAnsi="Arial"/>
                <w:sz w:val="18"/>
                <w:szCs w:val="18"/>
                <w:color w:val="auto"/>
              </w:rPr>
              <w:t>654</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075"/>
              <w:spacing w:after="0" w:line="202" w:lineRule="exact"/>
              <w:rPr>
                <w:sz w:val="20"/>
                <w:szCs w:val="20"/>
                <w:color w:val="auto"/>
              </w:rPr>
            </w:pPr>
            <w:r>
              <w:rPr>
                <w:rFonts w:ascii="Arial" w:cs="Arial" w:eastAsia="Arial" w:hAnsi="Arial"/>
                <w:sz w:val="18"/>
                <w:szCs w:val="18"/>
                <w:color w:val="auto"/>
              </w:rPr>
              <w:t>2,050</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3,033</w:t>
            </w:r>
          </w:p>
        </w:tc>
      </w:tr>
      <w:tr>
        <w:trPr>
          <w:trHeight w:val="203"/>
        </w:trPr>
        <w:tc>
          <w:tcPr>
            <w:tcW w:w="532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Pr>
          <w:p>
            <w:pPr>
              <w:jc w:val="right"/>
              <w:ind w:right="1075"/>
              <w:spacing w:after="0" w:line="202" w:lineRule="exact"/>
              <w:rPr>
                <w:sz w:val="20"/>
                <w:szCs w:val="20"/>
                <w:color w:val="auto"/>
              </w:rPr>
            </w:pPr>
            <w:r>
              <w:rPr>
                <w:rFonts w:ascii="Arial" w:cs="Arial" w:eastAsia="Arial" w:hAnsi="Arial"/>
                <w:sz w:val="18"/>
                <w:szCs w:val="18"/>
                <w:color w:val="auto"/>
              </w:rPr>
              <w:t>5,280</w:t>
            </w:r>
          </w:p>
        </w:tc>
        <w:tc>
          <w:tcPr>
            <w:tcW w:w="3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4,345</w:t>
            </w:r>
          </w:p>
        </w:tc>
      </w:tr>
      <w:tr>
        <w:trPr>
          <w:trHeight w:val="203"/>
        </w:trPr>
        <w:tc>
          <w:tcPr>
            <w:tcW w:w="5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2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075"/>
              <w:spacing w:after="0" w:line="202" w:lineRule="exact"/>
              <w:rPr>
                <w:sz w:val="20"/>
                <w:szCs w:val="20"/>
                <w:color w:val="auto"/>
              </w:rPr>
            </w:pPr>
            <w:r>
              <w:rPr>
                <w:rFonts w:ascii="Arial" w:cs="Arial" w:eastAsia="Arial" w:hAnsi="Arial"/>
                <w:sz w:val="18"/>
                <w:szCs w:val="18"/>
                <w:color w:val="auto"/>
              </w:rPr>
              <w:t>1,236</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1,404</w:t>
            </w:r>
          </w:p>
        </w:tc>
      </w:tr>
      <w:tr>
        <w:trPr>
          <w:trHeight w:val="217"/>
        </w:trPr>
        <w:tc>
          <w:tcPr>
            <w:tcW w:w="532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2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right"/>
              <w:ind w:right="1075"/>
              <w:spacing w:after="0"/>
              <w:rPr>
                <w:sz w:val="20"/>
                <w:szCs w:val="20"/>
                <w:color w:val="auto"/>
              </w:rPr>
            </w:pPr>
            <w:r>
              <w:rPr>
                <w:rFonts w:ascii="Arial" w:cs="Arial" w:eastAsia="Arial" w:hAnsi="Arial"/>
                <w:sz w:val="18"/>
                <w:szCs w:val="18"/>
                <w:color w:val="auto"/>
              </w:rPr>
              <w:t>1,518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r>
      <w:tr>
        <w:trPr>
          <w:trHeight w:val="350"/>
        </w:trPr>
        <w:tc>
          <w:tcPr>
            <w:tcW w:w="5320" w:type="dxa"/>
            <w:vAlign w:val="bottom"/>
          </w:tcPr>
          <w:p>
            <w:pPr>
              <w:spacing w:after="0"/>
              <w:rPr>
                <w:sz w:val="24"/>
                <w:szCs w:val="24"/>
                <w:color w:val="auto"/>
              </w:rPr>
            </w:pPr>
          </w:p>
        </w:tc>
        <w:tc>
          <w:tcPr>
            <w:tcW w:w="2080" w:type="dxa"/>
            <w:vAlign w:val="bottom"/>
          </w:tcPr>
          <w:p>
            <w:pPr>
              <w:jc w:val="right"/>
              <w:ind w:right="149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 / (losses) included: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2"/>
        </w:trPr>
        <w:tc>
          <w:tcPr>
            <w:tcW w:w="5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Accumulated gain / (loss) at</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beginning of period</w:t>
            </w:r>
          </w:p>
        </w:tc>
        <w:tc>
          <w:tcPr>
            <w:tcW w:w="700" w:type="dxa"/>
            <w:vAlign w:val="bottom"/>
            <w:shd w:val="clear" w:color="auto" w:fill="CCEEFF"/>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(36)</w:t>
            </w:r>
          </w:p>
        </w:tc>
        <w:tc>
          <w:tcPr>
            <w:tcW w:w="102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w:t>
            </w:r>
          </w:p>
        </w:tc>
      </w:tr>
      <w:tr>
        <w:trPr>
          <w:trHeight w:val="202"/>
        </w:trPr>
        <w:tc>
          <w:tcPr>
            <w:tcW w:w="5160" w:type="dxa"/>
            <w:vAlign w:val="bottom"/>
          </w:tcPr>
          <w:p>
            <w:pPr>
              <w:ind w:left="540"/>
              <w:spacing w:after="0" w:line="201" w:lineRule="exact"/>
              <w:rPr>
                <w:sz w:val="20"/>
                <w:szCs w:val="20"/>
                <w:color w:val="auto"/>
              </w:rPr>
            </w:pPr>
            <w:r>
              <w:rPr>
                <w:rFonts w:ascii="Arial" w:cs="Arial" w:eastAsia="Arial" w:hAnsi="Arial"/>
                <w:sz w:val="18"/>
                <w:szCs w:val="18"/>
                <w:color w:val="auto"/>
              </w:rPr>
              <w:t>Transfer of realized losses / (gains)</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160" w:type="dxa"/>
            <w:vAlign w:val="bottom"/>
          </w:tcPr>
          <w:p>
            <w:pPr>
              <w:ind w:left="720"/>
              <w:spacing w:after="0" w:line="203" w:lineRule="exact"/>
              <w:rPr>
                <w:sz w:val="20"/>
                <w:szCs w:val="20"/>
                <w:color w:val="auto"/>
              </w:rPr>
            </w:pPr>
            <w:r>
              <w:rPr>
                <w:rFonts w:ascii="Arial" w:cs="Arial" w:eastAsia="Arial" w:hAnsi="Arial"/>
                <w:sz w:val="18"/>
                <w:szCs w:val="18"/>
                <w:color w:val="auto"/>
              </w:rPr>
              <w:t>in fair value to earnings</w:t>
            </w:r>
          </w:p>
        </w:tc>
        <w:tc>
          <w:tcPr>
            <w:tcW w:w="700" w:type="dxa"/>
            <w:vAlign w:val="bottom"/>
          </w:tcPr>
          <w:p>
            <w:pPr>
              <w:spacing w:after="0"/>
              <w:rPr>
                <w:sz w:val="17"/>
                <w:szCs w:val="17"/>
                <w:color w:val="auto"/>
              </w:rPr>
            </w:pPr>
          </w:p>
        </w:tc>
        <w:tc>
          <w:tcPr>
            <w:tcW w:w="6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tcPr>
          <w:p>
            <w:pPr>
              <w:jc w:val="right"/>
              <w:ind w:right="680"/>
              <w:spacing w:after="0" w:line="203"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64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w:t>
            </w:r>
          </w:p>
        </w:tc>
      </w:tr>
      <w:tr>
        <w:trPr>
          <w:trHeight w:val="203"/>
        </w:trPr>
        <w:tc>
          <w:tcPr>
            <w:tcW w:w="5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 / (loss) in fair value</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r>
      <w:tr>
        <w:trPr>
          <w:trHeight w:val="209"/>
        </w:trPr>
        <w:tc>
          <w:tcPr>
            <w:tcW w:w="5160" w:type="dxa"/>
            <w:vAlign w:val="bottom"/>
          </w:tcPr>
          <w:p>
            <w:pPr>
              <w:ind w:left="540"/>
              <w:spacing w:after="0"/>
              <w:rPr>
                <w:sz w:val="20"/>
                <w:szCs w:val="20"/>
                <w:color w:val="auto"/>
              </w:rPr>
            </w:pPr>
            <w:r>
              <w:rPr>
                <w:rFonts w:ascii="Arial" w:cs="Arial" w:eastAsia="Arial" w:hAnsi="Arial"/>
                <w:sz w:val="18"/>
                <w:szCs w:val="18"/>
                <w:color w:val="auto"/>
              </w:rPr>
              <w:t>Accumulated gain / (loss) at</w:t>
            </w: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5160" w:type="dxa"/>
            <w:vAlign w:val="bottom"/>
          </w:tcPr>
          <w:p>
            <w:pPr>
              <w:ind w:left="720"/>
              <w:spacing w:after="0" w:line="203" w:lineRule="exact"/>
              <w:rPr>
                <w:sz w:val="20"/>
                <w:szCs w:val="20"/>
                <w:color w:val="auto"/>
              </w:rPr>
            </w:pPr>
            <w:r>
              <w:rPr>
                <w:rFonts w:ascii="Arial" w:cs="Arial" w:eastAsia="Arial" w:hAnsi="Arial"/>
                <w:sz w:val="18"/>
                <w:szCs w:val="18"/>
                <w:color w:val="auto"/>
              </w:rPr>
              <w:t>end of period</w:t>
            </w:r>
          </w:p>
        </w:tc>
        <w:tc>
          <w:tcPr>
            <w:tcW w:w="700" w:type="dxa"/>
            <w:vAlign w:val="bottom"/>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(62)</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(34)</w:t>
            </w:r>
          </w:p>
        </w:tc>
        <w:tc>
          <w:tcPr>
            <w:tcW w:w="5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(62)</w:t>
            </w:r>
          </w:p>
        </w:tc>
      </w:tr>
      <w:tr>
        <w:trPr>
          <w:trHeight w:val="20"/>
        </w:trPr>
        <w:tc>
          <w:tcPr>
            <w:tcW w:w="5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reclassified from accumulated other comprehensive earnings / (losses) into net earnings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7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2"/>
        </w:trPr>
        <w:tc>
          <w:tcPr>
            <w:tcW w:w="5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Currency exchange contracts – forecasted</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transactions</w:t>
            </w:r>
          </w:p>
        </w:tc>
        <w:tc>
          <w:tcPr>
            <w:tcW w:w="760" w:type="dxa"/>
            <w:vAlign w:val="bottom"/>
            <w:shd w:val="clear" w:color="auto" w:fill="CCEEFF"/>
          </w:tcPr>
          <w:p>
            <w:pPr>
              <w:jc w:val="right"/>
              <w:ind w:right="579"/>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73</w:t>
            </w:r>
          </w:p>
        </w:tc>
      </w:tr>
      <w:tr>
        <w:trPr>
          <w:trHeight w:val="203"/>
        </w:trPr>
        <w:tc>
          <w:tcPr>
            <w:tcW w:w="51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11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w:t>
            </w:r>
          </w:p>
        </w:tc>
      </w:tr>
      <w:tr>
        <w:trPr>
          <w:trHeight w:val="203"/>
        </w:trPr>
        <w:tc>
          <w:tcPr>
            <w:tcW w:w="5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w:t>
            </w:r>
          </w:p>
        </w:tc>
      </w:tr>
      <w:tr>
        <w:trPr>
          <w:trHeight w:val="20"/>
        </w:trPr>
        <w:tc>
          <w:tcPr>
            <w:tcW w:w="5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(60)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5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 / (losses) recognized in other comprehensive earnings / (losses)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1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r>
      <w:tr>
        <w:trPr>
          <w:trHeight w:val="156"/>
        </w:trPr>
        <w:tc>
          <w:tcPr>
            <w:tcW w:w="5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gridSpan w:val="3"/>
          </w:tcPr>
          <w:p>
            <w:pPr>
              <w:jc w:val="right"/>
              <w:ind w:right="7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2"/>
        </w:trPr>
        <w:tc>
          <w:tcPr>
            <w:tcW w:w="51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Currency exchange contracts – forecasted</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1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transactions</w:t>
            </w:r>
          </w:p>
        </w:tc>
        <w:tc>
          <w:tcPr>
            <w:tcW w:w="700" w:type="dxa"/>
            <w:vAlign w:val="bottom"/>
            <w:shd w:val="clear" w:color="auto" w:fill="CCEEFF"/>
          </w:tcPr>
          <w:p>
            <w:pPr>
              <w:jc w:val="right"/>
              <w:ind w:right="519"/>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80"/>
              <w:spacing w:after="0" w:line="203" w:lineRule="exact"/>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33</w:t>
            </w:r>
          </w:p>
        </w:tc>
      </w:tr>
      <w:tr>
        <w:trPr>
          <w:trHeight w:val="203"/>
        </w:trPr>
        <w:tc>
          <w:tcPr>
            <w:tcW w:w="51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00" w:type="dxa"/>
            <w:vAlign w:val="bottom"/>
          </w:tcPr>
          <w:p>
            <w:pPr>
              <w:spacing w:after="0"/>
              <w:rPr>
                <w:sz w:val="17"/>
                <w:szCs w:val="17"/>
                <w:color w:val="auto"/>
              </w:rPr>
            </w:pPr>
          </w:p>
        </w:tc>
        <w:tc>
          <w:tcPr>
            <w:tcW w:w="6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w:t>
            </w:r>
          </w:p>
        </w:tc>
      </w:tr>
      <w:tr>
        <w:trPr>
          <w:trHeight w:val="203"/>
        </w:trPr>
        <w:tc>
          <w:tcPr>
            <w:tcW w:w="5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w:t>
            </w:r>
          </w:p>
        </w:tc>
      </w:tr>
      <w:tr>
        <w:trPr>
          <w:trHeight w:val="20"/>
        </w:trPr>
        <w:tc>
          <w:tcPr>
            <w:tcW w:w="5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0"/>
        </w:trPr>
        <w:tc>
          <w:tcPr>
            <w:tcW w:w="5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Within interest and other expense, net, we recorded pre-tax losses of $ 97 million in the first quarter of 2016 and $34 million in the first quarter of 2015 related to amounts excluded from effectiveness testing. These amounts relate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our plans to issue U.S. dollar-denominated debt changed and we instead issued euro and Swiss franc-denominated notes in the current year first quarter, and euro, British pound sterling and Swiss franc-denominated notes in the prior-year first quarter. Amounts excluded from effectiveness testing were not material for the third quarter of 2016 and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record pre-tax and after-tax (i) gains or losses reclassified from accumulated other comprehensive earnings / (losses) into earnings,</w:t>
      </w:r>
    </w:p>
    <w:p>
      <w:pPr>
        <w:ind w:left="260" w:hanging="252"/>
        <w:spacing w:after="0" w:line="23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gains or losses on ineffectiveness and (iii) gains or losses on amounts excluded from effectiveness testing in:</w:t>
      </w:r>
    </w:p>
    <w:p>
      <w:pPr>
        <w:ind w:left="900" w:hanging="325"/>
        <w:spacing w:after="0" w:line="23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Based on current market conditions, we would expect to transfer unrealized gains of $11 million (net of taxes) for commodity cash flow hedges, unrealized losses of $11 million (net of taxes) for currency cash flow hedges and unrealized losses of less than $1 million (net of taxes) for interest rate cash flow hedges to earnings during the next 12 months.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we hedged transactions forecasted to impact cash flows over the following periods:</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15 months;</w:t>
      </w:r>
    </w:p>
    <w:p>
      <w:pPr>
        <w:ind w:left="900" w:hanging="325"/>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7 years and 2 months; and</w:t>
      </w: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15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Pre-tax gains / (losses) due to changes in fair value of our interest rate swaps and related hedged long-term debt were recorded in interest and other expense,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4720" w:type="dxa"/>
            <w:vAlign w:val="bottom"/>
          </w:tcPr>
          <w:p>
            <w:pPr>
              <w:spacing w:after="0"/>
              <w:rPr>
                <w:sz w:val="15"/>
                <w:szCs w:val="15"/>
                <w:color w:val="auto"/>
              </w:rPr>
            </w:pPr>
          </w:p>
        </w:tc>
        <w:tc>
          <w:tcPr>
            <w:tcW w:w="194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7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1"/>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r>
      <w:tr>
        <w:trPr>
          <w:trHeight w:val="184"/>
        </w:trPr>
        <w:tc>
          <w:tcPr>
            <w:tcW w:w="4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34"/>
        </w:trPr>
        <w:tc>
          <w:tcPr>
            <w:tcW w:w="4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03"/>
        </w:trPr>
        <w:tc>
          <w:tcPr>
            <w:tcW w:w="4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720" w:type="dxa"/>
            <w:vAlign w:val="bottom"/>
            <w:shd w:val="clear" w:color="auto" w:fill="CCEEFF"/>
          </w:tcPr>
          <w:p>
            <w:pPr>
              <w:jc w:val="right"/>
              <w:ind w:right="544"/>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w:t>
            </w:r>
          </w:p>
        </w:tc>
      </w:tr>
      <w:tr>
        <w:trPr>
          <w:trHeight w:val="217"/>
        </w:trPr>
        <w:tc>
          <w:tcPr>
            <w:tcW w:w="472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720" w:type="dxa"/>
            <w:vAlign w:val="bottom"/>
          </w:tcPr>
          <w:p>
            <w:pPr>
              <w:spacing w:after="0"/>
              <w:rPr>
                <w:sz w:val="18"/>
                <w:szCs w:val="18"/>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 / (losses) recorded in net earnings for economic hedges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260"/>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24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3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For the Nine Months Ended</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 / (Loss)</w:t>
            </w: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9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72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900"/>
              <w:spacing w:after="0"/>
              <w:rPr>
                <w:sz w:val="20"/>
                <w:szCs w:val="20"/>
                <w:color w:val="auto"/>
              </w:rPr>
            </w:pPr>
            <w:r>
              <w:rPr>
                <w:rFonts w:ascii="Arial" w:cs="Arial" w:eastAsia="Arial" w:hAnsi="Arial"/>
                <w:sz w:val="18"/>
                <w:szCs w:val="18"/>
                <w:color w:val="auto"/>
              </w:rPr>
              <w:t>Intercompany loans and forecasted interest</w:t>
            </w:r>
          </w:p>
        </w:tc>
        <w:tc>
          <w:tcPr>
            <w:tcW w:w="720" w:type="dxa"/>
            <w:vAlign w:val="bottom"/>
            <w:vMerge w:val="restart"/>
          </w:tcPr>
          <w:p>
            <w:pPr>
              <w:jc w:val="right"/>
              <w:ind w:right="541"/>
              <w:spacing w:after="0"/>
              <w:rPr>
                <w:sz w:val="20"/>
                <w:szCs w:val="20"/>
                <w:color w:val="auto"/>
              </w:rPr>
            </w:pPr>
            <w:r>
              <w:rPr>
                <w:rFonts w:ascii="Arial" w:cs="Arial" w:eastAsia="Arial" w:hAnsi="Arial"/>
                <w:sz w:val="18"/>
                <w:szCs w:val="18"/>
                <w:color w:val="auto"/>
                <w:w w:val="79"/>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7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22</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4720" w:type="dxa"/>
            <w:vAlign w:val="bottom"/>
          </w:tcPr>
          <w:p>
            <w:pPr>
              <w:ind w:left="1080"/>
              <w:spacing w:after="0" w:line="189" w:lineRule="exact"/>
              <w:rPr>
                <w:sz w:val="20"/>
                <w:szCs w:val="20"/>
                <w:color w:val="auto"/>
              </w:rPr>
            </w:pPr>
            <w:r>
              <w:rPr>
                <w:rFonts w:ascii="Arial" w:cs="Arial" w:eastAsia="Arial" w:hAnsi="Arial"/>
                <w:sz w:val="18"/>
                <w:szCs w:val="18"/>
                <w:color w:val="auto"/>
              </w:rPr>
              <w:t>payments</w:t>
            </w:r>
          </w:p>
        </w:tc>
        <w:tc>
          <w:tcPr>
            <w:tcW w:w="7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Forecasted transactions</w:t>
            </w:r>
          </w:p>
        </w:tc>
        <w:tc>
          <w:tcPr>
            <w:tcW w:w="7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4720" w:type="dxa"/>
            <w:vAlign w:val="bottom"/>
            <w:vMerge w:val="restart"/>
          </w:tcPr>
          <w:p>
            <w:pPr>
              <w:ind w:left="900"/>
              <w:spacing w:after="0"/>
              <w:rPr>
                <w:sz w:val="20"/>
                <w:szCs w:val="20"/>
                <w:color w:val="auto"/>
              </w:rPr>
            </w:pPr>
            <w:r>
              <w:rPr>
                <w:rFonts w:ascii="Arial" w:cs="Arial" w:eastAsia="Arial" w:hAnsi="Arial"/>
                <w:sz w:val="18"/>
                <w:szCs w:val="18"/>
                <w:color w:val="auto"/>
              </w:rPr>
              <w:t>Forecasted transactions</w:t>
            </w:r>
          </w:p>
        </w:tc>
        <w:tc>
          <w:tcPr>
            <w:tcW w:w="7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437</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72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4720" w:type="dxa"/>
            <w:vAlign w:val="bottom"/>
            <w:vMerge w:val="restart"/>
            <w:shd w:val="clear" w:color="auto" w:fill="CCEEFF"/>
          </w:tcPr>
          <w:p>
            <w:pPr>
              <w:ind w:left="900"/>
              <w:spacing w:after="0"/>
              <w:rPr>
                <w:sz w:val="20"/>
                <w:szCs w:val="20"/>
                <w:color w:val="auto"/>
              </w:rPr>
            </w:pPr>
            <w:r>
              <w:rPr>
                <w:rFonts w:ascii="Arial" w:cs="Arial" w:eastAsia="Arial" w:hAnsi="Arial"/>
                <w:sz w:val="18"/>
                <w:szCs w:val="18"/>
                <w:color w:val="auto"/>
              </w:rPr>
              <w:t>Forecasted transactions</w:t>
            </w:r>
          </w:p>
        </w:tc>
        <w:tc>
          <w:tcPr>
            <w:tcW w:w="7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57"/>
        </w:trPr>
        <w:tc>
          <w:tcPr>
            <w:tcW w:w="4720" w:type="dxa"/>
            <w:vAlign w:val="bottom"/>
            <w:vMerge w:val="continue"/>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720" w:type="dxa"/>
            <w:vAlign w:val="bottom"/>
            <w:gridSpan w:val="2"/>
            <w:shd w:val="clear" w:color="auto" w:fill="CCEEFF"/>
          </w:tcPr>
          <w:p>
            <w:pPr>
              <w:jc w:val="center"/>
              <w:ind w:right="380"/>
              <w:spacing w:after="0" w:line="157" w:lineRule="exact"/>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167"/>
        </w:trPr>
        <w:tc>
          <w:tcPr>
            <w:tcW w:w="4720" w:type="dxa"/>
            <w:vAlign w:val="bottom"/>
            <w:vMerge w:val="restart"/>
          </w:tcPr>
          <w:p>
            <w:pPr>
              <w:ind w:left="540"/>
              <w:spacing w:after="0"/>
              <w:rPr>
                <w:sz w:val="20"/>
                <w:szCs w:val="20"/>
                <w:color w:val="auto"/>
              </w:rPr>
            </w:pPr>
            <w:r>
              <w:rPr>
                <w:rFonts w:ascii="Arial" w:cs="Arial" w:eastAsia="Arial" w:hAnsi="Arial"/>
                <w:sz w:val="18"/>
                <w:szCs w:val="18"/>
                <w:color w:val="auto"/>
              </w:rPr>
              <w:t>Interest rate contracts</w:t>
            </w:r>
          </w:p>
        </w:tc>
        <w:tc>
          <w:tcPr>
            <w:tcW w:w="7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72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7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(158)</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54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41"/>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7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 xml:space="preserve">In connection with the JDE coffee business transactions, we entered into a number of consecutive euro to U.S. dollar currency exchange forward contracts in 2015 to lock in an equivalent expected value in U.S. dollars. The mark-to-market gains and losses on the derivatives were recorded in earnings. We recorded net gains of $29 million for the three months and $436 million for the nine months ended September 30, 2015 within interest and other expense, net in connection with the forward contracts and the transferring of proceeds to our subsidiaries where coffee net assets and shares were deconsolidated. The currency hedge and related gains and losses were recorded within interest and other expense, net. See Note 2, </w:t>
      </w:r>
      <w:r>
        <w:rPr>
          <w:rFonts w:ascii="Arial" w:cs="Arial" w:eastAsia="Arial" w:hAnsi="Arial"/>
          <w:sz w:val="18"/>
          <w:szCs w:val="18"/>
          <w:i w:val="1"/>
          <w:iCs w:val="1"/>
          <w:color w:val="auto"/>
        </w:rPr>
        <w:t>Divestitures and Acquisitions — JDE Coffee Business Transactions</w:t>
      </w:r>
      <w:r>
        <w:rPr>
          <w:rFonts w:ascii="Arial" w:cs="Arial" w:eastAsia="Arial" w:hAnsi="Arial"/>
          <w:sz w:val="18"/>
          <w:szCs w:val="18"/>
          <w:color w:val="auto"/>
        </w:rPr>
        <w:t>,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After-tax gains / (losses) related to hedges of net investments in international operations in the form of euro, pound sterling and Swiss franc-denominated debt were: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Location of</w:t>
            </w:r>
          </w:p>
        </w:tc>
      </w:tr>
      <w:tr>
        <w:trPr>
          <w:trHeight w:val="162"/>
        </w:trPr>
        <w:tc>
          <w:tcPr>
            <w:tcW w:w="472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3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Nine Months Ended</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Gain / (Loss)</w:t>
            </w:r>
          </w:p>
        </w:tc>
      </w:tr>
      <w:tr>
        <w:trPr>
          <w:trHeight w:val="175"/>
        </w:trPr>
        <w:tc>
          <w:tcPr>
            <w:tcW w:w="4720" w:type="dxa"/>
            <w:vAlign w:val="bottom"/>
          </w:tcPr>
          <w:p>
            <w:pPr>
              <w:spacing w:after="0"/>
              <w:rPr>
                <w:sz w:val="15"/>
                <w:szCs w:val="15"/>
                <w:color w:val="auto"/>
              </w:rPr>
            </w:pPr>
          </w:p>
        </w:tc>
        <w:tc>
          <w:tcPr>
            <w:tcW w:w="194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Recognized in</w:t>
            </w:r>
          </w:p>
        </w:tc>
      </w:tr>
      <w:tr>
        <w:trPr>
          <w:trHeight w:val="156"/>
        </w:trPr>
        <w:tc>
          <w:tcPr>
            <w:tcW w:w="472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172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rPr>
              <w:t>AOCI</w:t>
            </w:r>
          </w:p>
        </w:tc>
      </w:tr>
      <w:tr>
        <w:trPr>
          <w:trHeight w:val="184"/>
        </w:trPr>
        <w:tc>
          <w:tcPr>
            <w:tcW w:w="47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34"/>
        </w:trPr>
        <w:tc>
          <w:tcPr>
            <w:tcW w:w="4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03"/>
        </w:trPr>
        <w:tc>
          <w:tcPr>
            <w:tcW w:w="4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Euro notes</w:t>
            </w:r>
          </w:p>
        </w:tc>
        <w:tc>
          <w:tcPr>
            <w:tcW w:w="720" w:type="dxa"/>
            <w:vAlign w:val="bottom"/>
            <w:shd w:val="clear" w:color="auto" w:fill="CCEEFF"/>
          </w:tcPr>
          <w:p>
            <w:pPr>
              <w:jc w:val="right"/>
              <w:ind w:right="544"/>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w:t>
            </w:r>
          </w:p>
        </w:tc>
        <w:tc>
          <w:tcPr>
            <w:tcW w:w="17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rPr>
              <w:t>Currency</w:t>
            </w:r>
          </w:p>
        </w:tc>
      </w:tr>
      <w:tr>
        <w:trPr>
          <w:trHeight w:val="203"/>
        </w:trPr>
        <w:tc>
          <w:tcPr>
            <w:tcW w:w="4720" w:type="dxa"/>
            <w:vAlign w:val="bottom"/>
          </w:tcPr>
          <w:p>
            <w:pPr>
              <w:ind w:left="720"/>
              <w:spacing w:after="0" w:line="202" w:lineRule="exact"/>
              <w:rPr>
                <w:sz w:val="20"/>
                <w:szCs w:val="20"/>
                <w:color w:val="auto"/>
              </w:rPr>
            </w:pPr>
            <w:r>
              <w:rPr>
                <w:rFonts w:ascii="Arial" w:cs="Arial" w:eastAsia="Arial" w:hAnsi="Arial"/>
                <w:sz w:val="18"/>
                <w:szCs w:val="18"/>
                <w:color w:val="auto"/>
              </w:rPr>
              <w:t>Pound sterling notes</w:t>
            </w:r>
          </w:p>
        </w:tc>
        <w:tc>
          <w:tcPr>
            <w:tcW w:w="720" w:type="dxa"/>
            <w:vAlign w:val="bottom"/>
          </w:tcPr>
          <w:p>
            <w:pPr>
              <w:spacing w:after="0"/>
              <w:rPr>
                <w:sz w:val="17"/>
                <w:szCs w:val="17"/>
                <w:color w:val="auto"/>
              </w:rPr>
            </w:pPr>
          </w:p>
        </w:tc>
        <w:tc>
          <w:tcPr>
            <w:tcW w:w="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21</w:t>
            </w:r>
          </w:p>
        </w:tc>
        <w:tc>
          <w:tcPr>
            <w:tcW w:w="780" w:type="dxa"/>
            <w:vAlign w:val="bottom"/>
          </w:tcPr>
          <w:p>
            <w:pPr>
              <w:spacing w:after="0"/>
              <w:rPr>
                <w:sz w:val="17"/>
                <w:szCs w:val="17"/>
                <w:color w:val="auto"/>
              </w:rPr>
            </w:pPr>
          </w:p>
        </w:tc>
        <w:tc>
          <w:tcPr>
            <w:tcW w:w="5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100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107</w:t>
            </w:r>
          </w:p>
        </w:tc>
        <w:tc>
          <w:tcPr>
            <w:tcW w:w="32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color w:val="auto"/>
              </w:rPr>
              <w:t>Translation</w:t>
            </w:r>
          </w:p>
        </w:tc>
      </w:tr>
      <w:tr>
        <w:trPr>
          <w:trHeight w:val="203"/>
        </w:trPr>
        <w:tc>
          <w:tcPr>
            <w:tcW w:w="4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Swiss franc notes</w:t>
            </w: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7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w:t>
            </w:r>
          </w:p>
        </w:tc>
        <w:tc>
          <w:tcPr>
            <w:tcW w:w="17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color w:val="auto"/>
              </w:rPr>
              <w:t>Adjustment</w:t>
            </w: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Benefit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Non-U.S. Plans</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2460" w:type="dxa"/>
            <w:vAlign w:val="bottom"/>
            <w:gridSpan w:val="4"/>
          </w:tcPr>
          <w:p>
            <w:pPr>
              <w:jc w:val="center"/>
              <w:ind w:left="21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4"/>
          </w:tcPr>
          <w:p>
            <w:pPr>
              <w:jc w:val="center"/>
              <w:ind w:right="132"/>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2"/>
                <w:szCs w:val="12"/>
                <w:color w:val="auto"/>
              </w:rPr>
            </w:pPr>
          </w:p>
        </w:tc>
      </w:tr>
      <w:tr>
        <w:trPr>
          <w:trHeight w:val="175"/>
        </w:trPr>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4"/>
        </w:trPr>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w:t>
            </w:r>
          </w:p>
        </w:tc>
      </w:tr>
      <w:tr>
        <w:trPr>
          <w:trHeight w:val="203"/>
        </w:trPr>
        <w:tc>
          <w:tcPr>
            <w:tcW w:w="506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15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57</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w:t>
            </w: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(24)</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w:t>
            </w:r>
          </w:p>
        </w:tc>
      </w:tr>
      <w:tr>
        <w:trPr>
          <w:trHeight w:val="203"/>
        </w:trPr>
        <w:tc>
          <w:tcPr>
            <w:tcW w:w="506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w:t>
            </w:r>
          </w:p>
        </w:tc>
      </w:tr>
      <w:tr>
        <w:trPr>
          <w:trHeight w:val="203"/>
        </w:trPr>
        <w:tc>
          <w:tcPr>
            <w:tcW w:w="506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 / (credit)</w:t>
            </w:r>
          </w:p>
        </w:tc>
        <w:tc>
          <w:tcPr>
            <w:tcW w:w="700" w:type="dxa"/>
            <w:vAlign w:val="bottom"/>
          </w:tcPr>
          <w:p>
            <w:pPr>
              <w:spacing w:after="0"/>
              <w:rPr>
                <w:sz w:val="17"/>
                <w:szCs w:val="17"/>
                <w:color w:val="auto"/>
              </w:rPr>
            </w:pPr>
          </w:p>
        </w:tc>
        <w:tc>
          <w:tcPr>
            <w:tcW w:w="1040" w:type="dxa"/>
            <w:vAlign w:val="bottom"/>
            <w:gridSpan w:val="2"/>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10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 and other expenses</w:t>
            </w:r>
          </w:p>
        </w:tc>
        <w:tc>
          <w:tcPr>
            <w:tcW w:w="7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10"/>
        </w:trPr>
        <w:tc>
          <w:tcPr>
            <w:tcW w:w="506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spacing w:after="0"/>
              <w:rPr>
                <w:sz w:val="18"/>
                <w:szCs w:val="18"/>
                <w:color w:val="auto"/>
              </w:rPr>
            </w:pPr>
          </w:p>
        </w:tc>
        <w:tc>
          <w:tcPr>
            <w:tcW w:w="72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7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50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Non-U.S. Plans</w:t>
            </w: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060" w:type="dxa"/>
            <w:vAlign w:val="bottom"/>
          </w:tcPr>
          <w:p>
            <w:pPr>
              <w:spacing w:after="0"/>
              <w:rPr>
                <w:sz w:val="12"/>
                <w:szCs w:val="12"/>
                <w:color w:val="auto"/>
              </w:rPr>
            </w:pPr>
          </w:p>
        </w:tc>
        <w:tc>
          <w:tcPr>
            <w:tcW w:w="2460" w:type="dxa"/>
            <w:vAlign w:val="bottom"/>
            <w:gridSpan w:val="4"/>
          </w:tcPr>
          <w:p>
            <w:pPr>
              <w:jc w:val="center"/>
              <w:ind w:left="21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gridSpan w:val="4"/>
          </w:tcPr>
          <w:p>
            <w:pPr>
              <w:jc w:val="center"/>
              <w:ind w:right="132"/>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2"/>
                <w:szCs w:val="12"/>
                <w:color w:val="auto"/>
              </w:rPr>
            </w:pPr>
          </w:p>
        </w:tc>
      </w:tr>
      <w:tr>
        <w:trPr>
          <w:trHeight w:val="175"/>
        </w:trPr>
        <w:tc>
          <w:tcPr>
            <w:tcW w:w="5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34"/>
        </w:trPr>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00" w:type="dxa"/>
            <w:vAlign w:val="bottom"/>
            <w:shd w:val="clear" w:color="auto" w:fill="CCEEFF"/>
          </w:tcPr>
          <w:p>
            <w:pPr>
              <w:jc w:val="right"/>
              <w:ind w:right="51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6"/>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7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(72)</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(326)</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506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 / (credit)</w:t>
            </w: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5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 / (gains) and other expenses</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506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7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Net periodic pension cost decreased in the nine months ended September 30,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have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 decrease in net periodic pension cost of approximately $16 million for the three months and $ 48 million for the nine months ended September 30, 2016. This change does not affect the measurement of our plan obligations. We have accounted for this change as a change in accounting estimate and, accordingly, have accounted for it on a prospective basis.</w:t>
      </w:r>
    </w:p>
    <w:p>
      <w:pPr>
        <w:spacing w:after="0" w:line="20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Net pension costs of our non-U.S. plans in the three and nine months ended September 30, 2016 were also favorably impacted by the reduction in our pension plan obligations due to the JDE coffee business transactions. Prior to the July 2, 2015 closing of the JDE coffee business transactions, certain active employees who transitioned to JDE participated in our non-U.S. pension plans. Following the transactions, benefits began to be provided directly by JDE to participants continuing with JDE. JDE assumed certain pension plan obligations and received the related plan assets. In 2015, we reduced our net benefit plan liabilities by $131 million and the related deferred tax assets by $24 million. Prior to the transactions, for the nine months ended September 30, 2015, amortization of prior service cost includes $17 million of pension curtailment losses related to employees who subsequently transitioned to JDE. Refer to Note 2, </w:t>
      </w:r>
      <w:r>
        <w:rPr>
          <w:rFonts w:ascii="Arial" w:cs="Arial" w:eastAsia="Arial" w:hAnsi="Arial"/>
          <w:sz w:val="18"/>
          <w:szCs w:val="18"/>
          <w:i w:val="1"/>
          <w:iCs w:val="1"/>
          <w:color w:val="auto"/>
        </w:rPr>
        <w:t>Divestitures and Acquisitions – JDE Coffee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Transactions</w:t>
      </w:r>
      <w:r>
        <w:rPr>
          <w:rFonts w:ascii="Arial" w:cs="Arial" w:eastAsia="Arial" w:hAnsi="Arial"/>
          <w:sz w:val="18"/>
          <w:szCs w:val="18"/>
          <w:color w:val="auto"/>
        </w:rPr>
        <w:t>, for more information. For participants that elected not to transfer into the JDE plans, we retained the plan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plan assets.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Settlement losses also include pension settlement losses for employees who elected lump-sum payments in connection with our 2014-2018 Restructuring Program. These settlement losses were $3 million for the three months and $12 million for the nine months ended September 30, 2016 and $1 million for the three months and $7 million for the nine months ended September 30, 2015. See Note 6, </w:t>
      </w:r>
      <w:r>
        <w:rPr>
          <w:rFonts w:ascii="Arial" w:cs="Arial" w:eastAsia="Arial" w:hAnsi="Arial"/>
          <w:sz w:val="18"/>
          <w:szCs w:val="18"/>
          <w:i w:val="1"/>
          <w:iCs w:val="1"/>
          <w:color w:val="auto"/>
        </w:rPr>
        <w:t>2014-2018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for more information. We also recorded an additional $49 million of pension settlement losses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related to the JDE coffee business transactions within the gain on the JDE coffee business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the nine months ended September 30, 2016, we contributed $169 million (of which, $150 million was voluntarily contributed) to our U.S. plans and $329 million (of which, $100 million was a non-recurring contribution related to merging our and legacy Cadbury plans in the U.K.) to our non-U.S. plans. As of September 30, 2016, we plan to make further contributions of approximately $6 million to our U.S. plans and approximately $50 million to our non-U.S. plans during the remainder of 2016. However, our actual contributions may differ due to many factors, including changes in tax and other benefit laws or significant differences between expected and actual pension asset performance or interest rates.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4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4"/>
        </w:trPr>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3"/>
        </w:trPr>
        <w:tc>
          <w:tcPr>
            <w:tcW w:w="4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jc w:val="right"/>
              <w:ind w:right="539"/>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jc w:val="right"/>
              <w:ind w:right="55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11</w:t>
            </w:r>
          </w:p>
        </w:tc>
      </w:tr>
      <w:tr>
        <w:trPr>
          <w:trHeight w:val="203"/>
        </w:trPr>
        <w:tc>
          <w:tcPr>
            <w:tcW w:w="468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w:t>
            </w:r>
          </w:p>
        </w:tc>
        <w:tc>
          <w:tcPr>
            <w:tcW w:w="720" w:type="dxa"/>
            <w:vAlign w:val="bottom"/>
          </w:tcPr>
          <w:p>
            <w:pPr>
              <w:spacing w:after="0"/>
              <w:rPr>
                <w:sz w:val="17"/>
                <w:szCs w:val="17"/>
                <w:color w:val="auto"/>
              </w:rPr>
            </w:pPr>
          </w:p>
        </w:tc>
        <w:tc>
          <w:tcPr>
            <w:tcW w:w="9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w:t>
            </w:r>
          </w:p>
        </w:tc>
        <w:tc>
          <w:tcPr>
            <w:tcW w:w="740" w:type="dxa"/>
            <w:vAlign w:val="bottom"/>
          </w:tcPr>
          <w:p>
            <w:pPr>
              <w:spacing w:after="0"/>
              <w:rPr>
                <w:sz w:val="17"/>
                <w:szCs w:val="17"/>
                <w:color w:val="auto"/>
              </w:rPr>
            </w:pPr>
          </w:p>
        </w:tc>
        <w:tc>
          <w:tcPr>
            <w:tcW w:w="11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17</w:t>
            </w:r>
          </w:p>
        </w:tc>
      </w:tr>
      <w:tr>
        <w:trPr>
          <w:trHeight w:val="203"/>
        </w:trPr>
        <w:tc>
          <w:tcPr>
            <w:tcW w:w="4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468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w:t>
            </w:r>
          </w:p>
        </w:tc>
        <w:tc>
          <w:tcPr>
            <w:tcW w:w="720" w:type="dxa"/>
            <w:vAlign w:val="bottom"/>
          </w:tcPr>
          <w:p>
            <w:pPr>
              <w:spacing w:after="0"/>
              <w:rPr>
                <w:sz w:val="17"/>
                <w:szCs w:val="17"/>
                <w:color w:val="auto"/>
              </w:rPr>
            </w:pPr>
          </w:p>
        </w:tc>
        <w:tc>
          <w:tcPr>
            <w:tcW w:w="9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w:t>
            </w:r>
          </w:p>
        </w:tc>
        <w:tc>
          <w:tcPr>
            <w:tcW w:w="740" w:type="dxa"/>
            <w:vAlign w:val="bottom"/>
          </w:tcPr>
          <w:p>
            <w:pPr>
              <w:spacing w:after="0"/>
              <w:rPr>
                <w:sz w:val="17"/>
                <w:szCs w:val="17"/>
                <w:color w:val="auto"/>
              </w:rPr>
            </w:pPr>
          </w:p>
        </w:tc>
        <w:tc>
          <w:tcPr>
            <w:tcW w:w="114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10</w:t>
            </w:r>
          </w:p>
        </w:tc>
      </w:tr>
      <w:tr>
        <w:trPr>
          <w:trHeight w:val="203"/>
        </w:trPr>
        <w:tc>
          <w:tcPr>
            <w:tcW w:w="4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w:t>
            </w:r>
          </w:p>
        </w:tc>
        <w:tc>
          <w:tcPr>
            <w:tcW w:w="7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(5)</w:t>
            </w: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4680" w:type="dxa"/>
            <w:vAlign w:val="bottom"/>
          </w:tcPr>
          <w:p>
            <w:pPr>
              <w:ind w:left="540"/>
              <w:spacing w:after="0"/>
              <w:rPr>
                <w:sz w:val="20"/>
                <w:szCs w:val="20"/>
                <w:color w:val="auto"/>
              </w:rPr>
            </w:pPr>
            <w:r>
              <w:rPr>
                <w:rFonts w:ascii="Arial" w:cs="Arial" w:eastAsia="Arial" w:hAnsi="Arial"/>
                <w:sz w:val="18"/>
                <w:szCs w:val="18"/>
                <w:color w:val="auto"/>
              </w:rPr>
              <w:t>Net periodic postretirement health care costs</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60"/>
              <w:spacing w:after="0"/>
              <w:rPr>
                <w:sz w:val="20"/>
                <w:szCs w:val="20"/>
                <w:color w:val="auto"/>
              </w:rPr>
            </w:pPr>
            <w:r>
              <w:rPr>
                <w:rFonts w:ascii="Arial" w:cs="Arial" w:eastAsia="Arial" w:hAnsi="Arial"/>
                <w:sz w:val="18"/>
                <w:szCs w:val="18"/>
                <w:color w:val="auto"/>
              </w:rPr>
              <w:t>33</w:t>
            </w:r>
          </w:p>
        </w:tc>
      </w:tr>
      <w:tr>
        <w:trPr>
          <w:trHeight w:val="20"/>
        </w:trPr>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61" w:lineRule="exact"/>
        <w:rPr>
          <w:sz w:val="20"/>
          <w:szCs w:val="20"/>
          <w:color w:val="auto"/>
        </w:rPr>
      </w:pPr>
    </w:p>
    <w:p>
      <w:pPr>
        <w:ind w:left="880" w:right="880" w:hanging="296"/>
        <w:spacing w:after="0" w:line="258" w:lineRule="auto"/>
        <w:tabs>
          <w:tab w:leader="none" w:pos="888"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2016, amortization of prior service credit includes $8 million of curtailment gain related to a change in the eligibility requirement.</w:t>
      </w:r>
    </w:p>
    <w:p>
      <w:pPr>
        <w:spacing w:after="0" w:line="215" w:lineRule="exact"/>
        <w:rPr>
          <w:sz w:val="20"/>
          <w:szCs w:val="20"/>
          <w:color w:val="auto"/>
        </w:rPr>
      </w:pPr>
    </w:p>
    <w:p>
      <w:pPr>
        <w:ind w:right="880"/>
        <w:spacing w:after="0" w:line="236" w:lineRule="auto"/>
        <w:rPr>
          <w:sz w:val="20"/>
          <w:szCs w:val="20"/>
          <w:color w:val="auto"/>
        </w:rPr>
      </w:pPr>
      <w:r>
        <w:rPr>
          <w:rFonts w:ascii="Arial" w:cs="Arial" w:eastAsia="Arial" w:hAnsi="Arial"/>
          <w:sz w:val="18"/>
          <w:szCs w:val="18"/>
          <w:color w:val="auto"/>
        </w:rPr>
        <w:t>Net periodic postretirement health care costs decreased in the three and nine months ended September 30, 2016 due to a combination of factors, including a decreased number of plan participants, changes in discount rates, company contributions to the plans and a change in our approach to measuring service and interest costs. For 2015, we measured service and interest costs utilizing a single weighted-average discount rate derived from the yield curve used to measure the plan obligations. For 2016, we elected to measure service and interest costs by applying the specific spot rates along that yield curve to the plans’ liability cash flows. We believe the new approach provides a more precise measurement of service and interest costs by aligning the timing of the plans’ liability cash flows to the corresponding spot rates on the yield curve. The impact of this change was a decrease in net periodic postretirement health care costs of approximately $1 million for the three months and $ 3 million for the nine months ended September 30, 2016. This change does not affect the measurement of our plan obligations. We have accounted for this change as a change in accounting estimate and, accordingly, have accounted for it on a prospective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gridSpan w:val="5"/>
          </w:tcPr>
          <w:p>
            <w:pPr>
              <w:jc w:val="right"/>
              <w:ind w:right="3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4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r>
      <w:tr>
        <w:trPr>
          <w:trHeight w:val="156"/>
        </w:trPr>
        <w:tc>
          <w:tcPr>
            <w:tcW w:w="4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3"/>
                <w:szCs w:val="13"/>
                <w:color w:val="auto"/>
              </w:rPr>
            </w:pPr>
          </w:p>
        </w:tc>
      </w:tr>
      <w:tr>
        <w:trPr>
          <w:trHeight w:val="184"/>
        </w:trPr>
        <w:tc>
          <w:tcPr>
            <w:tcW w:w="4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34"/>
        </w:trPr>
        <w:tc>
          <w:tcPr>
            <w:tcW w:w="4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1400" w:type="dxa"/>
            <w:vAlign w:val="bottom"/>
            <w:gridSpan w:val="2"/>
            <w:shd w:val="clear" w:color="auto" w:fill="CCEEFF"/>
          </w:tcPr>
          <w:p>
            <w:pPr>
              <w:jc w:val="right"/>
              <w:ind w:right="562"/>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7"/>
                <w:szCs w:val="17"/>
                <w:color w:val="auto"/>
              </w:rPr>
            </w:pPr>
          </w:p>
        </w:tc>
      </w:tr>
      <w:tr>
        <w:trPr>
          <w:trHeight w:val="210"/>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6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w w:val="79"/>
              </w:rPr>
              <w:t>1</w:t>
            </w:r>
          </w:p>
        </w:tc>
        <w:tc>
          <w:tcPr>
            <w:tcW w:w="6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860" w:type="dxa"/>
            <w:vAlign w:val="bottom"/>
          </w:tcPr>
          <w:p>
            <w:pPr>
              <w:spacing w:after="0"/>
              <w:rPr>
                <w:sz w:val="18"/>
                <w:szCs w:val="18"/>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periodic postemployment costs</w:t>
            </w:r>
          </w:p>
        </w:tc>
        <w:tc>
          <w:tcPr>
            <w:tcW w:w="6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62"/>
              <w:spacing w:after="0" w:line="202" w:lineRule="exact"/>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3</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w w:val="79"/>
              </w:rPr>
              <w:t>3</w:t>
            </w:r>
          </w:p>
        </w:tc>
        <w:tc>
          <w:tcPr>
            <w:tcW w:w="6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spacing w:after="0"/>
              <w:rPr>
                <w:sz w:val="17"/>
                <w:szCs w:val="17"/>
                <w:color w:val="auto"/>
              </w:rPr>
            </w:pPr>
          </w:p>
        </w:tc>
      </w:tr>
      <w:tr>
        <w:trPr>
          <w:trHeight w:val="20"/>
        </w:trPr>
        <w:tc>
          <w:tcPr>
            <w:tcW w:w="4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Plans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Weighted-</w:t>
            </w: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Average</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2"/>
        </w:trPr>
        <w:tc>
          <w:tcPr>
            <w:tcW w:w="4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Exercise or</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180" w:type="dxa"/>
            <w:vAlign w:val="bottom"/>
          </w:tcPr>
          <w:p>
            <w:pPr>
              <w:spacing w:after="0"/>
              <w:rPr>
                <w:sz w:val="14"/>
                <w:szCs w:val="14"/>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Shares Subject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Grant Price</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 Option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r>
      <w:tr>
        <w:trPr>
          <w:trHeight w:val="88"/>
        </w:trPr>
        <w:tc>
          <w:tcPr>
            <w:tcW w:w="4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r>
      <w:tr>
        <w:trPr>
          <w:trHeight w:val="203"/>
        </w:trPr>
        <w:tc>
          <w:tcPr>
            <w:tcW w:w="4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7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57,034,108</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26.12</w:t>
            </w:r>
          </w:p>
        </w:tc>
        <w:tc>
          <w:tcPr>
            <w:tcW w:w="17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6 years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229 million</w:t>
            </w:r>
          </w:p>
        </w:tc>
      </w:tr>
      <w:tr>
        <w:trPr>
          <w:trHeight w:val="20"/>
        </w:trPr>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4180" w:type="dxa"/>
            <w:vAlign w:val="bottom"/>
          </w:tcPr>
          <w:p>
            <w:pPr>
              <w:ind w:left="720"/>
              <w:spacing w:after="0" w:line="196" w:lineRule="exact"/>
              <w:rPr>
                <w:sz w:val="20"/>
                <w:szCs w:val="20"/>
                <w:color w:val="auto"/>
              </w:rPr>
            </w:pPr>
            <w:r>
              <w:rPr>
                <w:rFonts w:ascii="Arial" w:cs="Arial" w:eastAsia="Arial" w:hAnsi="Arial"/>
                <w:sz w:val="18"/>
                <w:szCs w:val="18"/>
                <w:color w:val="auto"/>
              </w:rPr>
              <w:t>Annual grant to eligible employees</w:t>
            </w:r>
          </w:p>
        </w:tc>
        <w:tc>
          <w:tcPr>
            <w:tcW w:w="2040" w:type="dxa"/>
            <w:vAlign w:val="bottom"/>
            <w:gridSpan w:val="3"/>
          </w:tcPr>
          <w:p>
            <w:pPr>
              <w:jc w:val="right"/>
              <w:ind w:right="300"/>
              <w:spacing w:after="0" w:line="196" w:lineRule="exact"/>
              <w:rPr>
                <w:sz w:val="20"/>
                <w:szCs w:val="20"/>
                <w:color w:val="auto"/>
              </w:rPr>
            </w:pPr>
            <w:r>
              <w:rPr>
                <w:rFonts w:ascii="Arial" w:cs="Arial" w:eastAsia="Arial" w:hAnsi="Arial"/>
                <w:sz w:val="18"/>
                <w:szCs w:val="18"/>
                <w:color w:val="auto"/>
              </w:rPr>
              <w:t>7,517,290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520"/>
              <w:spacing w:after="0" w:line="196" w:lineRule="exact"/>
              <w:rPr>
                <w:sz w:val="20"/>
                <w:szCs w:val="20"/>
                <w:color w:val="auto"/>
              </w:rPr>
            </w:pPr>
            <w:r>
              <w:rPr>
                <w:rFonts w:ascii="Arial" w:cs="Arial" w:eastAsia="Arial" w:hAnsi="Arial"/>
                <w:sz w:val="18"/>
                <w:szCs w:val="18"/>
                <w:color w:val="auto"/>
              </w:rPr>
              <w:t>39.70</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41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7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97,680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43.32</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418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7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7,614,970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39.75</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3"/>
        </w:trPr>
        <w:tc>
          <w:tcPr>
            <w:tcW w:w="41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Options exercised</w:t>
            </w:r>
          </w:p>
        </w:tc>
        <w:tc>
          <w:tcPr>
            <w:tcW w:w="20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(7,094,555)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24.01</w:t>
            </w:r>
          </w:p>
        </w:tc>
        <w:tc>
          <w:tcPr>
            <w:tcW w:w="1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139 million</w:t>
            </w:r>
          </w:p>
        </w:tc>
      </w:tr>
      <w:tr>
        <w:trPr>
          <w:trHeight w:val="203"/>
        </w:trPr>
        <w:tc>
          <w:tcPr>
            <w:tcW w:w="418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70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(1,735,698)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35.39</w:t>
            </w:r>
          </w:p>
        </w:tc>
        <w:tc>
          <w:tcPr>
            <w:tcW w:w="1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7"/>
        </w:trPr>
        <w:tc>
          <w:tcPr>
            <w:tcW w:w="4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4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September 30, 2016</w:t>
            </w:r>
          </w:p>
        </w:tc>
        <w:tc>
          <w:tcPr>
            <w:tcW w:w="7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55,818,825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27.95</w:t>
            </w:r>
          </w:p>
        </w:tc>
        <w:tc>
          <w:tcPr>
            <w:tcW w:w="176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6 years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252 million</w:t>
            </w:r>
          </w:p>
        </w:tc>
      </w:tr>
      <w:tr>
        <w:trPr>
          <w:trHeight w:val="20"/>
        </w:trPr>
        <w:tc>
          <w:tcPr>
            <w:tcW w:w="4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 Units, Performance Share Units and Restricted Stock:</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Historically we have made grants of deferred stock units, performance share units and restricted stock. Beginning in 2016, we only grant deferred stock units and performance share units and no longer grant restricted stock. Our deferred stock unit, performance share unit and restricted stock activity is reflected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9"/>
              </w:rPr>
              <w:t>Weighted-Average</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Shares</w:t>
            </w:r>
          </w:p>
        </w:tc>
        <w:tc>
          <w:tcPr>
            <w:tcW w:w="1920" w:type="dxa"/>
            <w:vAlign w:val="bottom"/>
            <w:gridSpan w:val="3"/>
          </w:tcPr>
          <w:p>
            <w:pPr>
              <w:jc w:val="right"/>
              <w:ind w:right="868"/>
              <w:spacing w:after="0"/>
              <w:rPr>
                <w:sz w:val="20"/>
                <w:szCs w:val="20"/>
                <w:color w:val="auto"/>
              </w:rPr>
            </w:pPr>
            <w:r>
              <w:rPr>
                <w:rFonts w:ascii="Arial" w:cs="Arial" w:eastAsia="Arial" w:hAnsi="Arial"/>
                <w:sz w:val="14"/>
                <w:szCs w:val="14"/>
                <w:b w:val="1"/>
                <w:bCs w:val="1"/>
                <w:color w:val="auto"/>
              </w:rPr>
              <w:t>Grant Date</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488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2016</w:t>
            </w:r>
          </w:p>
        </w:tc>
        <w:tc>
          <w:tcPr>
            <w:tcW w:w="15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9,418,216</w:t>
            </w:r>
          </w:p>
        </w:tc>
        <w:tc>
          <w:tcPr>
            <w:tcW w:w="1920" w:type="dxa"/>
            <w:vAlign w:val="bottom"/>
            <w:gridSpan w:val="3"/>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28.00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3"/>
            <w:vMerge w:val="restart"/>
          </w:tcPr>
          <w:p>
            <w:pPr>
              <w:jc w:val="center"/>
              <w:ind w:right="528"/>
              <w:spacing w:after="0"/>
              <w:rPr>
                <w:sz w:val="20"/>
                <w:szCs w:val="20"/>
                <w:color w:val="auto"/>
              </w:rPr>
            </w:pPr>
            <w:r>
              <w:rPr>
                <w:rFonts w:ascii="Arial" w:cs="Arial" w:eastAsia="Arial" w:hAnsi="Arial"/>
                <w:sz w:val="18"/>
                <w:szCs w:val="18"/>
                <w:color w:val="auto"/>
              </w:rPr>
              <w:t>Feb. 22, 2016</w:t>
            </w: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2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5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1,406,500</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39.70</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5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1,040,790</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39.70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5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755,171</w:t>
            </w:r>
          </w:p>
        </w:tc>
        <w:tc>
          <w:tcPr>
            <w:tcW w:w="1920" w:type="dxa"/>
            <w:vAlign w:val="bottom"/>
            <w:gridSpan w:val="3"/>
            <w:shd w:val="clear" w:color="auto" w:fill="CCEEFF"/>
          </w:tcPr>
          <w:p>
            <w:pPr>
              <w:jc w:val="center"/>
              <w:ind w:right="528"/>
              <w:spacing w:after="0" w:line="202" w:lineRule="exact"/>
              <w:rPr>
                <w:sz w:val="20"/>
                <w:szCs w:val="20"/>
                <w:color w:val="auto"/>
              </w:rPr>
            </w:pPr>
            <w:r>
              <w:rPr>
                <w:rFonts w:ascii="Arial" w:cs="Arial" w:eastAsia="Arial" w:hAnsi="Arial"/>
                <w:sz w:val="18"/>
                <w:szCs w:val="18"/>
                <w:color w:val="auto"/>
                <w:w w:val="98"/>
              </w:rPr>
              <w:t>Various</w:t>
            </w: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29.51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3,202,461</w:t>
            </w: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37.30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119 million</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5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(3,903,681)</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40.13</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157 million</w:t>
            </w:r>
          </w:p>
        </w:tc>
        <w:tc>
          <w:tcPr>
            <w:tcW w:w="0" w:type="dxa"/>
            <w:vAlign w:val="bottom"/>
          </w:tcPr>
          <w:p>
            <w:pPr>
              <w:spacing w:after="0"/>
              <w:rPr>
                <w:sz w:val="1"/>
                <w:szCs w:val="1"/>
                <w:color w:val="auto"/>
              </w:rPr>
            </w:pPr>
          </w:p>
        </w:tc>
      </w:tr>
      <w:tr>
        <w:trPr>
          <w:trHeight w:val="203"/>
        </w:trPr>
        <w:tc>
          <w:tcPr>
            <w:tcW w:w="48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5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(1,019,864)</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37.47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September 30, 2016</w:t>
            </w:r>
          </w:p>
        </w:tc>
        <w:tc>
          <w:tcPr>
            <w:tcW w:w="15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7,697,132</w:t>
            </w:r>
          </w:p>
        </w:tc>
        <w:tc>
          <w:tcPr>
            <w:tcW w:w="1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24.46</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Prior to January 1, 2016,</w:t>
      </w:r>
    </w:p>
    <w:p>
      <w:pPr>
        <w:spacing w:after="0" w:line="235" w:lineRule="auto"/>
        <w:rPr>
          <w:sz w:val="20"/>
          <w:szCs w:val="20"/>
          <w:color w:val="auto"/>
        </w:rPr>
      </w:pPr>
      <w:r>
        <w:rPr>
          <w:rFonts w:ascii="Arial" w:cs="Arial" w:eastAsia="Arial" w:hAnsi="Arial"/>
          <w:sz w:val="18"/>
          <w:szCs w:val="18"/>
          <w:color w:val="auto"/>
        </w:rPr>
        <w:t>we had repurchased $8.2 billion of Common Stock pursuant to this authorization. During the nine months ended September 30, 2016, we</w:t>
      </w:r>
    </w:p>
    <w:p>
      <w:pPr>
        <w:spacing w:after="0" w:line="235" w:lineRule="auto"/>
        <w:rPr>
          <w:sz w:val="20"/>
          <w:szCs w:val="20"/>
          <w:color w:val="auto"/>
        </w:rPr>
      </w:pPr>
      <w:r>
        <w:rPr>
          <w:rFonts w:ascii="Arial" w:cs="Arial" w:eastAsia="Arial" w:hAnsi="Arial"/>
          <w:sz w:val="18"/>
          <w:szCs w:val="18"/>
          <w:color w:val="auto"/>
        </w:rPr>
        <w:t>repurchased 42.9 million shares of Common Stock at an average cost of $41.64 per share, or an aggregate cost of $1.8 billion, of which $1.7</w:t>
      </w:r>
    </w:p>
    <w:p>
      <w:pPr>
        <w:spacing w:after="0" w:line="235" w:lineRule="auto"/>
        <w:rPr>
          <w:sz w:val="20"/>
          <w:szCs w:val="20"/>
          <w:color w:val="auto"/>
        </w:rPr>
      </w:pPr>
      <w:r>
        <w:rPr>
          <w:rFonts w:ascii="Arial" w:cs="Arial" w:eastAsia="Arial" w:hAnsi="Arial"/>
          <w:sz w:val="18"/>
          <w:szCs w:val="18"/>
          <w:color w:val="auto"/>
        </w:rPr>
        <w:t>billion was paid during the period. All share repurchases were funded through available cash and commercial paper issuances. As of</w:t>
      </w:r>
    </w:p>
    <w:p>
      <w:pPr>
        <w:spacing w:after="0"/>
        <w:rPr>
          <w:sz w:val="20"/>
          <w:szCs w:val="20"/>
          <w:color w:val="auto"/>
        </w:rPr>
      </w:pPr>
      <w:r>
        <w:rPr>
          <w:rFonts w:ascii="Arial" w:cs="Arial" w:eastAsia="Arial" w:hAnsi="Arial"/>
          <w:sz w:val="18"/>
          <w:szCs w:val="18"/>
          <w:color w:val="auto"/>
        </w:rPr>
        <w:t>September 30, 2016, we have $3.7 billion in remaining share repurchase capacity.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compliant and ethical corporate culture, which includes adhering to laws and industry regulations in all jurisdictions in which we do business, is integral to our success. Accordingly, after we acquired Cadbury in February 2010, we began reviewing and adjusting, as needed, Cadbury’s operations in light of applicable standards as well as our policies and practices. We initially focused on such high priority areas as food safety, the Foreign Corrupt Practices Act (“FCPA”) and antitrust. Based upon Cadbury’s pre-acquisition policies and compliance programs and our post-acquisition reviews, our preliminary findings indicated that Cadbury’s overall state of compliance was sound. Nonetheless, through our reviews, we determined that in certain jurisdictions, including India, there appeared to be facts and circumstances warranting further investigation. We are continuing our investigations in certain jurisdictions, including in India, and we continue to cooperate with governmental authorities.</w:t>
      </w:r>
    </w:p>
    <w:p>
      <w:pPr>
        <w:spacing w:after="0" w:line="20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we previously disclosed, on February 1, 2011, we received a subpoena from the SEC in connection with an investigation under the FCPA, primarily related to a facility in India that we acquired in the Cadbury acquisition. The subpoena primarily requests information regarding dealings with Indian governmental agencies and officials to obtain approvals related to the operation of that facility. We are continuing to cooperate with the U.S. and Indian governments in their investigations of these matters. On February 11, 2016, we received a “Wells” notice from the SEC indicating that the staff has made a preliminary determination to recommend that the SEC file an enforcement action against us for violations of the books and records and internal controls provisions of the Securities Exchange Act of 1934, as amended (the “Exchange Act”), in connection with the investigation. On March 18, 2016, we made a submission to the staff of the SEC in response to the notice. We have engaged in discussions with the SEC and with the U.S. Department of Justice to discuss potential resolution of their respective investigations. We have not reached a settlement to resolve these investigations, and we are unable to predict when or if we can reach a mutually satisfactory resolution.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($56 million as of September 30, 2016)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($88 million as of September 30, 2016). We have appealed this order. In addition, the Excise Authority issued additional show cause notices on February 6, 2015 and December 8, 2015 on the same issue but covering the periods January to October 2014 and November 2014 to September 2015, respectively. These notices added a total of 2.4 billion Indian rupees ($36 million as of September 30, 2016)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w:t>
      </w:r>
    </w:p>
    <w:p>
      <w:pPr>
        <w:spacing w:after="0" w:line="4" w:lineRule="exact"/>
        <w:rPr>
          <w:sz w:val="20"/>
          <w:szCs w:val="20"/>
          <w:color w:val="auto"/>
        </w:rPr>
      </w:pPr>
    </w:p>
    <w:p>
      <w:pPr>
        <w:ind w:firstLine="8"/>
        <w:spacing w:after="0" w:line="236"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predominantly bear any monetary penalties or other payments in connection with the CFTC action.</w:t>
      </w:r>
    </w:p>
    <w:p>
      <w:pPr>
        <w:spacing w:after="0" w:line="203" w:lineRule="exact"/>
        <w:rPr>
          <w:sz w:val="20"/>
          <w:szCs w:val="20"/>
          <w:color w:val="auto"/>
        </w:rPr>
      </w:pPr>
    </w:p>
    <w:p>
      <w:pPr>
        <w:jc w:val="both"/>
        <w:ind w:right="30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We enter into third-party guarantees primarily to cover the long-term obligations of our vendors. As part of these transactions, we guarantee that third parties will make contractual payments or achieve performance measures. At September 30, 2016, we had no material third-party guarantees recorded on our condensed consolidated balance sheet.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 / (losses) attributable to Mondelēz International. Amounts reclassified from accumulated other comprehensive earnings / (losses) to net earnings (net of tax) were net losses of $28 million in the three months and $206 million for the nine months ended September 30, 2016 and $134 million in the three months and $172 million in the nine months ended September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180" w:type="dxa"/>
            <w:vAlign w:val="bottom"/>
            <w:gridSpan w:val="6"/>
          </w:tcPr>
          <w:p>
            <w:pPr>
              <w:spacing w:after="0"/>
              <w:rPr>
                <w:sz w:val="20"/>
                <w:szCs w:val="20"/>
                <w:color w:val="auto"/>
              </w:rPr>
            </w:pPr>
            <w:r>
              <w:rPr>
                <w:rFonts w:ascii="Arial" w:cs="Arial" w:eastAsia="Arial" w:hAnsi="Arial"/>
                <w:sz w:val="14"/>
                <w:szCs w:val="14"/>
                <w:b w:val="1"/>
                <w:bCs w:val="1"/>
                <w:color w:val="auto"/>
              </w:rPr>
              <w:t>For the Three Months Ended</w:t>
            </w:r>
          </w:p>
        </w:tc>
        <w:tc>
          <w:tcPr>
            <w:tcW w:w="2000" w:type="dxa"/>
            <w:vAlign w:val="bottom"/>
            <w:gridSpan w:val="7"/>
          </w:tcPr>
          <w:p>
            <w:pPr>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jc w:val="right"/>
              <w:ind w:right="7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(7,867)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(6,438)</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(8,006)</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translation adjustments attributable to:</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Translation of international operations </w:t>
            </w: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(1,149)</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Pension and other benefit plans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Derivatives accounted for as net investment hedges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Tax (expense) / benefit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(7,830)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(7,502)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Pension and Other Benefit Plans: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(2,201)</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(1,934)</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Net actuarial gain / (loss) arising during period</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Tax (expense) / benefit on net actuarial gain / (loss)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Amortization of experience losses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Settlement losses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Pr>
          <w:p>
            <w:pPr>
              <w:ind w:left="540"/>
              <w:spacing w:after="0"/>
              <w:rPr>
                <w:sz w:val="20"/>
                <w:szCs w:val="20"/>
                <w:color w:val="auto"/>
              </w:rPr>
            </w:pPr>
            <w:r>
              <w:rPr>
                <w:rFonts w:ascii="Arial" w:cs="Arial" w:eastAsia="Arial" w:hAnsi="Arial"/>
                <w:sz w:val="18"/>
                <w:szCs w:val="18"/>
                <w:color w:val="auto"/>
              </w:rPr>
              <w:t>Other comprehensive earnings / (losses)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(1,835)</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(2,045)</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0"/>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Derivative Cash Flow Hedges: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Net derivative gains / (losses)</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(113)</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Tax (expense) / benefit on net derivative gain / (loss)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Losses / (gains) reclassified into net earnings: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4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Currency exchange contracts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forecasted transactions </w:t>
            </w:r>
            <w:r>
              <w:rPr>
                <w:rFonts w:ascii="Arial" w:cs="Arial" w:eastAsia="Arial" w:hAnsi="Arial"/>
                <w:sz w:val="15"/>
                <w:szCs w:val="15"/>
                <w:color w:val="auto"/>
              </w:rPr>
              <w:t>(4)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(4)</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Tax (expense) / benefit on reclassifications </w:t>
            </w:r>
            <w:r>
              <w:rPr>
                <w:rFonts w:ascii="Arial" w:cs="Arial" w:eastAsia="Arial" w:hAnsi="Arial"/>
                <w:sz w:val="15"/>
                <w:szCs w:val="15"/>
                <w:color w:val="auto"/>
              </w:rPr>
              <w:t>(3)</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b w:val="1"/>
                <w:bCs w:val="1"/>
                <w:color w:val="auto"/>
              </w:rPr>
              <w:t>Accumulated other comprehensive income attributable to Mondelēz</w:t>
            </w: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(9,768)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(8,692)</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(9,986)</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other comprehensive earnings / (losses)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(923)</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03"/>
        </w:trPr>
        <w:tc>
          <w:tcPr>
            <w:tcW w:w="7240" w:type="dxa"/>
            <w:vAlign w:val="bottom"/>
          </w:tcPr>
          <w:p>
            <w:pPr>
              <w:ind w:left="540"/>
              <w:spacing w:after="0" w:line="202" w:lineRule="exact"/>
              <w:rPr>
                <w:sz w:val="20"/>
                <w:szCs w:val="20"/>
                <w:color w:val="auto"/>
              </w:rPr>
            </w:pPr>
            <w:r>
              <w:rPr>
                <w:rFonts w:ascii="Arial" w:cs="Arial" w:eastAsia="Arial" w:hAnsi="Arial"/>
                <w:sz w:val="18"/>
                <w:szCs w:val="18"/>
                <w:color w:val="auto"/>
              </w:rPr>
              <w:t>Less: portion attributable to noncontrolling interests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7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 / (losses) attributable to Mondelēz International</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(9,699)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(9,609)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(9,699)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620"/>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right="14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For the nine months ended September 30, 2016 includes $57 million of historical cumulative transaction adjustments reclassified to net earnings within the gain on equity method investment exchange in the first quarter. See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w:t>
      </w:r>
    </w:p>
    <w:p>
      <w:pPr>
        <w:ind w:left="1140" w:right="100" w:hanging="335"/>
        <w:spacing w:after="0" w:line="241"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These reclassified gains or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 and equity method investment net earnings.</w:t>
      </w: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Taxes related to reclassified gains or losses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current tax laws, our estimated annual effective tax rate for 2016 is 20.8%, reflecting favorable impacts from the mix of pre-tax income in various non-U.S. tax jurisdictions. Our 2016 third quarter effective tax rate of 7.2% includes net benefit from discrete one-time events of $60 million, mainly due to $35 million from expirations of statutes of limitations and favorable audit settlements in several jurisdictions and a $17 million benefit from the reduction of U.K. net deferred tax liabilities resulting from tax legislation enacted during 2016 Q3 that reduced the U.K. corporate income tax rate. Our effective tax rate for the nine months ended September 30, 2016 of 13.6% was favorably impacted by net tax benefit from $109 million of discrete one-time events. The discrete net tax benefit primarily consisted of benefits of $73 million due to expirations of statutes of limitations and favorable audit settlements in several jurisdictions and a $17 million benefit from the reduction of U.K. net deferred tax liabilities resulting from tax legislation enacted during the third quarter of 2016 that reduced the U.K. corporate income tax rate.</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of the third quarter of 2015, our estimated annual effective tax rate for 2015 was 23.1%, reflecting favorable impacts from the mix of pre-tax income in various non-U.S. tax jurisdictions. Our 2015 third quarter effective tax rate of 4.5% benefitted from the one-time third quarter sale of our coffee business that resulted in a pre-tax gain of $7,122 million and $197 million of related tax expense, as well as $21 million of tax costs incurred to remit proceeds up from lower-tier foreign subsidiaries to allow cash to be redeployed within our retained foreign operations. Other discrete one-time events, which partially offset the costs associated with the sale of our coffee business, of $ 40 million primarily related to favorable audit settlements and expirations of statutes of limitations in several jurisdictions. Our effective tax rate for the nine months ended September 30, 2015 of 6.5% was favorably impacted by the sale of our coffee business in the third quarter. Other significant discrete one-time events consisted of $54 million of tax charges related to the sale of our interest in AGF ($32 million in the first quarter upon the investment’s change to held-for-sale status and an additional $22 million upon the closing of the sale in the second quarter), and $75 million from favorable audit settlements and expirations of statutes of limitations in several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r>
      <w:tr>
        <w:trPr>
          <w:trHeight w:val="184"/>
        </w:trPr>
        <w:tc>
          <w:tcPr>
            <w:tcW w:w="5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rPr>
              <w:t>(in millions, except per share data)</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2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548</w:t>
            </w:r>
          </w:p>
        </w:tc>
        <w:tc>
          <w:tcPr>
            <w:tcW w:w="3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7,268</w:t>
            </w:r>
          </w:p>
        </w:tc>
        <w:tc>
          <w:tcPr>
            <w:tcW w:w="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1,576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8,007</w:t>
            </w:r>
          </w:p>
        </w:tc>
      </w:tr>
      <w:tr>
        <w:trPr>
          <w:trHeight w:val="210"/>
        </w:trPr>
        <w:tc>
          <w:tcPr>
            <w:tcW w:w="5240" w:type="dxa"/>
            <w:vAlign w:val="bottom"/>
          </w:tcPr>
          <w:p>
            <w:pPr>
              <w:ind w:left="540"/>
              <w:spacing w:after="0" w:line="202" w:lineRule="exact"/>
              <w:rPr>
                <w:sz w:val="20"/>
                <w:szCs w:val="20"/>
                <w:color w:val="auto"/>
              </w:rPr>
            </w:pPr>
            <w:r>
              <w:rPr>
                <w:rFonts w:ascii="Arial" w:cs="Arial" w:eastAsia="Arial" w:hAnsi="Arial"/>
                <w:sz w:val="18"/>
                <w:szCs w:val="18"/>
                <w:color w:val="auto"/>
              </w:rPr>
              <w:t>Noncontrolling interest earnings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w:t>
            </w:r>
          </w:p>
        </w:tc>
      </w:tr>
      <w:tr>
        <w:trPr>
          <w:trHeight w:val="202"/>
        </w:trPr>
        <w:tc>
          <w:tcPr>
            <w:tcW w:w="524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Net earnings attributable to</w:t>
            </w:r>
          </w:p>
        </w:tc>
        <w:tc>
          <w:tcPr>
            <w:tcW w:w="1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4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Mondelēz International</w:t>
            </w:r>
          </w:p>
        </w:tc>
        <w:tc>
          <w:tcPr>
            <w:tcW w:w="14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548</w:t>
            </w:r>
          </w:p>
        </w:tc>
        <w:tc>
          <w:tcPr>
            <w:tcW w:w="3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7,266</w:t>
            </w:r>
          </w:p>
        </w:tc>
        <w:tc>
          <w:tcPr>
            <w:tcW w:w="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1,566</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7,996</w:t>
            </w:r>
          </w:p>
        </w:tc>
      </w:tr>
      <w:tr>
        <w:trPr>
          <w:trHeight w:val="20"/>
        </w:trPr>
        <w:tc>
          <w:tcPr>
            <w:tcW w:w="5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240" w:type="dxa"/>
            <w:vAlign w:val="bottom"/>
          </w:tcPr>
          <w:p>
            <w:pPr>
              <w:ind w:left="540"/>
              <w:spacing w:after="0" w:line="196" w:lineRule="exact"/>
              <w:rPr>
                <w:sz w:val="20"/>
                <w:szCs w:val="20"/>
                <w:color w:val="auto"/>
              </w:rPr>
            </w:pPr>
            <w:r>
              <w:rPr>
                <w:rFonts w:ascii="Arial" w:cs="Arial" w:eastAsia="Arial" w:hAnsi="Arial"/>
                <w:sz w:val="18"/>
                <w:szCs w:val="18"/>
                <w:color w:val="auto"/>
              </w:rPr>
              <w:t>Weighted-average shares for basic EPS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1,557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1,561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1,627</w:t>
            </w:r>
          </w:p>
        </w:tc>
      </w:tr>
      <w:tr>
        <w:trPr>
          <w:trHeight w:val="202"/>
        </w:trPr>
        <w:tc>
          <w:tcPr>
            <w:tcW w:w="52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Plus incremental shares from assumed conversions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4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of stock options and long-term incentive plan shares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19</w:t>
            </w:r>
          </w:p>
        </w:tc>
      </w:tr>
      <w:tr>
        <w:trPr>
          <w:trHeight w:val="20"/>
        </w:trPr>
        <w:tc>
          <w:tcPr>
            <w:tcW w:w="5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240" w:type="dxa"/>
            <w:vAlign w:val="bottom"/>
          </w:tcPr>
          <w:p>
            <w:pPr>
              <w:ind w:left="540"/>
              <w:spacing w:after="0"/>
              <w:rPr>
                <w:sz w:val="20"/>
                <w:szCs w:val="20"/>
                <w:color w:val="auto"/>
              </w:rPr>
            </w:pPr>
            <w:r>
              <w:rPr>
                <w:rFonts w:ascii="Arial" w:cs="Arial" w:eastAsia="Arial" w:hAnsi="Arial"/>
                <w:sz w:val="18"/>
                <w:szCs w:val="18"/>
                <w:color w:val="auto"/>
              </w:rPr>
              <w:t>Weighted-average shares for diluted EPS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1,579</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1,646</w:t>
            </w:r>
          </w:p>
        </w:tc>
      </w:tr>
      <w:tr>
        <w:trPr>
          <w:trHeight w:val="20"/>
        </w:trPr>
        <w:tc>
          <w:tcPr>
            <w:tcW w:w="5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540"/>
              <w:spacing w:after="0" w:line="195" w:lineRule="exact"/>
              <w:rPr>
                <w:sz w:val="20"/>
                <w:szCs w:val="20"/>
                <w:color w:val="auto"/>
              </w:rPr>
            </w:pPr>
            <w:r>
              <w:rPr>
                <w:rFonts w:ascii="Arial" w:cs="Arial" w:eastAsia="Arial" w:hAnsi="Arial"/>
                <w:sz w:val="18"/>
                <w:szCs w:val="18"/>
                <w:color w:val="auto"/>
              </w:rPr>
              <w:t>Basic earnings per share attributable to</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24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Mondelēz International</w:t>
            </w:r>
          </w:p>
        </w:tc>
        <w:tc>
          <w:tcPr>
            <w:tcW w:w="14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4.91</w:t>
            </w:r>
          </w:p>
        </w:tc>
        <w:tc>
          <w:tcPr>
            <w:tcW w:w="120" w:type="dxa"/>
            <w:vAlign w:val="bottom"/>
            <w:shd w:val="clear" w:color="auto" w:fill="CCEEFF"/>
          </w:tcPr>
          <w:p>
            <w:pPr>
              <w:spacing w:after="0"/>
              <w:rPr>
                <w:sz w:val="17"/>
                <w:szCs w:val="17"/>
                <w:color w:val="auto"/>
              </w:rPr>
            </w:pPr>
          </w:p>
        </w:tc>
      </w:tr>
      <w:tr>
        <w:trPr>
          <w:trHeight w:val="202"/>
        </w:trPr>
        <w:tc>
          <w:tcPr>
            <w:tcW w:w="5240" w:type="dxa"/>
            <w:vAlign w:val="bottom"/>
          </w:tcPr>
          <w:p>
            <w:pPr>
              <w:ind w:left="540"/>
              <w:spacing w:after="0" w:line="201" w:lineRule="exact"/>
              <w:rPr>
                <w:sz w:val="20"/>
                <w:szCs w:val="20"/>
                <w:color w:val="auto"/>
              </w:rPr>
            </w:pPr>
            <w:r>
              <w:rPr>
                <w:rFonts w:ascii="Arial" w:cs="Arial" w:eastAsia="Arial" w:hAnsi="Arial"/>
                <w:sz w:val="18"/>
                <w:szCs w:val="18"/>
                <w:color w:val="auto"/>
              </w:rPr>
              <w:t>Diluted earnings per share attributable to</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5240" w:type="dxa"/>
            <w:vAlign w:val="bottom"/>
          </w:tcPr>
          <w:p>
            <w:pPr>
              <w:ind w:left="720"/>
              <w:spacing w:after="0"/>
              <w:rPr>
                <w:sz w:val="20"/>
                <w:szCs w:val="20"/>
                <w:color w:val="auto"/>
              </w:rPr>
            </w:pPr>
            <w:r>
              <w:rPr>
                <w:rFonts w:ascii="Arial" w:cs="Arial" w:eastAsia="Arial" w:hAnsi="Arial"/>
                <w:sz w:val="18"/>
                <w:szCs w:val="18"/>
                <w:color w:val="auto"/>
              </w:rPr>
              <w:t>Mondelēz International</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0.35</w:t>
            </w:r>
          </w:p>
        </w:tc>
        <w:tc>
          <w:tcPr>
            <w:tcW w:w="8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4.3 million for the three months and 7.7 million for the nine months ended September 30, 2016 and less than 1 million for the three months and 10.8 million for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five reportable operating segments:</w:t>
      </w:r>
    </w:p>
    <w:p>
      <w:pPr>
        <w:ind w:left="900" w:hanging="325"/>
        <w:spacing w:after="0" w:line="23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Asia Pacific</w:t>
      </w:r>
    </w:p>
    <w:p>
      <w:pPr>
        <w:ind w:left="900" w:hanging="325"/>
        <w:spacing w:after="0" w:line="23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EEMEA</w:t>
      </w:r>
    </w:p>
    <w:p>
      <w:pPr>
        <w:ind w:left="900" w:hanging="325"/>
        <w:spacing w:after="0" w:line="23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October 1, 2016, we integrated our EEMEA business into our Europe and Asia Pacific segments. Russia, Ukraine, Turkey, Belarus, Georgia and Kazakhstan were combined within our Europe operating segment, while the remaining Middle East and African countries were combined within our Asia Pacific operating segment to form a new Asia, Middle East and Africa (“AMEA”) regional operating segment.</w:t>
      </w:r>
    </w:p>
    <w:p>
      <w:pPr>
        <w:spacing w:after="0" w:line="203"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Within segment operating income, equity method investment net earnings were $56 million for the nine months ended September 30, 2015, including $49 million in Asia Pacific, $3 million in EEMEA and $4 million in North America. See Note 1, </w:t>
      </w:r>
      <w:r>
        <w:rPr>
          <w:rFonts w:ascii="Arial" w:cs="Arial" w:eastAsia="Arial" w:hAnsi="Arial"/>
          <w:sz w:val="18"/>
          <w:szCs w:val="18"/>
          <w:i w:val="1"/>
          <w:iCs w:val="1"/>
          <w:color w:val="auto"/>
        </w:rPr>
        <w:t>Basis of Presentation – Principles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and Note 2,</w:t>
      </w:r>
      <w:r>
        <w:rPr>
          <w:rFonts w:ascii="Arial" w:cs="Arial" w:eastAsia="Arial" w:hAnsi="Arial"/>
          <w:sz w:val="18"/>
          <w:szCs w:val="18"/>
          <w:i w:val="1"/>
          <w:iCs w:val="1"/>
          <w:color w:val="auto"/>
        </w:rPr>
        <w:t xml:space="preserve"> Divestitures and Acquisitions</w:t>
      </w:r>
      <w:r>
        <w:rPr>
          <w:rFonts w:ascii="Arial" w:cs="Arial" w:eastAsia="Arial" w:hAnsi="Arial"/>
          <w:sz w:val="18"/>
          <w:szCs w:val="18"/>
          <w:color w:val="auto"/>
        </w:rPr>
        <w:t>, for additional information.</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or acquisitions, gain on the JDE coffee business transactions, loss on deconsolidation of Venezuela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For the Three Months Ended</w:t>
            </w:r>
          </w:p>
        </w:tc>
        <w:tc>
          <w:tcPr>
            <w:tcW w:w="2740" w:type="dxa"/>
            <w:vAlign w:val="bottom"/>
            <w:gridSpan w:val="7"/>
          </w:tcPr>
          <w:p>
            <w:pPr>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560" w:type="dxa"/>
            <w:vAlign w:val="bottom"/>
            <w:gridSpan w:val="6"/>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5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3"/>
                <w:szCs w:val="13"/>
                <w:color w:val="auto"/>
              </w:rPr>
            </w:pPr>
          </w:p>
        </w:tc>
      </w:tr>
      <w:tr>
        <w:trPr>
          <w:trHeight w:val="156"/>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right"/>
              <w:ind w:right="680"/>
              <w:spacing w:after="0" w:line="155"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3"/>
        </w:trPr>
        <w:tc>
          <w:tcPr>
            <w:tcW w:w="6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50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868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1,233</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2,528</w:t>
            </w:r>
          </w:p>
        </w:tc>
        <w:tc>
          <w:tcPr>
            <w:tcW w:w="3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3,730</w:t>
            </w:r>
          </w:p>
        </w:tc>
      </w:tr>
      <w:tr>
        <w:trPr>
          <w:trHeight w:val="203"/>
        </w:trPr>
        <w:tc>
          <w:tcPr>
            <w:tcW w:w="6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1,128</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3,278</w:t>
            </w:r>
          </w:p>
        </w:tc>
      </w:tr>
      <w:tr>
        <w:trPr>
          <w:trHeight w:val="203"/>
        </w:trPr>
        <w:tc>
          <w:tcPr>
            <w:tcW w:w="650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543</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2,150</w:t>
            </w:r>
          </w:p>
        </w:tc>
      </w:tr>
      <w:tr>
        <w:trPr>
          <w:trHeight w:val="203"/>
        </w:trPr>
        <w:tc>
          <w:tcPr>
            <w:tcW w:w="6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2,104</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2,173</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7,963</w:t>
            </w:r>
          </w:p>
        </w:tc>
      </w:tr>
      <w:tr>
        <w:trPr>
          <w:trHeight w:val="203"/>
        </w:trPr>
        <w:tc>
          <w:tcPr>
            <w:tcW w:w="650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1,753</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1,756</w:t>
            </w:r>
          </w:p>
        </w:tc>
        <w:tc>
          <w:tcPr>
            <w:tcW w:w="18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5,151</w:t>
            </w:r>
          </w:p>
        </w:tc>
      </w:tr>
      <w:tr>
        <w:trPr>
          <w:trHeight w:val="27"/>
        </w:trPr>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6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6,396</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6,849</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19,153</w:t>
            </w: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22,272</w:t>
            </w:r>
          </w:p>
        </w:tc>
      </w:tr>
      <w:tr>
        <w:trPr>
          <w:trHeight w:val="20"/>
        </w:trPr>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61" w:lineRule="exact"/>
        <w:rPr>
          <w:sz w:val="20"/>
          <w:szCs w:val="20"/>
          <w:color w:val="auto"/>
        </w:rPr>
      </w:pPr>
    </w:p>
    <w:p>
      <w:pPr>
        <w:ind w:left="880" w:right="900" w:hanging="296"/>
        <w:spacing w:after="0" w:line="241" w:lineRule="auto"/>
        <w:tabs>
          <w:tab w:leader="none" w:pos="888"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Net revenues of $315 million for the three months and $834 million for the nine months ended September 30, 2015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 Inflationary Accounting: Venezuela,</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880" w:right="920" w:hanging="296"/>
        <w:spacing w:after="0" w:line="250" w:lineRule="auto"/>
        <w:tabs>
          <w:tab w:leader="none" w:pos="888"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Net revenues of our global coffee business were $1,348 million in Europe, $246 million in EEMEA and $33 million in Asia Pacific for the nine months ended September 30, 2015.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2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For the Three Months Ended</w:t>
            </w:r>
          </w:p>
        </w:tc>
        <w:tc>
          <w:tcPr>
            <w:tcW w:w="2740" w:type="dxa"/>
            <w:vAlign w:val="bottom"/>
            <w:gridSpan w:val="7"/>
          </w:tcPr>
          <w:p>
            <w:pPr>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6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560" w:type="dxa"/>
            <w:vAlign w:val="bottom"/>
            <w:gridSpan w:val="6"/>
          </w:tcPr>
          <w:p>
            <w:pPr>
              <w:jc w:val="right"/>
              <w:ind w:right="13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5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2015</w:t>
            </w:r>
          </w:p>
        </w:tc>
        <w:tc>
          <w:tcPr>
            <w:tcW w:w="860" w:type="dxa"/>
            <w:vAlign w:val="bottom"/>
          </w:tcPr>
          <w:p>
            <w:pPr>
              <w:spacing w:after="0"/>
              <w:rPr>
                <w:sz w:val="13"/>
                <w:szCs w:val="13"/>
                <w:color w:val="auto"/>
              </w:rPr>
            </w:pPr>
          </w:p>
        </w:tc>
      </w:tr>
      <w:tr>
        <w:trPr>
          <w:trHeight w:val="156"/>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jc w:val="right"/>
              <w:ind w:right="72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3"/>
        </w:trPr>
        <w:tc>
          <w:tcPr>
            <w:tcW w:w="6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50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191</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860" w:type="dxa"/>
            <w:vAlign w:val="bottom"/>
            <w:shd w:val="clear" w:color="auto" w:fill="CCEEFF"/>
          </w:tcPr>
          <w:p>
            <w:pPr>
              <w:spacing w:after="0"/>
              <w:rPr>
                <w:sz w:val="17"/>
                <w:szCs w:val="17"/>
                <w:color w:val="auto"/>
              </w:rPr>
            </w:pPr>
          </w:p>
        </w:tc>
      </w:tr>
      <w:tr>
        <w:trPr>
          <w:trHeight w:val="203"/>
        </w:trPr>
        <w:tc>
          <w:tcPr>
            <w:tcW w:w="650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135</w:t>
            </w:r>
          </w:p>
        </w:tc>
        <w:tc>
          <w:tcPr>
            <w:tcW w:w="18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71</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860" w:type="dxa"/>
            <w:vAlign w:val="bottom"/>
          </w:tcPr>
          <w:p>
            <w:pPr>
              <w:spacing w:after="0"/>
              <w:rPr>
                <w:sz w:val="17"/>
                <w:szCs w:val="17"/>
                <w:color w:val="auto"/>
              </w:rPr>
            </w:pPr>
          </w:p>
        </w:tc>
      </w:tr>
      <w:tr>
        <w:trPr>
          <w:trHeight w:val="203"/>
        </w:trPr>
        <w:tc>
          <w:tcPr>
            <w:tcW w:w="6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860" w:type="dxa"/>
            <w:vAlign w:val="bottom"/>
            <w:shd w:val="clear" w:color="auto" w:fill="CCEEFF"/>
          </w:tcPr>
          <w:p>
            <w:pPr>
              <w:spacing w:after="0"/>
              <w:rPr>
                <w:sz w:val="17"/>
                <w:szCs w:val="17"/>
                <w:color w:val="auto"/>
              </w:rPr>
            </w:pPr>
          </w:p>
        </w:tc>
      </w:tr>
      <w:tr>
        <w:trPr>
          <w:trHeight w:val="203"/>
        </w:trPr>
        <w:tc>
          <w:tcPr>
            <w:tcW w:w="650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302</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860" w:type="dxa"/>
            <w:vAlign w:val="bottom"/>
          </w:tcPr>
          <w:p>
            <w:pPr>
              <w:spacing w:after="0"/>
              <w:rPr>
                <w:sz w:val="17"/>
                <w:szCs w:val="17"/>
                <w:color w:val="auto"/>
              </w:rPr>
            </w:pPr>
          </w:p>
        </w:tc>
      </w:tr>
      <w:tr>
        <w:trPr>
          <w:trHeight w:val="203"/>
        </w:trPr>
        <w:tc>
          <w:tcPr>
            <w:tcW w:w="6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860" w:type="dxa"/>
            <w:vAlign w:val="bottom"/>
            <w:shd w:val="clear" w:color="auto" w:fill="CCEEFF"/>
          </w:tcPr>
          <w:p>
            <w:pPr>
              <w:spacing w:after="0"/>
              <w:rPr>
                <w:sz w:val="17"/>
                <w:szCs w:val="17"/>
                <w:color w:val="auto"/>
              </w:rPr>
            </w:pPr>
          </w:p>
        </w:tc>
      </w:tr>
      <w:tr>
        <w:trPr>
          <w:trHeight w:val="202"/>
        </w:trPr>
        <w:tc>
          <w:tcPr>
            <w:tcW w:w="6500" w:type="dxa"/>
            <w:vAlign w:val="bottom"/>
          </w:tcPr>
          <w:p>
            <w:pPr>
              <w:ind w:left="900"/>
              <w:spacing w:after="0" w:line="201" w:lineRule="exact"/>
              <w:rPr>
                <w:sz w:val="20"/>
                <w:szCs w:val="20"/>
                <w:color w:val="auto"/>
              </w:rPr>
            </w:pPr>
            <w:r>
              <w:rPr>
                <w:rFonts w:ascii="Arial" w:cs="Arial" w:eastAsia="Arial" w:hAnsi="Arial"/>
                <w:sz w:val="18"/>
                <w:szCs w:val="18"/>
                <w:color w:val="auto"/>
              </w:rPr>
              <w:t>Unrealized gains / (losses) on hedging activities (mark-to-market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6500" w:type="dxa"/>
            <w:vAlign w:val="bottom"/>
          </w:tcPr>
          <w:p>
            <w:pPr>
              <w:ind w:left="1080"/>
              <w:spacing w:after="0" w:line="203" w:lineRule="exact"/>
              <w:rPr>
                <w:sz w:val="20"/>
                <w:szCs w:val="20"/>
                <w:color w:val="auto"/>
              </w:rPr>
            </w:pPr>
            <w:r>
              <w:rPr>
                <w:rFonts w:ascii="Arial" w:cs="Arial" w:eastAsia="Arial" w:hAnsi="Arial"/>
                <w:sz w:val="18"/>
                <w:szCs w:val="18"/>
                <w:color w:val="auto"/>
              </w:rPr>
              <w:t>impacts)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60"/>
              <w:spacing w:after="0" w:line="203" w:lineRule="exact"/>
              <w:rPr>
                <w:sz w:val="20"/>
                <w:szCs w:val="20"/>
                <w:color w:val="auto"/>
              </w:rPr>
            </w:pPr>
            <w:r>
              <w:rPr>
                <w:rFonts w:ascii="Arial" w:cs="Arial" w:eastAsia="Arial" w:hAnsi="Arial"/>
                <w:sz w:val="18"/>
                <w:szCs w:val="18"/>
                <w:color w:val="auto"/>
              </w:rPr>
              <w:t>75</w:t>
            </w:r>
          </w:p>
        </w:tc>
      </w:tr>
      <w:tr>
        <w:trPr>
          <w:trHeight w:val="203"/>
        </w:trPr>
        <w:tc>
          <w:tcPr>
            <w:tcW w:w="6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650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65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Gains on JDE coffee business transactions and divestiture</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7,122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7,135</w:t>
            </w:r>
          </w:p>
        </w:tc>
      </w:tr>
      <w:tr>
        <w:trPr>
          <w:trHeight w:val="203"/>
        </w:trPr>
        <w:tc>
          <w:tcPr>
            <w:tcW w:w="6500" w:type="dxa"/>
            <w:vAlign w:val="bottom"/>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(8)</w:t>
            </w:r>
          </w:p>
        </w:tc>
      </w:tr>
      <w:tr>
        <w:trPr>
          <w:trHeight w:val="27"/>
        </w:trPr>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65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702</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7,802</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9,454</w:t>
            </w:r>
          </w:p>
        </w:tc>
      </w:tr>
      <w:tr>
        <w:trPr>
          <w:trHeight w:val="203"/>
        </w:trPr>
        <w:tc>
          <w:tcPr>
            <w:tcW w:w="650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(145)</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(114)</w:t>
            </w:r>
          </w:p>
        </w:tc>
        <w:tc>
          <w:tcPr>
            <w:tcW w:w="18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(814)</w:t>
            </w:r>
          </w:p>
        </w:tc>
      </w:tr>
      <w:tr>
        <w:trPr>
          <w:trHeight w:val="27"/>
        </w:trPr>
        <w:tc>
          <w:tcPr>
            <w:tcW w:w="6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65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7,688</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1,522</w:t>
            </w:r>
          </w:p>
        </w:tc>
        <w:tc>
          <w:tcPr>
            <w:tcW w:w="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8,640</w:t>
            </w:r>
          </w:p>
        </w:tc>
      </w:tr>
      <w:tr>
        <w:trPr>
          <w:trHeight w:val="20"/>
        </w:trPr>
        <w:tc>
          <w:tcPr>
            <w:tcW w:w="6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including the Venezuela deconsolidation and currency devaluation,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and Note 6, </w:t>
      </w:r>
      <w:r>
        <w:rPr>
          <w:rFonts w:ascii="Arial" w:cs="Arial" w:eastAsia="Arial" w:hAnsi="Arial"/>
          <w:sz w:val="18"/>
          <w:szCs w:val="18"/>
          <w:i w:val="1"/>
          <w:iCs w:val="1"/>
          <w:color w:val="auto"/>
        </w:rPr>
        <w:t>2014-2018 Restructuring</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10"/>
          </w:tcPr>
          <w:p>
            <w:pPr>
              <w:jc w:val="center"/>
              <w:ind w:left="556"/>
              <w:spacing w:after="0"/>
              <w:rPr>
                <w:sz w:val="20"/>
                <w:szCs w:val="20"/>
                <w:color w:val="auto"/>
              </w:rPr>
            </w:pPr>
            <w:r>
              <w:rPr>
                <w:rFonts w:ascii="Arial" w:cs="Arial" w:eastAsia="Arial" w:hAnsi="Arial"/>
                <w:sz w:val="14"/>
                <w:szCs w:val="14"/>
                <w:b w:val="1"/>
                <w:bCs w:val="1"/>
                <w:color w:val="auto"/>
              </w:rPr>
              <w:t>For the Three Months Ended September 30, 2016</w:t>
            </w: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2"/>
                <w:szCs w:val="12"/>
                <w:color w:val="auto"/>
              </w:rPr>
            </w:pPr>
          </w:p>
        </w:tc>
        <w:tc>
          <w:tcPr>
            <w:tcW w:w="1140" w:type="dxa"/>
            <w:vAlign w:val="bottom"/>
            <w:gridSpan w:val="2"/>
          </w:tcPr>
          <w:p>
            <w:pPr>
              <w:jc w:val="center"/>
              <w:ind w:right="520"/>
              <w:spacing w:after="0" w:line="143" w:lineRule="exact"/>
              <w:rPr>
                <w:sz w:val="20"/>
                <w:szCs w:val="20"/>
                <w:color w:val="auto"/>
              </w:rPr>
            </w:pPr>
            <w:r>
              <w:rPr>
                <w:rFonts w:ascii="Arial" w:cs="Arial" w:eastAsia="Arial" w:hAnsi="Arial"/>
                <w:sz w:val="14"/>
                <w:szCs w:val="14"/>
                <w:b w:val="1"/>
                <w:bCs w:val="1"/>
                <w:color w:val="auto"/>
              </w:rPr>
              <w:t>Asia</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2,687</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223</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1,021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1,882</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989</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77</w:t>
            </w:r>
          </w:p>
        </w:tc>
        <w:tc>
          <w:tcPr>
            <w:tcW w:w="18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530</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868</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2,104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1,753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6,396</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left="556"/>
              <w:spacing w:after="0"/>
              <w:rPr>
                <w:sz w:val="20"/>
                <w:szCs w:val="20"/>
                <w:color w:val="auto"/>
              </w:rPr>
            </w:pPr>
            <w:r>
              <w:rPr>
                <w:rFonts w:ascii="Arial" w:cs="Arial" w:eastAsia="Arial" w:hAnsi="Arial"/>
                <w:sz w:val="14"/>
                <w:szCs w:val="14"/>
                <w:b w:val="1"/>
                <w:bCs w:val="1"/>
                <w:color w:val="auto"/>
              </w:rPr>
              <w:t>For the Three Months Ended September 30, 2015</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2"/>
                <w:szCs w:val="12"/>
                <w:color w:val="auto"/>
              </w:rPr>
            </w:pPr>
          </w:p>
        </w:tc>
        <w:tc>
          <w:tcPr>
            <w:tcW w:w="1140" w:type="dxa"/>
            <w:vAlign w:val="bottom"/>
            <w:gridSpan w:val="2"/>
          </w:tcPr>
          <w:p>
            <w:pPr>
              <w:jc w:val="center"/>
              <w:ind w:right="520"/>
              <w:spacing w:after="0" w:line="139" w:lineRule="exact"/>
              <w:rPr>
                <w:sz w:val="20"/>
                <w:szCs w:val="20"/>
                <w:color w:val="auto"/>
              </w:rPr>
            </w:pPr>
            <w:r>
              <w:rPr>
                <w:rFonts w:ascii="Arial" w:cs="Arial" w:eastAsia="Arial" w:hAnsi="Arial"/>
                <w:sz w:val="14"/>
                <w:szCs w:val="14"/>
                <w:b w:val="1"/>
                <w:bCs w:val="1"/>
                <w:color w:val="auto"/>
              </w:rPr>
              <w:t>Asia</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(2)</w:t>
            </w:r>
          </w:p>
        </w:tc>
        <w:tc>
          <w:tcPr>
            <w:tcW w:w="1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592</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2,907</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1,924</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76</w:t>
            </w:r>
          </w:p>
        </w:tc>
        <w:tc>
          <w:tcPr>
            <w:tcW w:w="180" w:type="dxa"/>
            <w:vAlign w:val="bottom"/>
          </w:tcPr>
          <w:p>
            <w:pPr>
              <w:spacing w:after="0"/>
              <w:rPr>
                <w:sz w:val="17"/>
                <w:szCs w:val="17"/>
                <w:color w:val="auto"/>
              </w:rPr>
            </w:pPr>
          </w:p>
        </w:tc>
        <w:tc>
          <w:tcPr>
            <w:tcW w:w="11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643</w:t>
            </w:r>
          </w:p>
        </w:tc>
      </w:tr>
      <w:tr>
        <w:trPr>
          <w:trHeight w:val="20"/>
        </w:trPr>
        <w:tc>
          <w:tcPr>
            <w:tcW w:w="3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1,233</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1,756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6,849</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left="556"/>
              <w:spacing w:after="0"/>
              <w:rPr>
                <w:sz w:val="20"/>
                <w:szCs w:val="20"/>
                <w:color w:val="auto"/>
              </w:rPr>
            </w:pPr>
            <w:r>
              <w:rPr>
                <w:rFonts w:ascii="Arial" w:cs="Arial" w:eastAsia="Arial" w:hAnsi="Arial"/>
                <w:sz w:val="14"/>
                <w:szCs w:val="14"/>
                <w:b w:val="1"/>
                <w:bCs w:val="1"/>
                <w:color w:val="auto"/>
              </w:rPr>
              <w:t>For the Nine Months Ended September 30, 2016</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2"/>
                <w:szCs w:val="12"/>
                <w:color w:val="auto"/>
              </w:rPr>
            </w:pPr>
          </w:p>
        </w:tc>
        <w:tc>
          <w:tcPr>
            <w:tcW w:w="1140" w:type="dxa"/>
            <w:vAlign w:val="bottom"/>
            <w:gridSpan w:val="2"/>
          </w:tcPr>
          <w:p>
            <w:pPr>
              <w:jc w:val="center"/>
              <w:ind w:right="520"/>
              <w:spacing w:after="0" w:line="143" w:lineRule="exact"/>
              <w:rPr>
                <w:sz w:val="20"/>
                <w:szCs w:val="20"/>
                <w:color w:val="auto"/>
              </w:rPr>
            </w:pPr>
            <w:r>
              <w:rPr>
                <w:rFonts w:ascii="Arial" w:cs="Arial" w:eastAsia="Arial" w:hAnsi="Arial"/>
                <w:sz w:val="14"/>
                <w:szCs w:val="14"/>
                <w:b w:val="1"/>
                <w:bCs w:val="1"/>
                <w:color w:val="auto"/>
              </w:rPr>
              <w:t>Asia</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Europe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991</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1,848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4,162</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7,931</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562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1,088</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549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3,124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5,476</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713</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2,979</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466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1,103</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7"/>
                <w:szCs w:val="17"/>
                <w:color w:val="auto"/>
              </w:rPr>
            </w:pPr>
          </w:p>
        </w:tc>
      </w:tr>
      <w:tr>
        <w:trPr>
          <w:trHeight w:val="210"/>
        </w:trPr>
        <w:tc>
          <w:tcPr>
            <w:tcW w:w="36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2,528</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1,738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6,461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5,148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19,153</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left="556"/>
              <w:spacing w:after="0"/>
              <w:rPr>
                <w:sz w:val="20"/>
                <w:szCs w:val="20"/>
                <w:color w:val="auto"/>
              </w:rPr>
            </w:pPr>
            <w:r>
              <w:rPr>
                <w:rFonts w:ascii="Arial" w:cs="Arial" w:eastAsia="Arial" w:hAnsi="Arial"/>
                <w:sz w:val="14"/>
                <w:szCs w:val="14"/>
                <w:b w:val="1"/>
                <w:bCs w:val="1"/>
                <w:color w:val="auto"/>
              </w:rPr>
              <w:t>For the Nine Months Ended September 30, 2015</w:t>
            </w: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9"/>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rPr>
              <w:t>Latin</w:t>
            </w:r>
          </w:p>
        </w:tc>
        <w:tc>
          <w:tcPr>
            <w:tcW w:w="180" w:type="dxa"/>
            <w:vAlign w:val="bottom"/>
          </w:tcPr>
          <w:p>
            <w:pPr>
              <w:spacing w:after="0"/>
              <w:rPr>
                <w:sz w:val="12"/>
                <w:szCs w:val="12"/>
                <w:color w:val="auto"/>
              </w:rPr>
            </w:pPr>
          </w:p>
        </w:tc>
        <w:tc>
          <w:tcPr>
            <w:tcW w:w="1140" w:type="dxa"/>
            <w:vAlign w:val="bottom"/>
            <w:gridSpan w:val="2"/>
          </w:tcPr>
          <w:p>
            <w:pPr>
              <w:jc w:val="center"/>
              <w:ind w:right="520"/>
              <w:spacing w:after="0" w:line="139" w:lineRule="exact"/>
              <w:rPr>
                <w:sz w:val="20"/>
                <w:szCs w:val="20"/>
                <w:color w:val="auto"/>
              </w:rPr>
            </w:pPr>
            <w:r>
              <w:rPr>
                <w:rFonts w:ascii="Arial" w:cs="Arial" w:eastAsia="Arial" w:hAnsi="Arial"/>
                <w:sz w:val="14"/>
                <w:szCs w:val="14"/>
                <w:b w:val="1"/>
                <w:bCs w:val="1"/>
                <w:color w:val="auto"/>
              </w:rPr>
              <w:t>Asia</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44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(2)</w:t>
            </w:r>
          </w:p>
        </w:tc>
        <w:tc>
          <w:tcPr>
            <w:tcW w:w="180" w:type="dxa"/>
            <w:vAlign w:val="bottom"/>
          </w:tcPr>
          <w:p>
            <w:pPr>
              <w:spacing w:after="0"/>
              <w:rPr>
                <w:sz w:val="15"/>
                <w:szCs w:val="15"/>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Pacific</w:t>
            </w:r>
          </w:p>
        </w:tc>
        <w:tc>
          <w:tcPr>
            <w:tcW w:w="18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EEMEA</w:t>
            </w:r>
          </w:p>
        </w:tc>
        <w:tc>
          <w:tcPr>
            <w:tcW w:w="140" w:type="dxa"/>
            <w:vAlign w:val="bottom"/>
          </w:tcPr>
          <w:p>
            <w:pPr>
              <w:spacing w:after="0"/>
              <w:rPr>
                <w:sz w:val="15"/>
                <w:szCs w:val="15"/>
                <w:color w:val="auto"/>
              </w:rPr>
            </w:pPr>
          </w:p>
        </w:tc>
        <w:tc>
          <w:tcPr>
            <w:tcW w:w="1040" w:type="dxa"/>
            <w:vAlign w:val="bottom"/>
            <w:gridSpan w:val="2"/>
          </w:tcPr>
          <w:p>
            <w:pPr>
              <w:jc w:val="center"/>
              <w:ind w:right="300"/>
              <w:spacing w:after="0" w:line="179" w:lineRule="exact"/>
              <w:rPr>
                <w:sz w:val="20"/>
                <w:szCs w:val="20"/>
                <w:color w:val="auto"/>
              </w:rPr>
            </w:pPr>
            <w:r>
              <w:rPr>
                <w:rFonts w:ascii="Arial" w:cs="Arial" w:eastAsia="Arial" w:hAnsi="Arial"/>
                <w:sz w:val="12"/>
                <w:szCs w:val="12"/>
                <w:b w:val="1"/>
                <w:bCs w:val="1"/>
                <w:color w:val="auto"/>
              </w:rPr>
              <w:t xml:space="preserve">Europe </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4"/>
        </w:trPr>
        <w:tc>
          <w:tcPr>
            <w:tcW w:w="36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80"/>
        </w:trPr>
        <w:tc>
          <w:tcPr>
            <w:tcW w:w="3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1,828</w:t>
            </w:r>
          </w:p>
        </w:tc>
        <w:tc>
          <w:tcPr>
            <w:tcW w:w="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4,161</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8,472</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680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1,074</w:t>
            </w: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627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3,204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5,746</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3,207</w:t>
            </w:r>
          </w:p>
        </w:tc>
      </w:tr>
      <w:tr>
        <w:trPr>
          <w:trHeight w:val="203"/>
        </w:trPr>
        <w:tc>
          <w:tcPr>
            <w:tcW w:w="3620" w:type="dxa"/>
            <w:vAlign w:val="bottom"/>
          </w:tcPr>
          <w:p>
            <w:pPr>
              <w:ind w:left="540"/>
              <w:spacing w:after="0" w:line="202" w:lineRule="exact"/>
              <w:rPr>
                <w:sz w:val="20"/>
                <w:szCs w:val="20"/>
                <w:color w:val="auto"/>
              </w:rPr>
            </w:pPr>
            <w:r>
              <w:rPr>
                <w:rFonts w:ascii="Arial" w:cs="Arial" w:eastAsia="Arial" w:hAnsi="Arial"/>
                <w:sz w:val="18"/>
                <w:szCs w:val="18"/>
                <w:color w:val="auto"/>
              </w:rPr>
              <w:t xml:space="preserve">Beverages </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502</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2,889</w:t>
            </w:r>
          </w:p>
        </w:tc>
      </w:tr>
      <w:tr>
        <w:trPr>
          <w:trHeight w:val="203"/>
        </w:trPr>
        <w:tc>
          <w:tcPr>
            <w:tcW w:w="3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481</w:t>
            </w:r>
          </w:p>
        </w:tc>
        <w:tc>
          <w:tcPr>
            <w:tcW w:w="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7"/>
                <w:szCs w:val="17"/>
                <w:color w:val="auto"/>
              </w:rPr>
            </w:pPr>
          </w:p>
        </w:tc>
      </w:tr>
      <w:tr>
        <w:trPr>
          <w:trHeight w:val="210"/>
        </w:trPr>
        <w:tc>
          <w:tcPr>
            <w:tcW w:w="362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3,730</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3,278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7,963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5,151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22,272</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140" w:right="4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 beverage categories. Net revenues of our global coffee business were $1,348 million in Europe, $246 million in EEMEA and $33 million in Asia Pacific for the nine months ended September 30, 2015.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Our Venezuelan subsidiaries net revenues of $209 million in biscuits, $95 million in cheese &amp; grocery, $6 million in beverages and $5 million in gum &amp; candy for the three months and $496 million in biscuits, $231 million in cheese &amp; grocery, $66 million in gum &amp; candy and $41 million in beverages for the nine months ended September 30, 2015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 Inflationary Accounting: Venezuela,</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right="580" w:hanging="335"/>
        <w:spacing w:after="0" w:line="258" w:lineRule="auto"/>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2016, we realigned some of our products across product categories primarily within our Europe segment and as such, we reclassified the product category net revenues on a basis consistent with the 2016 presentation.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165 countries.</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Over the last several years, we have built a presence in the snacking category. We have expanded geographically and continue to invest in product quality, marketing and innovation behind our iconic brands while also implementing a series of cost saving initiatives. Our goals are to achieve industry-leading revenue growth over time driven by the higher expected growth rates of advantaged snack categories; leverage our cost structure through supply chain reinvention, productivity programs, overhead streamlining, volume growth and improved product mix to drive margin gains; and grow earnings per share in the top-tier of our peer group.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Items Affecting Comparability of Financial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The remaining 73.5% equity interest in JDE was held by a subsidiary of Acorn Holdings B.V. (“AHBV,” owner of DEMB prior to July 2, 2015). Please see discussion of the acquisition of an interest in Keurig below under </w:t>
      </w:r>
      <w:r>
        <w:rPr>
          <w:rFonts w:ascii="Arial" w:cs="Arial" w:eastAsia="Arial" w:hAnsi="Arial"/>
          <w:sz w:val="18"/>
          <w:szCs w:val="18"/>
          <w:i w:val="1"/>
          <w:iCs w:val="1"/>
          <w:color w:val="auto"/>
        </w:rPr>
        <w:t>Keurig Transaction</w:t>
      </w:r>
      <w:r>
        <w:rPr>
          <w:rFonts w:ascii="Arial" w:cs="Arial" w:eastAsia="Arial" w:hAnsi="Arial"/>
          <w:sz w:val="18"/>
          <w:szCs w:val="18"/>
          <w:color w:val="auto"/>
        </w:rPr>
        <w:t xml:space="preserve">. As of September 30, 2016, we hold a 26.4% equity interest in JDE following the transactions 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w:t>
      </w:r>
    </w:p>
    <w:p>
      <w:pPr>
        <w:spacing w:after="0" w:line="19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consideration we received in the JDE coffee business transactions completed on July 2, 2015, consisted of €3.8 billion of cash ($4.2 billion as of July 2, 2015), a 43.5% equity interest in JDE (prior to the decrease in ownership due to the Keurig transaction and the compensation arrangements discussed below</w:t>
      </w:r>
      <w:r>
        <w:rPr>
          <w:rFonts w:ascii="Arial" w:cs="Arial" w:eastAsia="Arial" w:hAnsi="Arial"/>
          <w:sz w:val="18"/>
          <w:szCs w:val="18"/>
          <w:i w:val="1"/>
          <w:iCs w:val="1"/>
          <w:color w:val="auto"/>
        </w:rPr>
        <w:t>)</w:t>
      </w:r>
      <w:r>
        <w:rPr>
          <w:rFonts w:ascii="Arial" w:cs="Arial" w:eastAsia="Arial" w:hAnsi="Arial"/>
          <w:sz w:val="18"/>
          <w:szCs w:val="18"/>
          <w:color w:val="auto"/>
        </w:rPr>
        <w:t xml:space="preserve"> and $794 million in receivables (related to sales price adjustments and tax formation cost payments). During the third quarter of 2015, we also recorded $283 million of cash and receivables from JDE related to reimbursement of costs that we incurred in separating our coffee businesses. The cash and equity consideration we received at closing reflects that we retained our interest in a Korea-based joint venture, Dongsuh Foods Corporation (“DSF”). During the second quarter of 2015, we also completed the sale of our interest in a Japanese coffee joint venture, Ajinomoto General Foods, Inc. (“AGF”). In lieu of contributing our interest in the AGF joint venture to JDE, we contributed the net cash proceeds from the sale as part of the overall JDE coffee business transactions. Please see Note 2, </w:t>
      </w:r>
      <w:r>
        <w:rPr>
          <w:rFonts w:ascii="Arial" w:cs="Arial" w:eastAsia="Arial" w:hAnsi="Arial"/>
          <w:sz w:val="18"/>
          <w:szCs w:val="18"/>
          <w:i w:val="1"/>
          <w:iCs w:val="1"/>
          <w:color w:val="auto"/>
        </w:rPr>
        <w:t>Divestitures and</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 – Other Divestitures and Acquisitions</w:t>
      </w:r>
      <w:r>
        <w:rPr>
          <w:rFonts w:ascii="Arial" w:cs="Arial" w:eastAsia="Arial" w:hAnsi="Arial"/>
          <w:sz w:val="18"/>
          <w:szCs w:val="18"/>
          <w:color w:val="auto"/>
        </w:rPr>
        <w:t>, for discussion of the divestiture of AGF.</w:t>
      </w:r>
    </w:p>
    <w:p>
      <w:pPr>
        <w:spacing w:after="0" w:line="203"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On July 5, 2016, we received an expected cash payment of $275 million from JDE to settle the receivable related to tax formation costs that were part of the initial sales price.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contribution of our global coffee businesses to JDE on July 2, 2015, we recorded a final pre-tax gain of $6.8 billion (or $6.6 billion after taxes) in 2015 after final adjustments as described below. We also recorded approximately $1.0 billion of pre-tax net gains related to hedging the expected cash proceeds from the transactions as described further below. During the fourth quarter of 2015, we and JDE concluded negotiations of a sales price adjustment and completed the valuation of our investment in JDE. Primarily due to the negotiated resolution of the sales price adjustment in the fourth quarter of 2015, we recorded a $ 313 million reduction in the pre-tax gain on the coffee transaction, reducing the $7.1 billion estimated gain in the third quarter of 2015 to the $6.8 billion final gain for 2015. As part of our sales price negotiations, we retained the right to collect future cash payments if certain estimated pension liabilities are realized over an agreed amount in the future. As such, we may recognize additional income related to this negotiated term in the future.</w:t>
      </w:r>
    </w:p>
    <w:p>
      <w:pPr>
        <w:spacing w:after="0" w:line="19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 xml:space="preserve">The final value of our investment in JDE on July 2, 2015 was €4.1 billion ($4.5 billion as of July 2, 2015). The fair value of the JDE investment was determined using both income-based and market-based valuation techniques. The discounted cash flow analysis reflected growth, discount and tax rates and other assumptions reflecting the underlying combined businesses and countries in which the combined coffee businesses operate. The fair value of the JDE investment also included the fair values of the </w:t>
      </w:r>
      <w:r>
        <w:rPr>
          <w:rFonts w:ascii="Arial" w:cs="Arial" w:eastAsia="Arial" w:hAnsi="Arial"/>
          <w:sz w:val="18"/>
          <w:szCs w:val="18"/>
          <w:i w:val="1"/>
          <w:iCs w:val="1"/>
          <w:color w:val="auto"/>
        </w:rPr>
        <w:t>Carte Noire</w:t>
      </w:r>
      <w:r>
        <w:rPr>
          <w:rFonts w:ascii="Arial" w:cs="Arial" w:eastAsia="Arial" w:hAnsi="Arial"/>
          <w:sz w:val="18"/>
          <w:szCs w:val="18"/>
          <w:color w:val="auto"/>
        </w:rPr>
        <w:t xml:space="preserve"> and </w:t>
      </w:r>
      <w:r>
        <w:rPr>
          <w:rFonts w:ascii="Arial" w:cs="Arial" w:eastAsia="Arial" w:hAnsi="Arial"/>
          <w:sz w:val="18"/>
          <w:szCs w:val="18"/>
          <w:i w:val="1"/>
          <w:iCs w:val="1"/>
          <w:color w:val="auto"/>
        </w:rPr>
        <w:t>Merrild</w:t>
      </w:r>
      <w:r>
        <w:rPr>
          <w:rFonts w:ascii="Arial" w:cs="Arial" w:eastAsia="Arial" w:hAnsi="Arial"/>
          <w:sz w:val="18"/>
          <w:szCs w:val="18"/>
          <w:color w:val="auto"/>
        </w:rPr>
        <w:t xml:space="preserve"> businesses, which JDE agreed to divest to comply with the conditioned approval by the European Commission related to the JDE coffee business transactions. As of the end of the first quarter of 2016, these businesses were sold by JDE. As the July 2, 2015 fair values for these businesses were recorded by JDE at their pending sales values, we did not record any gain or loss on the sales of these businesses in our share of JDE’s earnings.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connection with the expected receipt of cash in euros at the time of closing, we entered into a number of consecutive currency exchange forward contracts in 2014 and 2015 to lock in an equivalent expected value in U.S. dollars as of the date the JDE coffee business transactions were first announced in May 2014. Cumulatively, we realized aggregate net gains and received cash of approximately $1.0 billion on these hedging contracts that increased the cash we received in connection with the JDE coffee business transactions from $4.2 billion in cash consideration received to $5.2 billion. In connection with these currency contracts, we recognized net gains of $29 million in the three months and $436 million in the nine months ended September 30, 2015 within interest and other expense, net.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the close of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JDE employees. Under these arrangements, dilution of the JDE shares is limited to 2%. Upon execution of the agreements and the creation of the Class C, D and E JDE shares, as a percentage of the total JDE issued shares, our Class B shares changed from 26.5% to 26.4% and AHBV’s Class A shares changed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 As of September 30, 2016, our ownership interest in JDE was 26.4%.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Tax Matter Resolution:</w:t>
      </w:r>
    </w:p>
    <w:p>
      <w:pPr>
        <w:spacing w:after="0" w:line="1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On July 19, 2016, the Supreme Court of Spain reached a final resolution on a challenged JDE tax position held by a predecessor DEMB company that resulted in an unfavorable tax expense of €114 million ($128 million as of September 30, 2016). As a result, our earnings in the third quarter of 2016 were negatively affected by €30 million ($34 million as of September 30,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3, 2016, a subsidiary of AHBV completed the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equity method investment exchange in March 2016.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September 30, 2016. The shareholder loan has a 5.5% interest rate and is payable at the end of a seven-year term on February 27, 2023. We recorded equity earnings of $10 million for the three months and $39 million for the seven months ended September 30, 2016 and interest income from the shareholder loan of $ 6 million for the three months and $14 million for the seven months ended September 30, 2016 within equity method earnings. Additionally, we received $2 million in the three months ended and $4 million in the seven months ended September 30, 2016 of dividends on our investment in Keurig. We continue to account for our investments in JDE and Keurig under the equity method and recognize our share of their earnings within equity method investment earnings and our share of their dividends within our cash flows. As of September 30, 2016, Keurig is working to finalize the acquisition purchase price allocation.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Coffee Business Equity Earnings: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We have reflected the results of our historical coffee businesses and equity earnings from JDE, Keurig and DSF in our results from continuing operations as the coffee category continues to be a significant part of our net earnings and business strategy going forward. Historically, our coffee businesses and the income from equity method investments were recorded within our operating income as these businesses were part of our base business. While we retain an ongoing interest in coffee through equity method investments including JDE, Keurig and DSF, and we have significant influence with our equity method investments, we do not control these operations directly. As such, in the third quarter of 2015, we began to recognize equity method investment earnings, consisting primarily of investments in coffee businesses, outside of operating income. For periods prior to the third quarter of 2015, our historical coffee business and equity method investment earnings were included within our operating income.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for more information.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Venezuela Deconsolidation: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Effective as of the close of the 2015 fiscal year, we concluded that we no longer met the accounting criteria for consolidation of our Venezuelan subsidiaries due to a loss of control over our Venezuelan operations and an other-than-temporary lack of currency exchangeability. As of the close of the 2015 fiscal year, we deconsolidated and changed to the cost method of accounting for our Venezuelan operations. We recorded a $778 million pre-tax loss on December 31, 2015 as we reduced the value of our cost method investment in Venezuela and all Venezuelan receivables held by our other subsidiaries to realizable fair value, resulting in full impairment. The recorded loss also included historical cumulative translation adjustments related to our Venezuelan operations that had previously been recorded in accumulated other comprehensive losses within equity.</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Beginning in 2016, we no longer include net revenues, earnings or net assets of our Venezuelan subsidiaries within our condensed consolidated financial statements. Under the cost method of accounting, earnings are only recognized to the extent cash is received. Given the current and ongoing difficult economic, regulatory and business environment in Venezuela, there continues to be significant uncertainty related to our operations in Venezuela, and we expect these conditions will continue for the foreseeable future. We will monitor the extent of our ability to control our Venezuelan operations and the liquidity and availability of U.S. dollars at different rates as our current situation in Venezuela may change over time and lead to consolidation at a future date. See below </w:t>
      </w:r>
      <w:r>
        <w:rPr>
          <w:rFonts w:ascii="Arial" w:cs="Arial" w:eastAsia="Arial" w:hAnsi="Arial"/>
          <w:sz w:val="18"/>
          <w:szCs w:val="18"/>
          <w:i w:val="1"/>
          <w:iCs w:val="1"/>
          <w:color w:val="auto"/>
        </w:rPr>
        <w:t>Discussion and Analysis of Historical Results – Items Affecting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Comparability of Financial Results</w:t>
      </w:r>
      <w:r>
        <w:rPr>
          <w:rFonts w:ascii="Arial" w:cs="Arial" w:eastAsia="Arial" w:hAnsi="Arial"/>
          <w:sz w:val="18"/>
          <w:szCs w:val="18"/>
          <w:color w:val="auto"/>
        </w:rPr>
        <w:t>, and Note 1,</w:t>
      </w:r>
      <w:r>
        <w:rPr>
          <w:rFonts w:ascii="Arial" w:cs="Arial" w:eastAsia="Arial" w:hAnsi="Arial"/>
          <w:sz w:val="18"/>
          <w:szCs w:val="18"/>
          <w:i w:val="1"/>
          <w:iCs w:val="1"/>
          <w:color w:val="auto"/>
        </w:rPr>
        <w:t xml:space="preserve"> Basis of Presentation </w:t>
      </w:r>
      <w:r>
        <w:rPr>
          <w:rFonts w:ascii="Arial" w:cs="Arial" w:eastAsia="Arial" w:hAnsi="Arial"/>
          <w:sz w:val="18"/>
          <w:szCs w:val="18"/>
          <w:color w:val="auto"/>
        </w:rPr>
        <w:t>–</w:t>
      </w:r>
      <w:r>
        <w:rPr>
          <w:rFonts w:ascii="Arial" w:cs="Arial" w:eastAsia="Arial" w:hAnsi="Arial"/>
          <w:sz w:val="18"/>
          <w:szCs w:val="18"/>
          <w:i w:val="1"/>
          <w:iCs w:val="1"/>
          <w:color w:val="auto"/>
        </w:rPr>
        <w:t>Currency Translation and Highly Inflationary Accounting: Venezuela</w:t>
      </w:r>
      <w:r>
        <w:rPr>
          <w:rFonts w:ascii="Arial" w:cs="Arial" w:eastAsia="Arial" w:hAnsi="Arial"/>
          <w:sz w:val="18"/>
          <w:szCs w:val="18"/>
          <w:color w:val="auto"/>
        </w:rPr>
        <w: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on our historical Venezuelan operating results, including the remeasurement loss recorded in the first quarter of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seek to achieve top-tier financial performance. We manage our business to achieve this goal using our key operating metrics: Organic Net Revenue, Adjusted Operating Income and Adjusted EPS. We use these non-GAAP financial metrics and related computations such as margins internally to evaluate and manage our business,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have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7" w:lineRule="exact"/>
        <w:rPr>
          <w:sz w:val="20"/>
          <w:szCs w:val="20"/>
          <w:color w:val="auto"/>
        </w:rPr>
      </w:pPr>
    </w:p>
    <w:p>
      <w:pPr>
        <w:ind w:right="700"/>
        <w:spacing w:after="0" w:line="234" w:lineRule="auto"/>
        <w:rPr>
          <w:sz w:val="20"/>
          <w:szCs w:val="20"/>
          <w:color w:val="auto"/>
        </w:rPr>
      </w:pPr>
      <w:r>
        <w:rPr>
          <w:rFonts w:ascii="Arial" w:cs="Arial" w:eastAsia="Arial" w:hAnsi="Arial"/>
          <w:sz w:val="18"/>
          <w:szCs w:val="18"/>
          <w:color w:val="auto"/>
        </w:rPr>
        <w:t>In addition to monitoring our key operating metrics, we monitor a number of developments or trends that could impact our revenue and profitability objectives.</w:t>
      </w:r>
    </w:p>
    <w:p>
      <w:pPr>
        <w:spacing w:after="0" w:line="2" w:lineRule="exact"/>
        <w:rPr>
          <w:sz w:val="20"/>
          <w:szCs w:val="20"/>
          <w:color w:val="auto"/>
        </w:rPr>
      </w:pPr>
    </w:p>
    <w:p>
      <w:pPr>
        <w:ind w:left="900" w:hanging="325"/>
        <w:spacing w:after="0" w:line="23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Following the June 2016 </w:t>
      </w:r>
      <w:r>
        <w:rPr>
          <w:rFonts w:ascii="Arial" w:cs="Arial" w:eastAsia="Arial" w:hAnsi="Arial"/>
          <w:sz w:val="18"/>
          <w:szCs w:val="18"/>
          <w:i w:val="1"/>
          <w:iCs w:val="1"/>
          <w:color w:val="auto"/>
        </w:rPr>
        <w:t>“Brexit”</w:t>
      </w:r>
      <w:r>
        <w:rPr>
          <w:rFonts w:ascii="Arial" w:cs="Arial" w:eastAsia="Arial" w:hAnsi="Arial"/>
          <w:sz w:val="18"/>
          <w:szCs w:val="18"/>
          <w:color w:val="auto"/>
        </w:rPr>
        <w:t>referendum vote, the United Kingdom (“U.K.”) is moving forward with plans to exit the European Union (“E.U.”). When announced, Brexit caused volatility in global stock markets and currency exchange rates, affecting the markets in which we conduct business. Also, the value of the British pound sterling relative to the U.S. dollar declined, and the value of primarily the pound sterling continued to be negatively affected following the vote. Further volatility in the exchange rate is expected over the transition period. While we have not experienced significant business disruptions in our U.K. businesses immediately following the referendum, the devaluation of the British pound sterling adversely affected our translated results reported in U.S. dollars. We have a natural hedge in the form of pound-sterling denominated debt that acts as a net investment hedge, moving counter to adverse pound sterling currency translation impacts. British pound sterling currency transaction risks are also mitigated in part due to our global chocolate businesses buying cocoa in British pound sterling. In recent months, cocoa prices in British pound sterling have been volatile and trading above historic levels, largely in response to the recent devaluation of the pound. On a global basis, the impact to our chocolate businesses is mitigated as we purchase cocoa at a higher cost but with less expensive British pound sterling. We may not be able to fully offset the increased risks within the U.K., which could impact profitability in the near-term or longer should these conditions continue. While we continue to monitor and work to safeguard our business, the U.K. decision to leave the E.U. could adversely affect future demand for our products, our financial results and operations, and our relationships with customers, suppliers and employees in the short or long-term.</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00" w:right="100" w:hanging="325"/>
        <w:spacing w:after="0" w:line="23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February 29, 2016, the collective bargaining agreements covering eight U.S. facilities expired and we began the re-negotiation of these agreements. We continue to work toward reaching an agreement with the union and have made plans to ensure business continuity during the re-negotiations.</w:t>
      </w:r>
    </w:p>
    <w:p>
      <w:pPr>
        <w:spacing w:after="0" w:line="2" w:lineRule="exact"/>
        <w:rPr>
          <w:rFonts w:ascii="Arial" w:cs="Arial" w:eastAsia="Arial" w:hAnsi="Arial"/>
          <w:sz w:val="18"/>
          <w:szCs w:val="18"/>
          <w:color w:val="auto"/>
        </w:rPr>
      </w:pPr>
    </w:p>
    <w:p>
      <w:pPr>
        <w:ind w:left="900" w:right="26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fourth quarter of 2016, we began the integration of our EEMEA business into our Europe and Asia Pacific segments. We expect this change to have a favorable impact on our operating performance beginning in late 2016 and prospectively due to the consolidation of offices and overhead reduction.</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also continue to note trends similar to those we highlighted in our most recently filed Annual Report on Form 10-K for the year ended December 31, 2015. In particular, volatility in the global commodity and currency markets continued through the third quarter of 2016, including most recently the impact from Brexit and currency devaluation issues noted in other countries. Refer to </w:t>
      </w:r>
      <w:r>
        <w:rPr>
          <w:rFonts w:ascii="Arial" w:cs="Arial" w:eastAsia="Arial" w:hAnsi="Arial"/>
          <w:sz w:val="18"/>
          <w:szCs w:val="18"/>
          <w:i w:val="1"/>
          <w:iCs w:val="1"/>
          <w:color w:val="auto"/>
        </w:rPr>
        <w:t>Commodity Trends</w:t>
      </w:r>
      <w:r>
        <w:rPr>
          <w:rFonts w:ascii="Arial" w:cs="Arial" w:eastAsia="Arial" w:hAnsi="Arial"/>
          <w:sz w:val="18"/>
          <w:szCs w:val="18"/>
          <w:color w:val="auto"/>
        </w:rPr>
        <w:t xml:space="preserve"> appearing later in this section and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 xml:space="preserve">, for additional information on our commodity costs and specific currency risks we are monitoring. Also refer to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for additional information on the North America region collective bargaining agreement re-negotiations, and Note 15, S</w:t>
      </w:r>
      <w:r>
        <w:rPr>
          <w:rFonts w:ascii="Arial" w:cs="Arial" w:eastAsia="Arial" w:hAnsi="Arial"/>
          <w:sz w:val="18"/>
          <w:szCs w:val="18"/>
          <w:i w:val="1"/>
          <w:iCs w:val="1"/>
          <w:color w:val="auto"/>
        </w:rPr>
        <w:t>egment Reporting</w:t>
      </w:r>
      <w:r>
        <w:rPr>
          <w:rFonts w:ascii="Arial" w:cs="Arial" w:eastAsia="Arial" w:hAnsi="Arial"/>
          <w:sz w:val="18"/>
          <w:szCs w:val="18"/>
          <w:color w:val="auto"/>
        </w:rPr>
        <w:t>, for information on our segments and information on our EEMEA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20" w:hanging="325"/>
        <w:spacing w:after="0" w:line="23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revenues decreased 6.6% to $6.4 billion in the third quarter of 2016 and decreased 14.0% to $19.2 billion in the first nine months of 2016 as compared to the same periods in the prior year. Net revenues in 2016 were significantly affected by the July 2, 2015 contribution of our global coffee business to JDE, unfavorable currency translation as the U.S. dollar strengthened against most currencies in which we operate compared to exchange rates in the prior year, the deconsolidation of our historical Venezuelan operations and the year-over-year impact of last year’s accounting calendar change and the deconsolidation of our Venezuelan subsidiaries.</w:t>
      </w:r>
    </w:p>
    <w:p>
      <w:pPr>
        <w:spacing w:after="0" w:line="232" w:lineRule="exact"/>
        <w:rPr>
          <w:rFonts w:ascii="Arial" w:cs="Arial" w:eastAsia="Arial" w:hAnsi="Arial"/>
          <w:sz w:val="18"/>
          <w:szCs w:val="18"/>
          <w:color w:val="auto"/>
        </w:rPr>
      </w:pPr>
    </w:p>
    <w:p>
      <w:pPr>
        <w:ind w:left="900" w:right="60" w:hanging="325"/>
        <w:spacing w:after="0" w:line="23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Organic Net Revenue increased 1.1% to $6.6 billion in the third quarter of 2016 and increased 1.6% to $20.1 billion in the first nine months of 2016 as compared to the same periods in the prior year. Organic Net Revenue is a non-GAAP financial measure we use to evaluate our underlying results (see the definition of Organic Net Revenue and our reconciliation with net revenues within </w:t>
      </w:r>
      <w:r>
        <w:rPr>
          <w:rFonts w:ascii="Arial" w:cs="Arial" w:eastAsia="Arial" w:hAnsi="Arial"/>
          <w:sz w:val="18"/>
          <w:szCs w:val="18"/>
          <w:i w:val="1"/>
          <w:iCs w:val="1"/>
          <w:color w:val="auto"/>
        </w:rPr>
        <w:t xml:space="preserve">Non-GAAP Financial Measures </w:t>
      </w:r>
      <w:r>
        <w:rPr>
          <w:rFonts w:ascii="Arial" w:cs="Arial" w:eastAsia="Arial" w:hAnsi="Arial"/>
          <w:sz w:val="18"/>
          <w:szCs w:val="18"/>
          <w:color w:val="auto"/>
        </w:rPr>
        <w:t>appearing later in this section).</w:t>
      </w:r>
    </w:p>
    <w:p>
      <w:pPr>
        <w:spacing w:after="0" w:line="228"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decreased 92.2% to $0.35 in the third quarter of 2016 and decreased 79.6% to $0.99 in the first nine months of 2016 as compared to the same periods in the prior year. A number of significant items also affected the comparability of our reported results, as further described in the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and in the notes to the condensed consolidated financial statements.</w:t>
      </w:r>
    </w:p>
    <w:p>
      <w:pPr>
        <w:spacing w:after="0" w:line="228" w:lineRule="exact"/>
        <w:rPr>
          <w:rFonts w:ascii="Arial" w:cs="Arial" w:eastAsia="Arial" w:hAnsi="Arial"/>
          <w:sz w:val="18"/>
          <w:szCs w:val="18"/>
          <w:color w:val="auto"/>
        </w:rPr>
      </w:pPr>
    </w:p>
    <w:p>
      <w:pPr>
        <w:ind w:left="900" w:right="20" w:hanging="325"/>
        <w:spacing w:after="0" w:line="23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Adjusted EPS increased 36.8% to $0.52 in the third quarter of 2016 and increased 22.5% to $1.47 in the first nine months of 2016 as compared to the same periods in the prior year. On a constant currency basis, Adjusted EPS increased 42.1% to $0.54 in the third quarter of 2016 and increased 27.5% to $1.53 in the first nine months of 2016. Adjusted EPS and Adjusted EPS on a constant currency basis are non-GAAP financial measures we use to evaluate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per share impacts of these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left="453"/>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left="433"/>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See Note</w:t>
            </w:r>
          </w:p>
        </w:tc>
        <w:tc>
          <w:tcPr>
            <w:tcW w:w="140" w:type="dxa"/>
            <w:vAlign w:val="bottom"/>
          </w:tcPr>
          <w:p>
            <w:pPr>
              <w:spacing w:after="0"/>
              <w:rPr>
                <w:sz w:val="13"/>
                <w:szCs w:val="13"/>
                <w:color w:val="auto"/>
              </w:rPr>
            </w:pPr>
          </w:p>
        </w:tc>
        <w:tc>
          <w:tcPr>
            <w:tcW w:w="1520" w:type="dxa"/>
            <w:vAlign w:val="bottom"/>
          </w:tcPr>
          <w:p>
            <w:pPr>
              <w:jc w:val="right"/>
              <w:ind w:right="913"/>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913"/>
              <w:spacing w:after="0" w:line="155"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620" w:type="dxa"/>
            <w:vAlign w:val="bottom"/>
            <w:tcBorders>
              <w:top w:val="single" w:sz="8" w:color="auto"/>
            </w:tcBorders>
            <w:gridSpan w:val="4"/>
          </w:tcPr>
          <w:p>
            <w:pPr>
              <w:jc w:val="right"/>
              <w:ind w:right="1313"/>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Coffee business transactions:</w:t>
            </w:r>
          </w:p>
        </w:tc>
        <w:tc>
          <w:tcPr>
            <w:tcW w:w="120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Note 2</w:t>
            </w:r>
          </w:p>
        </w:tc>
        <w:tc>
          <w:tcPr>
            <w:tcW w:w="1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720"/>
              <w:spacing w:after="0" w:line="202" w:lineRule="exact"/>
              <w:rPr>
                <w:sz w:val="20"/>
                <w:szCs w:val="20"/>
                <w:color w:val="auto"/>
              </w:rPr>
            </w:pPr>
            <w:r>
              <w:rPr>
                <w:rFonts w:ascii="Arial" w:cs="Arial" w:eastAsia="Arial" w:hAnsi="Arial"/>
                <w:sz w:val="18"/>
                <w:szCs w:val="18"/>
                <w:color w:val="auto"/>
              </w:rPr>
              <w:t>Gain on contribution</w:t>
            </w:r>
          </w:p>
        </w:tc>
        <w:tc>
          <w:tcPr>
            <w:tcW w:w="12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center"/>
              <w:ind w:left="453"/>
              <w:spacing w:after="0" w:line="20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7,122</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center"/>
              <w:ind w:left="433"/>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Incremental costs for readying</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900"/>
              <w:spacing w:after="0" w:line="203" w:lineRule="exact"/>
              <w:rPr>
                <w:sz w:val="20"/>
                <w:szCs w:val="20"/>
                <w:color w:val="auto"/>
              </w:rPr>
            </w:pPr>
            <w:r>
              <w:rPr>
                <w:rFonts w:ascii="Arial" w:cs="Arial" w:eastAsia="Arial" w:hAnsi="Arial"/>
                <w:sz w:val="18"/>
                <w:szCs w:val="18"/>
                <w:color w:val="auto"/>
              </w:rPr>
              <w:t>the businesses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53"/>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3"/>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3"/>
        </w:trPr>
        <w:tc>
          <w:tcPr>
            <w:tcW w:w="5200" w:type="dxa"/>
            <w:vAlign w:val="bottom"/>
          </w:tcPr>
          <w:p>
            <w:pPr>
              <w:ind w:left="720"/>
              <w:spacing w:after="0" w:line="202" w:lineRule="exact"/>
              <w:rPr>
                <w:sz w:val="20"/>
                <w:szCs w:val="20"/>
                <w:color w:val="auto"/>
              </w:rPr>
            </w:pPr>
            <w:r>
              <w:rPr>
                <w:rFonts w:ascii="Arial" w:cs="Arial" w:eastAsia="Arial" w:hAnsi="Arial"/>
                <w:sz w:val="18"/>
                <w:szCs w:val="18"/>
                <w:color w:val="auto"/>
              </w:rPr>
              <w:t>Currency-related hedging net gain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150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99"/>
        </w:trPr>
        <w:tc>
          <w:tcPr>
            <w:tcW w:w="5200" w:type="dxa"/>
            <w:vAlign w:val="bottom"/>
            <w:shd w:val="clear" w:color="auto" w:fill="CCEEFF"/>
          </w:tcPr>
          <w:p>
            <w:pPr>
              <w:ind w:left="720"/>
              <w:spacing w:after="0" w:line="199" w:lineRule="exact"/>
              <w:rPr>
                <w:sz w:val="20"/>
                <w:szCs w:val="20"/>
                <w:color w:val="auto"/>
              </w:rPr>
            </w:pPr>
            <w:r>
              <w:rPr>
                <w:rFonts w:ascii="Arial" w:cs="Arial" w:eastAsia="Arial" w:hAnsi="Arial"/>
                <w:sz w:val="18"/>
                <w:szCs w:val="18"/>
                <w:color w:val="auto"/>
              </w:rPr>
              <w:t>Gain on Keurig equity method investment exchange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553"/>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553"/>
              <w:spacing w:after="0"/>
              <w:rPr>
                <w:sz w:val="20"/>
                <w:szCs w:val="20"/>
                <w:color w:val="auto"/>
              </w:rPr>
            </w:pPr>
            <w:r>
              <w:rPr>
                <w:rFonts w:ascii="Arial" w:cs="Arial" w:eastAsia="Arial" w:hAnsi="Arial"/>
                <w:sz w:val="18"/>
                <w:szCs w:val="18"/>
                <w:color w:val="auto"/>
              </w:rPr>
              <w:t>43</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ind w:left="900"/>
              <w:spacing w:after="0" w:line="166" w:lineRule="exact"/>
              <w:rPr>
                <w:sz w:val="20"/>
                <w:szCs w:val="20"/>
                <w:color w:val="auto"/>
              </w:rPr>
            </w:pPr>
            <w:r>
              <w:rPr>
                <w:rFonts w:ascii="Arial" w:cs="Arial" w:eastAsia="Arial" w:hAnsi="Arial"/>
                <w:sz w:val="15"/>
                <w:szCs w:val="15"/>
                <w:color w:val="auto"/>
              </w:rPr>
              <w:t>(1)</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5200" w:type="dxa"/>
            <w:vAlign w:val="bottom"/>
          </w:tcPr>
          <w:p>
            <w:pPr>
              <w:ind w:left="540"/>
              <w:spacing w:after="0"/>
              <w:rPr>
                <w:sz w:val="20"/>
                <w:szCs w:val="20"/>
                <w:color w:val="auto"/>
              </w:rPr>
            </w:pPr>
            <w:r>
              <w:rPr>
                <w:rFonts w:ascii="Arial" w:cs="Arial" w:eastAsia="Arial" w:hAnsi="Arial"/>
                <w:sz w:val="18"/>
                <w:szCs w:val="18"/>
                <w:b w:val="1"/>
                <w:bCs w:val="1"/>
                <w:color w:val="auto"/>
              </w:rPr>
              <w:t>Venezuela:</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rPr>
              <w:t>Note 1</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operating income </w:t>
            </w:r>
            <w:r>
              <w:rPr>
                <w:rFonts w:ascii="Arial" w:cs="Arial" w:eastAsia="Arial" w:hAnsi="Arial"/>
                <w:sz w:val="15"/>
                <w:szCs w:val="15"/>
                <w:color w:val="auto"/>
              </w:rPr>
              <w:t>(2)</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2"/>
        </w:trPr>
        <w:tc>
          <w:tcPr>
            <w:tcW w:w="5200" w:type="dxa"/>
            <w:vAlign w:val="bottom"/>
          </w:tcPr>
          <w:p>
            <w:pPr>
              <w:ind w:left="720"/>
              <w:spacing w:after="0" w:line="201" w:lineRule="exact"/>
              <w:rPr>
                <w:sz w:val="20"/>
                <w:szCs w:val="20"/>
                <w:color w:val="auto"/>
              </w:rPr>
            </w:pPr>
            <w:r>
              <w:rPr>
                <w:rFonts w:ascii="Arial" w:cs="Arial" w:eastAsia="Arial" w:hAnsi="Arial"/>
                <w:sz w:val="18"/>
                <w:szCs w:val="18"/>
                <w:color w:val="auto"/>
              </w:rPr>
              <w:t>Remeasurement of net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900"/>
              <w:spacing w:after="0"/>
              <w:rPr>
                <w:sz w:val="20"/>
                <w:szCs w:val="20"/>
                <w:color w:val="auto"/>
              </w:rPr>
            </w:pPr>
            <w:r>
              <w:rPr>
                <w:rFonts w:ascii="Arial" w:cs="Arial" w:eastAsia="Arial" w:hAnsi="Arial"/>
                <w:sz w:val="18"/>
                <w:szCs w:val="18"/>
                <w:color w:val="auto"/>
              </w:rPr>
              <w:t>monetary assets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20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Note 6</w:t>
            </w:r>
          </w:p>
        </w:tc>
        <w:tc>
          <w:tcPr>
            <w:tcW w:w="1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(187)</w:t>
            </w: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15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(480)</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(114)</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(286)</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24"/>
        </w:trPr>
        <w:tc>
          <w:tcPr>
            <w:tcW w:w="5200" w:type="dxa"/>
            <w:vAlign w:val="bottom"/>
          </w:tcPr>
          <w:p>
            <w:pPr>
              <w:ind w:left="540"/>
              <w:spacing w:after="0"/>
              <w:rPr>
                <w:sz w:val="20"/>
                <w:szCs w:val="20"/>
                <w:color w:val="auto"/>
              </w:rPr>
            </w:pPr>
            <w:r>
              <w:rPr>
                <w:rFonts w:ascii="Arial" w:cs="Arial" w:eastAsia="Arial" w:hAnsi="Arial"/>
                <w:sz w:val="18"/>
                <w:szCs w:val="18"/>
                <w:b w:val="1"/>
                <w:bCs w:val="1"/>
                <w:color w:val="auto"/>
              </w:rPr>
              <w:t>Loss on debt extinguishment and related expenses</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rPr>
              <w:t>Note 7</w:t>
            </w:r>
          </w:p>
        </w:tc>
        <w:tc>
          <w:tcPr>
            <w:tcW w:w="152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00" w:type="dxa"/>
            <w:vAlign w:val="bottom"/>
          </w:tcPr>
          <w:p>
            <w:pPr>
              <w:jc w:val="right"/>
              <w:ind w:right="553"/>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20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Note 7</w:t>
            </w:r>
          </w:p>
        </w:tc>
        <w:tc>
          <w:tcPr>
            <w:tcW w:w="152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493"/>
              <w:spacing w:after="0" w:line="202" w:lineRule="exact"/>
              <w:rPr>
                <w:sz w:val="20"/>
                <w:szCs w:val="20"/>
                <w:color w:val="auto"/>
              </w:rPr>
            </w:pPr>
            <w:r>
              <w:rPr>
                <w:rFonts w:ascii="Arial" w:cs="Arial" w:eastAsia="Arial" w:hAnsi="Arial"/>
                <w:sz w:val="18"/>
                <w:szCs w:val="18"/>
                <w:color w:val="auto"/>
              </w:rPr>
              <w:t>(97)</w:t>
            </w: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5200" w:type="dxa"/>
            <w:vAlign w:val="bottom"/>
          </w:tcPr>
          <w:p>
            <w:pPr>
              <w:ind w:left="540"/>
              <w:spacing w:after="0"/>
              <w:rPr>
                <w:sz w:val="20"/>
                <w:szCs w:val="20"/>
                <w:color w:val="auto"/>
              </w:rPr>
            </w:pPr>
            <w:r>
              <w:rPr>
                <w:rFonts w:ascii="Arial" w:cs="Arial" w:eastAsia="Arial" w:hAnsi="Arial"/>
                <w:sz w:val="18"/>
                <w:szCs w:val="18"/>
                <w:b w:val="1"/>
                <w:bCs w:val="1"/>
                <w:color w:val="auto"/>
              </w:rPr>
              <w:t>Intangible asset impairment charges</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rPr>
              <w:t>Note 5</w:t>
            </w:r>
          </w:p>
        </w:tc>
        <w:tc>
          <w:tcPr>
            <w:tcW w:w="1520" w:type="dxa"/>
            <w:vAlign w:val="bottom"/>
          </w:tcPr>
          <w:p>
            <w:pPr>
              <w:jc w:val="right"/>
              <w:ind w:right="493"/>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500" w:type="dxa"/>
            <w:vAlign w:val="bottom"/>
          </w:tcPr>
          <w:p>
            <w:pPr>
              <w:jc w:val="right"/>
              <w:ind w:right="493"/>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Divestitures, Acquisitions and Sales of Property</w:t>
            </w:r>
          </w:p>
        </w:tc>
        <w:tc>
          <w:tcPr>
            <w:tcW w:w="120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rPr>
              <w:t>Note 2</w:t>
            </w:r>
          </w:p>
        </w:tc>
        <w:tc>
          <w:tcPr>
            <w:tcW w:w="1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720"/>
              <w:spacing w:after="0" w:line="202" w:lineRule="exact"/>
              <w:rPr>
                <w:sz w:val="20"/>
                <w:szCs w:val="20"/>
                <w:color w:val="auto"/>
              </w:rPr>
            </w:pPr>
            <w:r>
              <w:rPr>
                <w:rFonts w:ascii="Arial" w:cs="Arial" w:eastAsia="Arial" w:hAnsi="Arial"/>
                <w:sz w:val="18"/>
                <w:szCs w:val="18"/>
                <w:color w:val="auto"/>
              </w:rPr>
              <w:t>Gain on sale of trademarks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7</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Gain on divestiture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200" w:type="dxa"/>
            <w:vAlign w:val="bottom"/>
          </w:tcPr>
          <w:p>
            <w:pPr>
              <w:ind w:left="720"/>
              <w:spacing w:after="0" w:line="202" w:lineRule="exact"/>
              <w:rPr>
                <w:sz w:val="20"/>
                <w:szCs w:val="20"/>
                <w:color w:val="auto"/>
              </w:rPr>
            </w:pPr>
            <w:r>
              <w:rPr>
                <w:rFonts w:ascii="Arial" w:cs="Arial" w:eastAsia="Arial" w:hAnsi="Arial"/>
                <w:sz w:val="18"/>
                <w:szCs w:val="18"/>
                <w:color w:val="auto"/>
              </w:rPr>
              <w:t>Divestiture-related costs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53"/>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500" w:type="dxa"/>
            <w:vAlign w:val="bottom"/>
          </w:tcPr>
          <w:p>
            <w:pPr>
              <w:jc w:val="right"/>
              <w:ind w:right="493"/>
              <w:spacing w:after="0" w:line="202" w:lineRule="exact"/>
              <w:rPr>
                <w:sz w:val="20"/>
                <w:szCs w:val="20"/>
                <w:color w:val="auto"/>
              </w:rPr>
            </w:pPr>
            <w:r>
              <w:rPr>
                <w:rFonts w:ascii="Arial" w:cs="Arial" w:eastAsia="Arial" w:hAnsi="Arial"/>
                <w:sz w:val="18"/>
                <w:szCs w:val="18"/>
                <w:color w:val="auto"/>
              </w:rPr>
              <w:t>(84)</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Gains on sales of property</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7</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53"/>
              <w:spacing w:after="0" w:line="202" w:lineRule="exact"/>
              <w:rPr>
                <w:sz w:val="20"/>
                <w:szCs w:val="20"/>
                <w:color w:val="auto"/>
              </w:rPr>
            </w:pPr>
            <w:r>
              <w:rPr>
                <w:rFonts w:ascii="Arial" w:cs="Arial" w:eastAsia="Arial" w:hAnsi="Arial"/>
                <w:sz w:val="18"/>
                <w:szCs w:val="18"/>
                <w:color w:val="auto"/>
              </w:rPr>
              <w:t>46</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00" w:type="dxa"/>
            <w:vAlign w:val="bottom"/>
          </w:tcPr>
          <w:p>
            <w:pPr>
              <w:ind w:left="540"/>
              <w:spacing w:after="0"/>
              <w:rPr>
                <w:sz w:val="20"/>
                <w:szCs w:val="20"/>
                <w:color w:val="auto"/>
              </w:rPr>
            </w:pPr>
            <w:r>
              <w:rPr>
                <w:rFonts w:ascii="Arial" w:cs="Arial" w:eastAsia="Arial" w:hAnsi="Arial"/>
                <w:sz w:val="18"/>
                <w:szCs w:val="18"/>
                <w:b w:val="1"/>
                <w:bCs w:val="1"/>
                <w:color w:val="auto"/>
              </w:rPr>
              <w:t xml:space="preserve">Mark-to-market gains (losses) from derivatives </w:t>
            </w:r>
            <w:r>
              <w:rPr>
                <w:rFonts w:ascii="Arial" w:cs="Arial" w:eastAsia="Arial" w:hAnsi="Arial"/>
                <w:sz w:val="15"/>
                <w:szCs w:val="15"/>
                <w:b w:val="1"/>
                <w:bCs w:val="1"/>
                <w:color w:val="auto"/>
              </w:rPr>
              <w:t>(3)</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Note 8 &amp; 15</w:t>
            </w:r>
          </w:p>
        </w:tc>
        <w:tc>
          <w:tcPr>
            <w:tcW w:w="1520" w:type="dxa"/>
            <w:vAlign w:val="bottom"/>
          </w:tcPr>
          <w:p>
            <w:pPr>
              <w:jc w:val="right"/>
              <w:ind w:right="493"/>
              <w:spacing w:after="0"/>
              <w:rPr>
                <w:sz w:val="20"/>
                <w:szCs w:val="20"/>
                <w:color w:val="auto"/>
              </w:rPr>
            </w:pPr>
            <w:r>
              <w:rPr>
                <w:rFonts w:ascii="Arial" w:cs="Arial" w:eastAsia="Arial" w:hAnsi="Arial"/>
                <w:sz w:val="18"/>
                <w:szCs w:val="18"/>
                <w:color w:val="auto"/>
              </w:rPr>
              <w:t>(12)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500" w:type="dxa"/>
            <w:vAlign w:val="bottom"/>
          </w:tcPr>
          <w:p>
            <w:pPr>
              <w:jc w:val="right"/>
              <w:ind w:right="493"/>
              <w:spacing w:after="0"/>
              <w:rPr>
                <w:sz w:val="20"/>
                <w:szCs w:val="20"/>
                <w:color w:val="auto"/>
              </w:rPr>
            </w:pPr>
            <w:r>
              <w:rPr>
                <w:rFonts w:ascii="Arial" w:cs="Arial" w:eastAsia="Arial" w:hAnsi="Arial"/>
                <w:sz w:val="18"/>
                <w:szCs w:val="18"/>
                <w:color w:val="auto"/>
              </w:rPr>
              <w:t>(49)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5"/>
        </w:trPr>
        <w:tc>
          <w:tcPr>
            <w:tcW w:w="5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Effective tax rate</w:t>
            </w:r>
          </w:p>
        </w:tc>
        <w:tc>
          <w:tcPr>
            <w:tcW w:w="1200" w:type="dxa"/>
            <w:vAlign w:val="bottom"/>
            <w:gridSpan w:val="3"/>
            <w:shd w:val="clear" w:color="auto" w:fill="CCEEFF"/>
          </w:tcPr>
          <w:p>
            <w:pPr>
              <w:jc w:val="center"/>
              <w:ind w:right="260"/>
              <w:spacing w:after="0" w:line="202" w:lineRule="exact"/>
              <w:rPr>
                <w:sz w:val="20"/>
                <w:szCs w:val="20"/>
                <w:color w:val="auto"/>
              </w:rPr>
            </w:pPr>
            <w:r>
              <w:rPr>
                <w:rFonts w:ascii="Arial" w:cs="Arial" w:eastAsia="Arial" w:hAnsi="Arial"/>
                <w:sz w:val="18"/>
                <w:szCs w:val="18"/>
                <w:color w:val="auto"/>
                <w:w w:val="98"/>
              </w:rPr>
              <w:t>Note 13</w:t>
            </w:r>
          </w:p>
        </w:tc>
        <w:tc>
          <w:tcPr>
            <w:tcW w:w="152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7.2%</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393"/>
              <w:spacing w:after="0" w:line="202" w:lineRule="exact"/>
              <w:rPr>
                <w:sz w:val="20"/>
                <w:szCs w:val="20"/>
                <w:color w:val="auto"/>
              </w:rPr>
            </w:pPr>
            <w:r>
              <w:rPr>
                <w:rFonts w:ascii="Arial" w:cs="Arial" w:eastAsia="Arial" w:hAnsi="Arial"/>
                <w:sz w:val="18"/>
                <w:szCs w:val="18"/>
                <w:color w:val="auto"/>
              </w:rPr>
              <w:t>13.6%</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140" w:right="400" w:hanging="335"/>
        <w:spacing w:after="0" w:line="241" w:lineRule="auto"/>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gain on equity method investment exchange is recorded outside of pre-tax operating results on the condensed consolidated statement of earnings as it relates to our after-tax equity method investments.</w:t>
      </w: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the impact of remeasurement losses and 2014-2018 Restructuring Program charges that are shown separately.</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Unrealized gains or losses on commodity and forecasted currency transaction derivatives.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nine months ended September 30, 2016 and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439"/>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6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gridSpan w:val="6"/>
          </w:tcPr>
          <w:p>
            <w:pPr>
              <w:jc w:val="right"/>
              <w:ind w:right="674"/>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6,396</w:t>
            </w:r>
          </w:p>
        </w:tc>
        <w:tc>
          <w:tcPr>
            <w:tcW w:w="5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6,849</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(453)</w:t>
            </w: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578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702</w:t>
            </w:r>
          </w:p>
        </w:tc>
        <w:tc>
          <w:tcPr>
            <w:tcW w:w="50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7,802</w:t>
            </w:r>
          </w:p>
        </w:tc>
        <w:tc>
          <w:tcPr>
            <w:tcW w:w="4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(7,100)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Net earnings attributable to</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Mondelēz International</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rPr>
              <w:t>548</w:t>
            </w:r>
          </w:p>
        </w:tc>
        <w:tc>
          <w:tcPr>
            <w:tcW w:w="5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7,266</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(6,718)</w:t>
            </w:r>
          </w:p>
        </w:tc>
        <w:tc>
          <w:tcPr>
            <w:tcW w:w="132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324"/>
        </w:trPr>
        <w:tc>
          <w:tcPr>
            <w:tcW w:w="578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0.35</w:t>
            </w:r>
          </w:p>
        </w:tc>
        <w:tc>
          <w:tcPr>
            <w:tcW w:w="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$453 million (6.6%) to $6,396 million in the third quarter of 2016, and Organic Net Revenue</w:t>
      </w:r>
    </w:p>
    <w:p>
      <w:pPr>
        <w:spacing w:after="0" w:line="14" w:lineRule="exact"/>
        <w:rPr>
          <w:sz w:val="20"/>
          <w:szCs w:val="20"/>
          <w:color w:val="auto"/>
        </w:rPr>
      </w:pPr>
    </w:p>
    <w:p>
      <w:pPr>
        <w:ind w:right="400" w:firstLine="8"/>
        <w:spacing w:after="0" w:line="239" w:lineRule="auto"/>
        <w:tabs>
          <w:tab w:leader="none" w:pos="237"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increased $74 million (1.1%) to $6,589 million. Power Brands net revenues decreased 5.2%, due to the deconsolidation of our historical Venezuelan operations and unfavorable currency, and Power Brands Organic Net Revenue increased 2.5%. Emerging markets net revenues decreased 14.6%, due to the deconsolidation of our historical Venezuelan operations and unfavorable currency, and emerging markets Organic Net Revenue increased 2.0%. The underlying changes in net revenues and Organic Net Revenue are detailed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50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7"/>
              </w:rPr>
              <w:t>0.6pp</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50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7"/>
              </w:rPr>
              <w:t>0.5pp</w:t>
            </w:r>
          </w:p>
        </w:tc>
        <w:tc>
          <w:tcPr>
            <w:tcW w:w="0" w:type="dxa"/>
            <w:vAlign w:val="bottom"/>
          </w:tcPr>
          <w:p>
            <w:pPr>
              <w:spacing w:after="0"/>
              <w:rPr>
                <w:sz w:val="1"/>
                <w:szCs w:val="1"/>
                <w:color w:val="auto"/>
              </w:rPr>
            </w:pPr>
          </w:p>
        </w:tc>
      </w:tr>
      <w:tr>
        <w:trPr>
          <w:trHeight w:val="210"/>
        </w:trPr>
        <w:tc>
          <w:tcPr>
            <w:tcW w:w="724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(2)</w:t>
            </w:r>
          </w:p>
        </w:tc>
        <w:tc>
          <w:tcPr>
            <w:tcW w:w="150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8"/>
              </w:rPr>
              <w:t>(4.5)pp</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500" w:type="dxa"/>
            <w:vAlign w:val="bottom"/>
            <w:gridSpan w:val="2"/>
          </w:tcPr>
          <w:p>
            <w:pPr>
              <w:jc w:val="center"/>
              <w:ind w:left="372"/>
              <w:spacing w:after="0" w:line="202" w:lineRule="exact"/>
              <w:rPr>
                <w:sz w:val="20"/>
                <w:szCs w:val="20"/>
                <w:color w:val="auto"/>
              </w:rPr>
            </w:pPr>
            <w:r>
              <w:rPr>
                <w:rFonts w:ascii="Arial" w:cs="Arial" w:eastAsia="Arial" w:hAnsi="Arial"/>
                <w:sz w:val="18"/>
                <w:szCs w:val="18"/>
                <w:color w:val="auto"/>
                <w:w w:val="98"/>
              </w:rPr>
              <w:t>(2.9)pp</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accounting calendar changes</w:t>
            </w:r>
          </w:p>
        </w:tc>
        <w:tc>
          <w:tcPr>
            <w:tcW w:w="1500" w:type="dxa"/>
            <w:vAlign w:val="bottom"/>
            <w:gridSpan w:val="2"/>
            <w:shd w:val="clear" w:color="auto" w:fill="CCEEFF"/>
          </w:tcPr>
          <w:p>
            <w:pPr>
              <w:jc w:val="center"/>
              <w:ind w:left="372"/>
              <w:spacing w:after="0" w:line="202" w:lineRule="exact"/>
              <w:rPr>
                <w:sz w:val="20"/>
                <w:szCs w:val="20"/>
                <w:color w:val="auto"/>
              </w:rPr>
            </w:pPr>
            <w:r>
              <w:rPr>
                <w:rFonts w:ascii="Arial" w:cs="Arial" w:eastAsia="Arial" w:hAnsi="Arial"/>
                <w:sz w:val="18"/>
                <w:szCs w:val="18"/>
                <w:color w:val="auto"/>
                <w:w w:val="98"/>
              </w:rPr>
              <w:t>(0.3)pp</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120" w:hanging="335"/>
        <w:spacing w:after="0" w:line="258" w:lineRule="auto"/>
        <w:tabs>
          <w:tab w:leader="none" w:pos="11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6.6% was driven by the deconsolidation of our historical Venezuelan operations, unfavorable currency and the year-over-year impact of last year’s accounting calendar change, partially offset by our underlying Organic Net Revenue growth of 1.1%. The deconsolidation of our historical Venezuelan operations resulted in a year-over-year decrease in net revenues of $315 million for the quarter. Unfavorable currency impacts decreased net revenues by $ 193 million, due primarily to the strength of the U.S. dollar relative to several currencies, including the British pound sterling, Argentinean peso and Mexican peso, partially offset by the strength of the Brazilian real, Australian dollar and Japanese yen relative to the U.S. dollar. The North America segment accounting calendar change made in 2015 resulted in a year-over-year decrease in net revenues of $ 19 million in the quarter. Our underlying Organic Net Revenue growth was driven by higher net pricing and favorable volume/mix. Net pricing was up, which includes the benefit of carryover pricing from 2015 as well as the effects of input cost-driven pricing actions taken during the quarter. Higher net pricing was reflected in Latin America and EEMEA, partially offset by lower net pricing in Europe, North America and Asia Pacific. Favorable volume/mix was reflected in Europe, North America and Asia Pacific, partially offset by unfavorable volume/mix in Latin America and EEMEA. Unfavorable volume/mix in Latin America and EEMEA was largely due to price elasticity as well as strategic decisions to exit certain low-margin product lines.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$7,100 million (91.0%) to $702 million in the third quarter of 2016,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$120 million (13.5%) to $1,011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$151 million (16.9%) to $1,042 million due to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84"/>
        </w:trPr>
        <w:tc>
          <w:tcPr>
            <w:tcW w:w="7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5"/>
                <w:szCs w:val="15"/>
                <w:color w:val="auto"/>
              </w:rPr>
            </w:pPr>
          </w:p>
        </w:tc>
      </w:tr>
      <w:tr>
        <w:trPr>
          <w:trHeight w:val="80"/>
        </w:trPr>
        <w:tc>
          <w:tcPr>
            <w:tcW w:w="7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7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September 30, 2015</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7,802</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221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28.9pp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(78)</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(4)</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54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(4)</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(7,122)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(94.2)pp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0.7pp</w:t>
            </w:r>
          </w:p>
        </w:tc>
      </w:tr>
      <w:tr>
        <w:trPr>
          <w:trHeight w:val="210"/>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(6)</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180"/>
        </w:trPr>
        <w:tc>
          <w:tcPr>
            <w:tcW w:w="73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September 30, 2015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891</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75</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VAT-related settlements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(5)</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0.8pp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Impact from accounting calendar changes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(5)</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210"/>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6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18"/>
                <w:szCs w:val="18"/>
                <w:color w:val="auto"/>
              </w:rPr>
            </w:pP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currency—translation</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(3.4)pp</w:t>
            </w:r>
          </w:p>
        </w:tc>
      </w:tr>
      <w:tr>
        <w:trPr>
          <w:trHeight w:val="217"/>
        </w:trPr>
        <w:tc>
          <w:tcPr>
            <w:tcW w:w="734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60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8"/>
                <w:szCs w:val="18"/>
                <w:color w:val="auto"/>
              </w:rPr>
            </w:pPr>
          </w:p>
        </w:tc>
      </w:tr>
      <w:tr>
        <w:trPr>
          <w:trHeight w:val="180"/>
        </w:trPr>
        <w:tc>
          <w:tcPr>
            <w:tcW w:w="73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73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Three Months Ended September 30, 2016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1,011</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(301)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(7)</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(5)</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7</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0.8pp</w:t>
            </w:r>
          </w:p>
        </w:tc>
      </w:tr>
      <w:tr>
        <w:trPr>
          <w:trHeight w:val="203"/>
        </w:trPr>
        <w:tc>
          <w:tcPr>
            <w:tcW w:w="73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(6)</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(1.4)pp</w:t>
            </w:r>
          </w:p>
        </w:tc>
      </w:tr>
      <w:tr>
        <w:trPr>
          <w:trHeight w:val="203"/>
        </w:trPr>
        <w:tc>
          <w:tcPr>
            <w:tcW w:w="7340" w:type="dxa"/>
            <w:vAlign w:val="bottom"/>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3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September 30, 2016</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b w:val="1"/>
                <w:bCs w:val="1"/>
                <w:color w:val="auto"/>
              </w:rPr>
              <w:t>702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(91.0)%</w:t>
            </w:r>
          </w:p>
        </w:tc>
      </w:tr>
      <w:tr>
        <w:trPr>
          <w:trHeight w:val="20"/>
        </w:trPr>
        <w:tc>
          <w:tcPr>
            <w:tcW w:w="7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on our 2014-2018 Restructuring Program.</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in 2015.</w:t>
      </w: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right="20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16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and Non-GAAP Financial Measures appearing later in this section for more information on these unrealized losses on commodity and forecasted currency transaction derivatives.</w:t>
      </w:r>
    </w:p>
    <w:p>
      <w:pPr>
        <w:ind w:left="1140" w:right="120" w:hanging="335"/>
        <w:spacing w:after="0" w:line="258"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 trademark in EEMEA and a trademark in Europe related to the planned sale of a confectionery business in France.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During the quarter, we realized higher net pricing while input costs increased modestly. Higher net pricing, which included the carryover impact of pricing actions taken in 2015, was reflected in Latin America and EEMEA, partially offset by lower net pricing in Europe, North America and Asia Pacific. The increase in input costs was driven by higher raw material costs, in part due to higher currency exchange transaction costs on imported materials, which were partially offset by lower manufacturing costs due to productivity. Favorable volume/mix was driven by Europe, North America and Asia Pacific, partially offset by unfavorable volume/mix in Latin America and EEMEA.</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Total selling, general and administrative expenses decreased $238 million from the third quarter of 2015, due to a number of factors noted in the table above, including in part, lower costs associated with the JDE coffee business transactions, a favorable currency impact, value-added tax (VAT)-related settlements, the deconsolidation of our Venezuelan operations, gains on sales of property, gain on the sale of an intangible asset and the absence of acquisition-related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Excluding the factors noted above, selling, general and administrative expenses decreased $75 million from the third quarter of 2015. The decrease was driven primarily by lower overhead costs due to continued cost reduction efforts, and lower advertising and consumer promotions costs.</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change in mark-to-market gains / (losses) from derivatives decreased operating income by $8 million in the third quarter of 2016. In the third quarter of 2016, the net unrealized losses on commodity and forecasted currency transaction derivatives were $12 million, as compared to net unrealized losses of $4 million in the third quarter of 2015.</w:t>
      </w:r>
    </w:p>
    <w:p>
      <w:pPr>
        <w:spacing w:after="0" w:line="20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Unfavorable currency impacts decreased operating income by $ 31 million, due primarily to the strength of the U.S. dollar relative to several currencies, including the British pound sterling and Argentinean peso, partially offset by the strength of the Brazilian real, Australian dollar and Japanese yen relative to the U.S. dollar.</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Operating income margin decreased from 113.9% in the third quarter of 2015 to 11.0% in the third quarter of 2016. The decrease in operating income margin was driven primarily by last year’s pre-tax gain on the JDE coffee business transactions, higher costs incurred for the 2014-2018 Restructuring Program and the deconsolidation of our Venezuelan operations. The items that decreased our operating income margin were partially offset by an increase in our Adjusted Operating Income margin and the absence of costs associated with the JDE coffee business transactions. Adjusted Operating Income margin increased from 13.6% in the third quarter of 2015 to 15.8% in the third quarter of 2016. The increase in Adjusted Operating Income margin was driven primarily by lower overhead costs resulting from our cost reduction programs, lower advertising and consumer promotion costs and improved gross margin reflecting productivity efforts.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$ 548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$6,718 million (92.5%) in the third quarter of 2016. Diluted EPS attributable to Mondelēz International was $ 0.35 in the third quarter of 2016, down $4.11 (92.2%) from the third quarter of 2015. Adjusted EPS </w:t>
      </w:r>
      <w:r>
        <w:rPr>
          <w:rFonts w:ascii="Arial" w:cs="Arial" w:eastAsia="Arial" w:hAnsi="Arial"/>
          <w:sz w:val="15"/>
          <w:szCs w:val="15"/>
          <w:color w:val="auto"/>
        </w:rPr>
        <w:t>(1)</w:t>
      </w:r>
      <w:r>
        <w:rPr>
          <w:rFonts w:ascii="Arial" w:cs="Arial" w:eastAsia="Arial" w:hAnsi="Arial"/>
          <w:sz w:val="18"/>
          <w:szCs w:val="18"/>
          <w:color w:val="auto"/>
        </w:rPr>
        <w:t xml:space="preserve"> was $ 0.52 in the third quarter of 2016, up $0.14 (36.8%) to the third quarter of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$0.54 in the third quarter of 2016, up $0.16</w:t>
      </w:r>
    </w:p>
    <w:p>
      <w:pPr>
        <w:spacing w:after="0"/>
        <w:rPr>
          <w:sz w:val="20"/>
          <w:szCs w:val="20"/>
          <w:color w:val="auto"/>
        </w:rPr>
      </w:pPr>
      <w:r>
        <w:rPr>
          <w:rFonts w:ascii="Arial" w:cs="Arial" w:eastAsia="Arial" w:hAnsi="Arial"/>
          <w:sz w:val="18"/>
          <w:szCs w:val="18"/>
          <w:color w:val="auto"/>
        </w:rPr>
        <w:t>(42.1%) from the third quarter of 2015.</w:t>
      </w:r>
    </w:p>
    <w:p>
      <w:pPr>
        <w:spacing w:after="0" w:line="226" w:lineRule="exact"/>
        <w:rPr>
          <w:sz w:val="20"/>
          <w:szCs w:val="20"/>
          <w:color w:val="auto"/>
        </w:rPr>
      </w:pPr>
    </w:p>
    <w:p>
      <w:pPr>
        <w:jc w:val="right"/>
        <w:ind w:right="16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8890</wp:posOffset>
            </wp:positionV>
            <wp:extent cx="643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September 30, 2015</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ind w:left="720"/>
        <w:spacing w:after="0" w:line="232" w:lineRule="auto"/>
        <w:rPr>
          <w:sz w:val="20"/>
          <w:szCs w:val="20"/>
          <w:color w:val="auto"/>
        </w:rPr>
      </w:pPr>
      <w:r>
        <w:rPr>
          <w:rFonts w:ascii="Arial" w:cs="Arial" w:eastAsia="Arial" w:hAnsi="Arial"/>
          <w:sz w:val="18"/>
          <w:szCs w:val="18"/>
          <w:color w:val="auto"/>
        </w:rPr>
        <w:t xml:space="preserve">Gain on JDE coffee business transactions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p>
      <w:pPr>
        <w:ind w:left="720"/>
        <w:spacing w:after="0" w:line="235"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(6)</w:t>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3420" w:hanging="179"/>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2015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Increase in operations from historical coffee business and equity method investments </w:t>
      </w:r>
      <w:r>
        <w:rPr>
          <w:rFonts w:ascii="Arial" w:cs="Arial" w:eastAsia="Arial" w:hAnsi="Arial"/>
          <w:sz w:val="15"/>
          <w:szCs w:val="15"/>
          <w:color w:val="auto"/>
        </w:rPr>
        <w:t>(8)</w:t>
      </w:r>
    </w:p>
    <w:p>
      <w:pPr>
        <w:ind w:left="720"/>
        <w:spacing w:after="0" w:line="231" w:lineRule="auto"/>
        <w:rPr>
          <w:sz w:val="20"/>
          <w:szCs w:val="20"/>
          <w:color w:val="auto"/>
        </w:rPr>
      </w:pPr>
      <w:r>
        <w:rPr>
          <w:rFonts w:ascii="Arial" w:cs="Arial" w:eastAsia="Arial" w:hAnsi="Arial"/>
          <w:sz w:val="18"/>
          <w:szCs w:val="18"/>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(5)</w:t>
      </w:r>
    </w:p>
    <w:p>
      <w:pPr>
        <w:ind w:left="720"/>
        <w:spacing w:after="0" w:line="235" w:lineRule="auto"/>
        <w:rPr>
          <w:sz w:val="20"/>
          <w:szCs w:val="20"/>
          <w:color w:val="auto"/>
        </w:rPr>
      </w:pPr>
      <w:r>
        <w:rPr>
          <w:rFonts w:ascii="Arial" w:cs="Arial" w:eastAsia="Arial" w:hAnsi="Arial"/>
          <w:sz w:val="18"/>
          <w:szCs w:val="18"/>
          <w:color w:val="auto"/>
        </w:rPr>
        <w:t>Impact of accounting calendar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Impact of acquisition </w:t>
      </w:r>
      <w:r>
        <w:rPr>
          <w:rFonts w:ascii="Arial" w:cs="Arial" w:eastAsia="Arial" w:hAnsi="Arial"/>
          <w:sz w:val="15"/>
          <w:szCs w:val="15"/>
          <w:color w:val="auto"/>
        </w:rPr>
        <w:t>(5)</w:t>
      </w:r>
    </w:p>
    <w:p>
      <w:pPr>
        <w:ind w:left="720"/>
        <w:spacing w:after="0" w:line="238" w:lineRule="auto"/>
        <w:rPr>
          <w:sz w:val="20"/>
          <w:szCs w:val="20"/>
          <w:color w:val="auto"/>
        </w:rPr>
      </w:pPr>
      <w:r>
        <w:rPr>
          <w:rFonts w:ascii="Arial" w:cs="Arial" w:eastAsia="Arial" w:hAnsi="Arial"/>
          <w:sz w:val="18"/>
          <w:szCs w:val="18"/>
          <w:color w:val="auto"/>
        </w:rPr>
        <w:t xml:space="preserve">Higher interest and other expense, net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(10)</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17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2016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September 30, 2016</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(12)</w:t>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(6)</w:t>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Other / rounding</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September 30, 2016</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660" w:hanging="654"/>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4.46</w:t>
      </w:r>
    </w:p>
    <w:p>
      <w:pPr>
        <w:spacing w:after="0" w:line="17"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jc w:val="right"/>
        <w:spacing w:after="0" w:line="235" w:lineRule="auto"/>
        <w:rPr>
          <w:sz w:val="20"/>
          <w:szCs w:val="20"/>
          <w:color w:val="auto"/>
        </w:rPr>
      </w:pPr>
      <w:r>
        <w:rPr>
          <w:rFonts w:ascii="Arial" w:cs="Arial" w:eastAsia="Arial" w:hAnsi="Arial"/>
          <w:sz w:val="18"/>
          <w:szCs w:val="18"/>
          <w:color w:val="auto"/>
        </w:rPr>
        <w:t>(0.04)</w:t>
      </w:r>
    </w:p>
    <w:p>
      <w:pPr>
        <w:jc w:val="right"/>
        <w:ind w:right="60"/>
        <w:spacing w:after="0" w:line="235" w:lineRule="auto"/>
        <w:rPr>
          <w:sz w:val="20"/>
          <w:szCs w:val="20"/>
          <w:color w:val="auto"/>
        </w:rPr>
      </w:pPr>
      <w:r>
        <w:rPr>
          <w:rFonts w:ascii="Arial" w:cs="Arial" w:eastAsia="Arial" w:hAnsi="Arial"/>
          <w:sz w:val="18"/>
          <w:szCs w:val="18"/>
          <w:color w:val="auto"/>
        </w:rPr>
        <w:t>0.04</w:t>
      </w:r>
    </w:p>
    <w:p>
      <w:pPr>
        <w:jc w:val="right"/>
        <w:spacing w:after="0" w:line="235" w:lineRule="auto"/>
        <w:rPr>
          <w:sz w:val="20"/>
          <w:szCs w:val="20"/>
          <w:color w:val="auto"/>
        </w:rPr>
      </w:pPr>
      <w:r>
        <w:rPr>
          <w:rFonts w:ascii="Arial" w:cs="Arial" w:eastAsia="Arial" w:hAnsi="Arial"/>
          <w:sz w:val="18"/>
          <w:szCs w:val="18"/>
          <w:color w:val="auto"/>
        </w:rPr>
        <w:t>(4.25)</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0.38</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0.05</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spacing w:after="0" w:line="235" w:lineRule="auto"/>
        <w:rPr>
          <w:sz w:val="20"/>
          <w:szCs w:val="20"/>
          <w:color w:val="auto"/>
        </w:rPr>
      </w:pPr>
      <w:r>
        <w:rPr>
          <w:rFonts w:ascii="Arial" w:cs="Arial" w:eastAsia="Arial" w:hAnsi="Arial"/>
          <w:sz w:val="18"/>
          <w:szCs w:val="18"/>
          <w:color w:val="auto"/>
        </w:rPr>
        <w:t>(0.01)</w:t>
      </w:r>
    </w:p>
    <w:p>
      <w:pPr>
        <w:ind w:left="660"/>
        <w:spacing w:after="0" w:line="235" w:lineRule="auto"/>
        <w:rPr>
          <w:sz w:val="20"/>
          <w:szCs w:val="20"/>
          <w:color w:val="auto"/>
        </w:rPr>
      </w:pPr>
      <w:r>
        <w:rPr>
          <w:rFonts w:ascii="Arial" w:cs="Arial" w:eastAsia="Arial" w:hAnsi="Arial"/>
          <w:sz w:val="18"/>
          <w:szCs w:val="18"/>
          <w:color w:val="auto"/>
        </w:rPr>
        <w:t>0.02</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0.54</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0.52</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w:t>
      </w:r>
    </w:p>
    <w:p>
      <w:pPr>
        <w:spacing w:after="0" w:line="1"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10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and Non-GAAP Financial Measures appearing later in this section for more information on these unrealized losses on commodity and forecasted currency transaction derivatives.</w:t>
      </w:r>
    </w:p>
    <w:p>
      <w:pPr>
        <w:ind w:left="1140" w:right="16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740" w:hanging="335"/>
        <w:spacing w:after="0" w:line="241" w:lineRule="auto"/>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Includes our historical coffee business results and equity earnings from JDE and our other equity method investees. Refer to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and Non-GAAP Financial Measures appearing later in this section for more information.</w:t>
      </w:r>
    </w:p>
    <w:p>
      <w:pPr>
        <w:ind w:left="1140" w:hanging="335"/>
        <w:spacing w:after="0"/>
        <w:tabs>
          <w:tab w:leader="none" w:pos="11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20" w:hanging="335"/>
        <w:spacing w:after="0" w:line="252"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hanging="335"/>
        <w:spacing w:after="0" w:line="258" w:lineRule="auto"/>
        <w:tabs>
          <w:tab w:leader="none" w:pos="11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 trademark in EEMEA and a trademark in Europe related to the planned sale of a confectionery business in France.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19"/>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3"/>
                <w:szCs w:val="13"/>
                <w:color w:val="auto"/>
              </w:rPr>
            </w:pPr>
          </w:p>
        </w:tc>
        <w:tc>
          <w:tcPr>
            <w:tcW w:w="66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6"/>
          </w:tcPr>
          <w:p>
            <w:pPr>
              <w:jc w:val="right"/>
              <w:ind w:right="654"/>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19,153</w:t>
            </w:r>
          </w:p>
        </w:tc>
        <w:tc>
          <w:tcPr>
            <w:tcW w:w="5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22,272</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(3,119)</w:t>
            </w: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24"/>
        </w:trPr>
        <w:tc>
          <w:tcPr>
            <w:tcW w:w="486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2,062</w:t>
            </w:r>
          </w:p>
        </w:tc>
        <w:tc>
          <w:tcPr>
            <w:tcW w:w="5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9,454</w:t>
            </w:r>
          </w:p>
        </w:tc>
        <w:tc>
          <w:tcPr>
            <w:tcW w:w="3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(7,392)</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95"/>
        </w:trPr>
        <w:tc>
          <w:tcPr>
            <w:tcW w:w="4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Net earnings attributable to</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Mondelēz International</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rPr>
              <w:t>1,566</w:t>
            </w:r>
          </w:p>
        </w:tc>
        <w:tc>
          <w:tcPr>
            <w:tcW w:w="5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7,996</w:t>
            </w:r>
          </w:p>
        </w:tc>
        <w:tc>
          <w:tcPr>
            <w:tcW w:w="3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(6,430)</w:t>
            </w:r>
          </w:p>
        </w:tc>
        <w:tc>
          <w:tcPr>
            <w:tcW w:w="136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310"/>
        </w:trPr>
        <w:tc>
          <w:tcPr>
            <w:tcW w:w="486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60" w:type="dxa"/>
            <w:vAlign w:val="bottom"/>
          </w:tcPr>
          <w:p>
            <w:pPr>
              <w:ind w:left="720"/>
              <w:spacing w:after="0"/>
              <w:rPr>
                <w:sz w:val="20"/>
                <w:szCs w:val="20"/>
                <w:color w:val="auto"/>
              </w:rPr>
            </w:pPr>
            <w:r>
              <w:rPr>
                <w:rFonts w:ascii="Arial" w:cs="Arial" w:eastAsia="Arial" w:hAnsi="Arial"/>
                <w:sz w:val="18"/>
                <w:szCs w:val="18"/>
                <w:color w:val="auto"/>
              </w:rPr>
              <w:t>Mondelēz International</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0.99</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(3.87)</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6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$3,119 million (14.0%) to $ 19,153 million in the first nine months of 2016, and Organic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w:t>
      </w:r>
      <w:r>
        <w:rPr>
          <w:rFonts w:ascii="Arial" w:cs="Arial" w:eastAsia="Arial" w:hAnsi="Arial"/>
          <w:sz w:val="15"/>
          <w:szCs w:val="15"/>
          <w:color w:val="auto"/>
        </w:rPr>
        <w:t>(1)</w:t>
      </w:r>
      <w:r>
        <w:rPr>
          <w:rFonts w:ascii="Arial" w:cs="Arial" w:eastAsia="Arial" w:hAnsi="Arial"/>
          <w:sz w:val="18"/>
          <w:szCs w:val="18"/>
          <w:color w:val="auto"/>
        </w:rPr>
        <w:t xml:space="preserve"> increased $319 million (1.6%) to $20,073 million. Power Brands net revenues decreased 13.5%, primarily due to the deconsolidation of our historical coffee business, unfavorable currency and the deconsolidation of our historical Venezuelan operations, and Power Brands Organic Net Revenue increased 3.1%. Emerging markets net revenues decreased 20.1%, primarily due to the deconsolidation of our historical coffee business, unfavorable currency and the deconsolidation of our historical Venezuelan operations, and emerging markets Organic Net Revenue increased 3.1%. The underlying changes in net revenues and Organic Net Revenue are detailed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4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480" w:type="dxa"/>
            <w:vAlign w:val="bottom"/>
            <w:gridSpan w:val="2"/>
          </w:tcPr>
          <w:p>
            <w:pPr>
              <w:jc w:val="center"/>
              <w:ind w:left="392"/>
              <w:spacing w:after="0" w:line="202" w:lineRule="exact"/>
              <w:rPr>
                <w:sz w:val="20"/>
                <w:szCs w:val="20"/>
                <w:color w:val="auto"/>
              </w:rPr>
            </w:pPr>
            <w:r>
              <w:rPr>
                <w:rFonts w:ascii="Arial" w:cs="Arial" w:eastAsia="Arial" w:hAnsi="Arial"/>
                <w:sz w:val="18"/>
                <w:szCs w:val="18"/>
                <w:color w:val="auto"/>
                <w:w w:val="97"/>
              </w:rPr>
              <w:t>1.7pp</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480" w:type="dxa"/>
            <w:vAlign w:val="bottom"/>
            <w:gridSpan w:val="2"/>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8"/>
              </w:rPr>
              <w:t>(0.1)pp</w:t>
            </w:r>
          </w:p>
        </w:tc>
        <w:tc>
          <w:tcPr>
            <w:tcW w:w="0" w:type="dxa"/>
            <w:vAlign w:val="bottom"/>
          </w:tcPr>
          <w:p>
            <w:pPr>
              <w:spacing w:after="0"/>
              <w:rPr>
                <w:sz w:val="1"/>
                <w:szCs w:val="1"/>
                <w:color w:val="auto"/>
              </w:rPr>
            </w:pPr>
          </w:p>
        </w:tc>
      </w:tr>
      <w:tr>
        <w:trPr>
          <w:trHeight w:val="210"/>
        </w:trPr>
        <w:tc>
          <w:tcPr>
            <w:tcW w:w="724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000" w:type="dxa"/>
            <w:vAlign w:val="bottom"/>
            <w:tcBorders>
              <w:top w:val="single" w:sz="8" w:color="auto"/>
            </w:tcBorders>
          </w:tcPr>
          <w:p>
            <w:pPr>
              <w:ind w:left="600"/>
              <w:spacing w:after="0"/>
              <w:rPr>
                <w:sz w:val="20"/>
                <w:szCs w:val="20"/>
                <w:color w:val="auto"/>
              </w:rPr>
            </w:pPr>
            <w:r>
              <w:rPr>
                <w:rFonts w:ascii="Arial" w:cs="Arial" w:eastAsia="Arial" w:hAnsi="Arial"/>
                <w:sz w:val="18"/>
                <w:szCs w:val="18"/>
                <w:b w:val="1"/>
                <w:bCs w:val="1"/>
                <w:color w:val="auto"/>
                <w:w w:val="92"/>
              </w:rPr>
              <w:t>1.6%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480" w:type="dxa"/>
            <w:vAlign w:val="bottom"/>
            <w:gridSpan w:val="2"/>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8"/>
              </w:rPr>
              <w:t>(7.4)pp</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480" w:type="dxa"/>
            <w:vAlign w:val="bottom"/>
            <w:gridSpan w:val="2"/>
          </w:tcPr>
          <w:p>
            <w:pPr>
              <w:jc w:val="center"/>
              <w:ind w:left="392"/>
              <w:spacing w:after="0" w:line="202" w:lineRule="exact"/>
              <w:rPr>
                <w:sz w:val="20"/>
                <w:szCs w:val="20"/>
                <w:color w:val="auto"/>
              </w:rPr>
            </w:pPr>
            <w:r>
              <w:rPr>
                <w:rFonts w:ascii="Arial" w:cs="Arial" w:eastAsia="Arial" w:hAnsi="Arial"/>
                <w:sz w:val="18"/>
                <w:szCs w:val="18"/>
                <w:color w:val="auto"/>
                <w:w w:val="98"/>
              </w:rPr>
              <w:t>(5.0)pp</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(3)</w:t>
            </w:r>
          </w:p>
        </w:tc>
        <w:tc>
          <w:tcPr>
            <w:tcW w:w="1480" w:type="dxa"/>
            <w:vAlign w:val="bottom"/>
            <w:gridSpan w:val="2"/>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8"/>
              </w:rPr>
              <w:t>(3.3)pp</w:t>
            </w:r>
          </w:p>
        </w:tc>
        <w:tc>
          <w:tcPr>
            <w:tcW w:w="0" w:type="dxa"/>
            <w:vAlign w:val="bottom"/>
          </w:tcPr>
          <w:p>
            <w:pPr>
              <w:spacing w:after="0"/>
              <w:rPr>
                <w:sz w:val="1"/>
                <w:szCs w:val="1"/>
                <w:color w:val="auto"/>
              </w:rPr>
            </w:pPr>
          </w:p>
        </w:tc>
      </w:tr>
      <w:tr>
        <w:trPr>
          <w:trHeight w:val="203"/>
        </w:trPr>
        <w:tc>
          <w:tcPr>
            <w:tcW w:w="7240" w:type="dxa"/>
            <w:vAlign w:val="bottom"/>
          </w:tcPr>
          <w:p>
            <w:pPr>
              <w:ind w:left="720"/>
              <w:spacing w:after="0" w:line="202" w:lineRule="exact"/>
              <w:rPr>
                <w:sz w:val="20"/>
                <w:szCs w:val="20"/>
                <w:color w:val="auto"/>
              </w:rPr>
            </w:pPr>
            <w:r>
              <w:rPr>
                <w:rFonts w:ascii="Arial" w:cs="Arial" w:eastAsia="Arial" w:hAnsi="Arial"/>
                <w:sz w:val="18"/>
                <w:szCs w:val="18"/>
                <w:color w:val="auto"/>
              </w:rPr>
              <w:t>Impact of accounting calendar change</w:t>
            </w:r>
          </w:p>
        </w:tc>
        <w:tc>
          <w:tcPr>
            <w:tcW w:w="1480" w:type="dxa"/>
            <w:vAlign w:val="bottom"/>
            <w:gridSpan w:val="2"/>
          </w:tcPr>
          <w:p>
            <w:pPr>
              <w:jc w:val="center"/>
              <w:ind w:left="392"/>
              <w:spacing w:after="0" w:line="202" w:lineRule="exact"/>
              <w:rPr>
                <w:sz w:val="20"/>
                <w:szCs w:val="20"/>
                <w:color w:val="auto"/>
              </w:rPr>
            </w:pPr>
            <w:r>
              <w:rPr>
                <w:rFonts w:ascii="Arial" w:cs="Arial" w:eastAsia="Arial" w:hAnsi="Arial"/>
                <w:sz w:val="18"/>
                <w:szCs w:val="18"/>
                <w:color w:val="auto"/>
                <w:w w:val="98"/>
              </w:rPr>
              <w:t>(0.3)pp</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acquisitions</w:t>
            </w:r>
          </w:p>
        </w:tc>
        <w:tc>
          <w:tcPr>
            <w:tcW w:w="1480" w:type="dxa"/>
            <w:vAlign w:val="bottom"/>
            <w:gridSpan w:val="2"/>
            <w:shd w:val="clear" w:color="auto" w:fill="CCEEFF"/>
          </w:tcPr>
          <w:p>
            <w:pPr>
              <w:jc w:val="center"/>
              <w:ind w:left="392"/>
              <w:spacing w:after="0" w:line="202" w:lineRule="exact"/>
              <w:rPr>
                <w:sz w:val="20"/>
                <w:szCs w:val="20"/>
                <w:color w:val="auto"/>
              </w:rPr>
            </w:pPr>
            <w:r>
              <w:rPr>
                <w:rFonts w:ascii="Arial" w:cs="Arial" w:eastAsia="Arial" w:hAnsi="Arial"/>
                <w:sz w:val="18"/>
                <w:szCs w:val="18"/>
                <w:color w:val="auto"/>
                <w:w w:val="97"/>
              </w:rPr>
              <w:t>0.4pp</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Total change in net revenues</w:t>
            </w: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480" w:type="dxa"/>
            <w:vAlign w:val="bottom"/>
            <w:gridSpan w:val="2"/>
          </w:tcPr>
          <w:p>
            <w:pPr>
              <w:ind w:left="600"/>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60" w:hanging="335"/>
        <w:spacing w:after="0" w:line="241" w:lineRule="auto"/>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 xml:space="preserve">Non-GAAP Financial Measures </w:t>
      </w:r>
      <w:r>
        <w:rPr>
          <w:rFonts w:ascii="Arial" w:cs="Arial" w:eastAsia="Arial" w:hAnsi="Arial"/>
          <w:sz w:val="14"/>
          <w:szCs w:val="14"/>
          <w:color w:val="auto"/>
        </w:rPr>
        <w:t>appearing later in this section for more information.</w:t>
      </w:r>
    </w:p>
    <w:p>
      <w:pPr>
        <w:ind w:left="1140" w:right="120" w:hanging="335"/>
        <w:spacing w:after="0" w:line="258" w:lineRule="auto"/>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14.0% was driven by the impact of the deconsolidation of our historical coffee business, unfavorable currency, the deconsolidation of our historical Venezuelan operations and the year-over-year impact of last year’s accounting calendar change, partially offset by our underlying Organic Net Revenue growth of 1.6% and the impact of last year’s acquisitions. The adjustment for deconsolidating our historical coffee business resulted in a year-over-year decrease in net revenues of $1,627 million for the first nine months of 2016. Unfavorable currency impacts decreased net revenues by $996 million, due primarily to the strength of the U.S. dollar relative to several currencies, including the Argentinean peso, British pound sterling, Brazilian real, Mexican peso, Russian ruble and Chinese yuan. The deconsolidation of our historical Venezuelan operations resulted in a year-over-year decrease in net revenues of $834 million for the first nine months of 2016. The North America segment accounting calendar change made in 2015 resulted in a year-over-year decrease in net revenues of $57 million for the first nine months of 2016. Our underlying Organic Net Revenue growth was driven by higher net pricing, partially offset by unfavorable volume/mix. Net pricing was up, which includes the benefit of carryover pricing from 2015 as well as the effects of input cost-driven pricing actions taken during the first nine months of 2016. Higher net pricing was reflected in Latin America, EEMEA, and Asia Pacific, partially offset by lower net pricing in Europe and North America. Unfavorable volume/mix was reflected in Latin America and EEMEA, mostly offset by favorable volume/mix in all other segments. Unfavorable volume/mix in Latin America and EEMEA was largely due to price elasticity as well as strategic decisions to exit certain low-margin product lines. The impact of acquisitions primarily includes the July 15, 2015 acquisition of a biscuit operation in Vietnam, which added $71 million of incremental net revenues for the first nine months of 2016.</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$7,392 million (78.2%) to $2,062 million in the first nine months of 2016,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$416 million (16.2%) to $2,982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$548 million (21.4%) to $3,114 million due to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8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Income</w:t>
            </w: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Change</w:t>
            </w:r>
          </w:p>
        </w:tc>
      </w:tr>
      <w:tr>
        <w:trPr>
          <w:trHeight w:val="184"/>
        </w:trPr>
        <w:tc>
          <w:tcPr>
            <w:tcW w:w="8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1"/>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 point)</w:t>
            </w:r>
          </w:p>
        </w:tc>
        <w:tc>
          <w:tcPr>
            <w:tcW w:w="100" w:type="dxa"/>
            <w:vAlign w:val="bottom"/>
          </w:tcPr>
          <w:p>
            <w:pPr>
              <w:spacing w:after="0"/>
              <w:rPr>
                <w:sz w:val="15"/>
                <w:szCs w:val="15"/>
                <w:color w:val="auto"/>
              </w:rPr>
            </w:pPr>
          </w:p>
        </w:tc>
      </w:tr>
      <w:tr>
        <w:trPr>
          <w:trHeight w:val="80"/>
        </w:trPr>
        <w:tc>
          <w:tcPr>
            <w:tcW w:w="8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3"/>
        </w:trPr>
        <w:tc>
          <w:tcPr>
            <w:tcW w:w="8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Nine Months Ended September 30, 2015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9,454</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(208)</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(8.8)pp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(342)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Costs associated with the JDE coffee business transactions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14.8pp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(7,122)</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Reclassification of equity method investment earnings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(51)</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5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(9)</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0.1pp</w:t>
            </w:r>
          </w:p>
        </w:tc>
      </w:tr>
      <w:tr>
        <w:trPr>
          <w:trHeight w:val="187"/>
        </w:trPr>
        <w:tc>
          <w:tcPr>
            <w:tcW w:w="852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8520" w:type="dxa"/>
            <w:vAlign w:val="bottom"/>
          </w:tcPr>
          <w:p>
            <w:pPr>
              <w:ind w:left="720"/>
              <w:spacing w:after="0"/>
              <w:rPr>
                <w:sz w:val="20"/>
                <w:szCs w:val="20"/>
                <w:color w:val="auto"/>
              </w:rPr>
            </w:pPr>
            <w:r>
              <w:rPr>
                <w:rFonts w:ascii="Arial" w:cs="Arial" w:eastAsia="Arial" w:hAnsi="Arial"/>
                <w:sz w:val="18"/>
                <w:szCs w:val="18"/>
                <w:b w:val="1"/>
                <w:bCs w:val="1"/>
                <w:color w:val="auto"/>
              </w:rPr>
              <w:t>Nine Months Ended September 30, 2015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2,566</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5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13.3pp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Favorable volume/mix</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192</w:t>
            </w:r>
          </w:p>
        </w:tc>
        <w:tc>
          <w:tcPr>
            <w:tcW w:w="5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VAT-related settlements</w:t>
            </w:r>
          </w:p>
        </w:tc>
        <w:tc>
          <w:tcPr>
            <w:tcW w:w="10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(27)</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5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0.2pp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10"/>
        </w:trPr>
        <w:tc>
          <w:tcPr>
            <w:tcW w:w="852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548</w:t>
            </w:r>
          </w:p>
        </w:tc>
        <w:tc>
          <w:tcPr>
            <w:tcW w:w="5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00" w:type="dxa"/>
            <w:vAlign w:val="bottom"/>
          </w:tcPr>
          <w:p>
            <w:pPr>
              <w:spacing w:after="0"/>
              <w:rPr>
                <w:sz w:val="18"/>
                <w:szCs w:val="18"/>
                <w:color w:val="auto"/>
              </w:rPr>
            </w:pP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currency—translation</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(5.2)pp</w:t>
            </w:r>
          </w:p>
        </w:tc>
      </w:tr>
      <w:tr>
        <w:trPr>
          <w:trHeight w:val="217"/>
        </w:trPr>
        <w:tc>
          <w:tcPr>
            <w:tcW w:w="8520" w:type="dxa"/>
            <w:vAlign w:val="bottom"/>
          </w:tcPr>
          <w:p>
            <w:pPr>
              <w:ind w:left="54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5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8"/>
                <w:szCs w:val="18"/>
                <w:color w:val="auto"/>
              </w:rPr>
            </w:pPr>
          </w:p>
        </w:tc>
      </w:tr>
      <w:tr>
        <w:trPr>
          <w:trHeight w:val="180"/>
        </w:trPr>
        <w:tc>
          <w:tcPr>
            <w:tcW w:w="852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5"/>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Nine Months Ended September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2,982</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(766)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(31.2)pp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4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(3.3)pp</w:t>
            </w:r>
          </w:p>
        </w:tc>
      </w:tr>
      <w:tr>
        <w:trPr>
          <w:trHeight w:val="203"/>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4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(0.3)pp</w:t>
            </w:r>
          </w:p>
        </w:tc>
      </w:tr>
      <w:tr>
        <w:trPr>
          <w:trHeight w:val="203"/>
        </w:trPr>
        <w:tc>
          <w:tcPr>
            <w:tcW w:w="8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(49)</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(1.9)pp</w:t>
            </w:r>
          </w:p>
        </w:tc>
      </w:tr>
      <w:tr>
        <w:trPr>
          <w:trHeight w:val="210"/>
        </w:trPr>
        <w:tc>
          <w:tcPr>
            <w:tcW w:w="8520" w:type="dxa"/>
            <w:vAlign w:val="bottom"/>
          </w:tcPr>
          <w:p>
            <w:pPr>
              <w:ind w:left="720"/>
              <w:spacing w:after="0" w:line="202" w:lineRule="exact"/>
              <w:rPr>
                <w:sz w:val="20"/>
                <w:szCs w:val="20"/>
                <w:color w:val="auto"/>
              </w:rPr>
            </w:pPr>
            <w:r>
              <w:rPr>
                <w:rFonts w:ascii="Arial" w:cs="Arial" w:eastAsia="Arial" w:hAnsi="Arial"/>
                <w:sz w:val="18"/>
                <w:szCs w:val="18"/>
                <w:color w:val="auto"/>
              </w:rPr>
              <w:t>Other / rounding</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0.1pp</w:t>
            </w:r>
          </w:p>
        </w:tc>
        <w:tc>
          <w:tcPr>
            <w:tcW w:w="100" w:type="dxa"/>
            <w:vAlign w:val="bottom"/>
          </w:tcPr>
          <w:p>
            <w:pPr>
              <w:spacing w:after="0"/>
              <w:rPr>
                <w:sz w:val="18"/>
                <w:szCs w:val="18"/>
                <w:color w:val="auto"/>
              </w:rPr>
            </w:pPr>
          </w:p>
        </w:tc>
      </w:tr>
      <w:tr>
        <w:trPr>
          <w:trHeight w:val="203"/>
        </w:trPr>
        <w:tc>
          <w:tcPr>
            <w:tcW w:w="85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Nine Months Ended September 30,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2,062</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(78.2)%</w:t>
            </w:r>
          </w:p>
        </w:tc>
      </w:tr>
      <w:tr>
        <w:trPr>
          <w:trHeight w:val="20"/>
        </w:trPr>
        <w:tc>
          <w:tcPr>
            <w:tcW w:w="8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6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 on our 2014-2018 Restructuring Program and Note 6 to the consolidated financial statement in our Form 10-K for the year ended December 31, 2015 for more information on our 2012-2014 Restructuring Program.</w:t>
      </w:r>
    </w:p>
    <w:p>
      <w:pPr>
        <w:ind w:left="1140" w:right="120" w:hanging="335"/>
        <w:spacing w:after="0" w:line="258"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180" w:hanging="335"/>
        <w:spacing w:after="0" w:line="252"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deconsolidation.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hanging="335"/>
        <w:spacing w:after="0" w:line="24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Historically, we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right="200" w:hanging="335"/>
        <w:spacing w:after="0" w:line="24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160" w:hanging="335"/>
        <w:spacing w:after="0" w:line="24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and Non-GAAP Financial Measures appearing later in this section for more information on these unrealized gains and losses on commodity and forecasted currency transaction derivatives.</w:t>
      </w:r>
    </w:p>
    <w:p>
      <w:pPr>
        <w:ind w:left="1140" w:hanging="335"/>
        <w:spacing w:after="0"/>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the impairment charges recorded in 2016 for a trademark in North America, a trademark in EEMEA and two trademarks in Europe related to the planned sale of a confectionery business in France.</w:t>
      </w:r>
    </w:p>
    <w:p>
      <w:pPr>
        <w:ind w:left="1140" w:right="220" w:hanging="335"/>
        <w:spacing w:after="0" w:line="258"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During the first nine months of 2016, we realized higher net pricing while input costs increased modestly. Higher net pricing, which included the carryover impact of pricing actions taken in 2015, was reflected across all segments except Europe and North America. The increase in input costs was driven by higher raw material costs, in part due to higher currency exchange transaction costs on imported materials, which were partially offset by lower manufacturing costs due to productivity. Favorable volume/mix was driven by Europe, North America and Asia Pacific, which was mostly offset by unfavorable volume/mix in Latin America and EEMEA.</w:t>
      </w:r>
    </w:p>
    <w:p>
      <w:pPr>
        <w:spacing w:after="0" w:line="20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Total selling, general and administrative expenses decreased $840 million from the first nine months of 2015, due to a number of factors noted in the table above, including in part, the deconsolidation of our historical coffee business, a favorable currency impact, lower costs associated with the JDE coffee business transactions, the deconsolidation of our Venezuelan operations, gains on the sales of property, VAT-related settlements and the absence of devaluation charges related to our net monetary assets in Venezuela in 2016. The decreases were partially offset by increases from divestiture-related costs associated with the planned sale of a confectionery business in France, the reclassification of equity method investment earnings, higher costs incurred for the 2014-2018 Restructuring Program and the impact of acquisitions.</w:t>
      </w:r>
    </w:p>
    <w:p>
      <w:pPr>
        <w:spacing w:after="0" w:line="2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Excluding the factors noted above, selling, general and administrative expenses decreased $192 million from the first nine months of 2015. The decrease was driven primarily by lower overhead costs due to continued cost reduction efforts, partially offset by higher advertising and consumer promotions support, particularly behind our Power Brands.</w:t>
      </w:r>
    </w:p>
    <w:p>
      <w:pPr>
        <w:spacing w:after="0" w:line="203"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Excluding the portion related to deconsolidating our historical coffee business, the change in mark-to-market gains / (losses) from derivatives decreased operating income by $84 million in the first nine months of 2016. In the first nine months of 2016, the net unrealized losses on commodity and forecasted currency transaction derivatives were $49 million, as compared to net unrealized gains of $35 million ($75 million including coffee related activity) in the first nine months of 2015.</w:t>
      </w:r>
    </w:p>
    <w:p>
      <w:pPr>
        <w:spacing w:after="0" w:line="202"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Unfavorable currency impacts decreased operating income by $132 million, due primarily to the strength of the U.S. dollar relative to most currencies, including the British pound sterling, Argentinean peso and Brazilian real.</w:t>
      </w:r>
    </w:p>
    <w:p>
      <w:pPr>
        <w:spacing w:after="0" w:line="1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Operating income margin decreased from 42.4% in the first nine months of 2015, to 10.8% in the first nine months of 2016. The decrease in operating income margin was driven primarily by last year’s pre-tax gain on the JDE coffee business transactions, the deconsolidation of our historical coffee business, higher costs incurred for the 2014-2018 Restructuring Program, the deconsolidation of our Venezuelan operations, divestiture-related costs associated with the planned sale of a confectionery business in France, the change in mark-to-market gains/losses from derivatives, the reclassification of equity method earnings and intangible asset impairment charges. The items that decreased our operating income margin were partially offset by the absence of costs associated with the JDE coffee business transactions and an increase in our Adjusted Operating Income margin. Adjusted Operating Income margin increased from 13.0% in the first nine months of 2015 to 15.6% in the first nine months of 2016. The increase in Adjusted Operating Income margin was driven primarily by lower overheads from cost reduction programs, improved gross margin reflecting productivity efforts, gains on sales of property and VAT-related settlements.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$1,566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$6,430 million (80.4%) in the first nine months of 2016. Diluted EPS attributable to Mondelēz International was $0.99 in the first nine months of 2016, down $ 3.87 (79.6%) from the first nine months of 2015. Adjusted EPS </w:t>
      </w:r>
      <w:r>
        <w:rPr>
          <w:rFonts w:ascii="Arial" w:cs="Arial" w:eastAsia="Arial" w:hAnsi="Arial"/>
          <w:sz w:val="15"/>
          <w:szCs w:val="15"/>
          <w:color w:val="auto"/>
        </w:rPr>
        <w:t>(1)</w:t>
      </w:r>
      <w:r>
        <w:rPr>
          <w:rFonts w:ascii="Arial" w:cs="Arial" w:eastAsia="Arial" w:hAnsi="Arial"/>
          <w:sz w:val="18"/>
          <w:szCs w:val="18"/>
          <w:color w:val="auto"/>
        </w:rPr>
        <w:t xml:space="preserve"> was $1.47 in the first nine months of 2016, up $0.27 (22.5%) from the first nine months of 2015.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$1.53 in the first nine months of 2016, up $0.33 (27.5%) from the first nine months of 2015.</w:t>
      </w:r>
    </w:p>
    <w:p>
      <w:pPr>
        <w:sectPr>
          <w:pgSz w:w="11900" w:h="16838" w:orient="portrait"/>
          <w:cols w:equalWidth="0" w:num="1">
            <w:col w:w="11360"/>
          </w:cols>
          <w:pgMar w:left="240" w:top="459" w:right="299" w:bottom="1440" w:gutter="0" w:footer="0" w:header="0"/>
        </w:sectPr>
      </w:pPr>
    </w:p>
    <w:p>
      <w:pPr>
        <w:spacing w:after="0" w:line="3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Nine Months Ended September 30, 2015</w:t>
      </w:r>
    </w:p>
    <w:p>
      <w:pPr>
        <w:ind w:left="720"/>
        <w:spacing w:after="0" w:line="234" w:lineRule="auto"/>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Net earnings from Venezuelan subsidiaries </w:t>
      </w:r>
      <w:r>
        <w:rPr>
          <w:rFonts w:ascii="Arial" w:cs="Arial" w:eastAsia="Arial" w:hAnsi="Arial"/>
          <w:sz w:val="15"/>
          <w:szCs w:val="15"/>
          <w:color w:val="auto"/>
        </w:rPr>
        <w:t>(3)</w:t>
      </w:r>
    </w:p>
    <w:p>
      <w:pPr>
        <w:ind w:left="720"/>
        <w:spacing w:after="0" w:line="232" w:lineRule="auto"/>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(Income) / costs associated with the JDE coffee business transactions </w:t>
      </w:r>
      <w:r>
        <w:rPr>
          <w:rFonts w:ascii="Arial" w:cs="Arial" w:eastAsia="Arial" w:hAnsi="Arial"/>
          <w:sz w:val="15"/>
          <w:szCs w:val="15"/>
          <w:color w:val="auto"/>
        </w:rPr>
        <w:t>(4)</w:t>
      </w:r>
    </w:p>
    <w:p>
      <w:pPr>
        <w:ind w:left="720"/>
        <w:spacing w:after="0" w:line="232" w:lineRule="auto"/>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(5)</w:t>
      </w:r>
    </w:p>
    <w:p>
      <w:pPr>
        <w:ind w:left="720"/>
        <w:spacing w:after="0" w:line="235"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(6)</w:t>
      </w:r>
    </w:p>
    <w:p>
      <w:pPr>
        <w:ind w:left="720"/>
        <w:spacing w:after="0" w:line="231" w:lineRule="auto"/>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15"/>
          <w:szCs w:val="15"/>
          <w:color w:val="auto"/>
        </w:rPr>
        <w:t>(7)</w:t>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(9)</w:t>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Other / rounding</w:t>
      </w:r>
    </w:p>
    <w:p>
      <w:pPr>
        <w:spacing w:after="0" w:line="10" w:lineRule="exact"/>
        <w:rPr>
          <w:sz w:val="20"/>
          <w:szCs w:val="20"/>
          <w:color w:val="auto"/>
        </w:rPr>
      </w:pPr>
    </w:p>
    <w:p>
      <w:pPr>
        <w:ind w:left="720" w:right="3520" w:hanging="179"/>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2015 </w:t>
      </w:r>
      <w:r>
        <w:rPr>
          <w:rFonts w:ascii="Arial" w:cs="Arial" w:eastAsia="Arial" w:hAnsi="Arial"/>
          <w:sz w:val="18"/>
          <w:szCs w:val="18"/>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Decrease in operations from historical coffee business and equity method investments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(6)</w:t>
      </w:r>
    </w:p>
    <w:p>
      <w:pPr>
        <w:ind w:left="720"/>
        <w:spacing w:after="0" w:line="232" w:lineRule="auto"/>
        <w:rPr>
          <w:sz w:val="20"/>
          <w:szCs w:val="20"/>
          <w:color w:val="auto"/>
        </w:rPr>
      </w:pPr>
      <w:r>
        <w:rPr>
          <w:rFonts w:ascii="Arial" w:cs="Arial" w:eastAsia="Arial" w:hAnsi="Arial"/>
          <w:sz w:val="18"/>
          <w:szCs w:val="18"/>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Impact of accounting calendar change </w:t>
      </w:r>
      <w:r>
        <w:rPr>
          <w:rFonts w:ascii="Arial" w:cs="Arial" w:eastAsia="Arial" w:hAnsi="Arial"/>
          <w:sz w:val="15"/>
          <w:szCs w:val="15"/>
          <w:color w:val="auto"/>
        </w:rPr>
        <w:t>(12)</w:t>
      </w:r>
    </w:p>
    <w:p>
      <w:pPr>
        <w:ind w:left="720"/>
        <w:spacing w:after="0" w:line="232" w:lineRule="auto"/>
        <w:rPr>
          <w:sz w:val="20"/>
          <w:szCs w:val="20"/>
          <w:color w:val="auto"/>
        </w:rPr>
      </w:pPr>
      <w:r>
        <w:rPr>
          <w:rFonts w:ascii="Arial" w:cs="Arial" w:eastAsia="Arial" w:hAnsi="Arial"/>
          <w:sz w:val="18"/>
          <w:szCs w:val="18"/>
          <w:color w:val="auto"/>
        </w:rPr>
        <w:t xml:space="preserve">Impact of acquisitions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(13)</w:t>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(15)</w:t>
      </w:r>
    </w:p>
    <w:p>
      <w:pPr>
        <w:spacing w:after="0" w:line="10" w:lineRule="exact"/>
        <w:rPr>
          <w:sz w:val="20"/>
          <w:szCs w:val="20"/>
          <w:color w:val="auto"/>
        </w:rPr>
      </w:pPr>
    </w:p>
    <w:p>
      <w:pPr>
        <w:ind w:left="720" w:right="180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2016 </w:t>
      </w:r>
      <w:r>
        <w:rPr>
          <w:rFonts w:ascii="Arial" w:cs="Arial" w:eastAsia="Arial" w:hAnsi="Arial"/>
          <w:sz w:val="18"/>
          <w:szCs w:val="18"/>
          <w:color w:val="auto"/>
        </w:rPr>
        <w:t>Unfavorable currency—translation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(6)</w:t>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(6)</w:t>
      </w:r>
    </w:p>
    <w:p>
      <w:pPr>
        <w:ind w:left="720"/>
        <w:spacing w:after="0" w:line="238" w:lineRule="auto"/>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(8)</w:t>
      </w:r>
    </w:p>
    <w:p>
      <w:pPr>
        <w:ind w:left="720"/>
        <w:spacing w:after="0" w:line="232"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(10)</w:t>
      </w:r>
    </w:p>
    <w:p>
      <w:pPr>
        <w:ind w:left="720"/>
        <w:spacing w:after="0"/>
        <w:rPr>
          <w:sz w:val="20"/>
          <w:szCs w:val="20"/>
          <w:color w:val="auto"/>
        </w:rPr>
      </w:pPr>
      <w:r>
        <w:rPr>
          <w:rFonts w:ascii="Arial" w:cs="Arial" w:eastAsia="Arial" w:hAnsi="Arial"/>
          <w:sz w:val="18"/>
          <w:szCs w:val="18"/>
          <w:color w:val="auto"/>
        </w:rPr>
        <w:t>Other /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Nine Months Ended September 30, 2016</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194" w:lineRule="exact"/>
        <w:rPr>
          <w:sz w:val="20"/>
          <w:szCs w:val="20"/>
          <w:color w:val="auto"/>
        </w:rPr>
      </w:pPr>
    </w:p>
    <w:p>
      <w:pPr>
        <w:ind w:left="660" w:hanging="654"/>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4.86</w:t>
      </w:r>
    </w:p>
    <w:p>
      <w:pPr>
        <w:spacing w:after="0" w:line="17" w:lineRule="exact"/>
        <w:rPr>
          <w:rFonts w:ascii="Arial" w:cs="Arial" w:eastAsia="Arial" w:hAnsi="Arial"/>
          <w:sz w:val="18"/>
          <w:szCs w:val="18"/>
          <w:b w:val="1"/>
          <w:bCs w:val="1"/>
          <w:color w:val="auto"/>
        </w:rPr>
      </w:pP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0.29</w:t>
      </w:r>
    </w:p>
    <w:p>
      <w:pPr>
        <w:jc w:val="right"/>
        <w:spacing w:after="0" w:line="235" w:lineRule="auto"/>
        <w:rPr>
          <w:sz w:val="20"/>
          <w:szCs w:val="20"/>
          <w:color w:val="auto"/>
        </w:rPr>
      </w:pPr>
      <w:r>
        <w:rPr>
          <w:rFonts w:ascii="Arial" w:cs="Arial" w:eastAsia="Arial" w:hAnsi="Arial"/>
          <w:sz w:val="18"/>
          <w:szCs w:val="18"/>
          <w:color w:val="auto"/>
        </w:rPr>
        <w:t>(0.08)</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(0.03)</w:t>
      </w:r>
    </w:p>
    <w:p>
      <w:pPr>
        <w:jc w:val="right"/>
        <w:spacing w:after="0" w:line="235" w:lineRule="auto"/>
        <w:rPr>
          <w:sz w:val="20"/>
          <w:szCs w:val="20"/>
          <w:color w:val="auto"/>
        </w:rPr>
      </w:pPr>
      <w:r>
        <w:rPr>
          <w:rFonts w:ascii="Arial" w:cs="Arial" w:eastAsia="Arial" w:hAnsi="Arial"/>
          <w:sz w:val="18"/>
          <w:szCs w:val="18"/>
          <w:color w:val="auto"/>
        </w:rPr>
        <w:t>(4.21)</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4"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0.28</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0.06</w:t>
      </w: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1.20</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0.22</w:t>
      </w:r>
    </w:p>
    <w:p>
      <w:pPr>
        <w:jc w:val="right"/>
        <w:spacing w:after="0" w:line="235" w:lineRule="auto"/>
        <w:rPr>
          <w:sz w:val="20"/>
          <w:szCs w:val="20"/>
          <w:color w:val="auto"/>
        </w:rPr>
      </w:pPr>
      <w:r>
        <w:rPr>
          <w:rFonts w:ascii="Arial" w:cs="Arial" w:eastAsia="Arial" w:hAnsi="Arial"/>
          <w:sz w:val="18"/>
          <w:szCs w:val="18"/>
          <w:color w:val="auto"/>
        </w:rPr>
        <w:t>(0.06)</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0.03</w:t>
      </w:r>
    </w:p>
    <w:p>
      <w:pPr>
        <w:jc w:val="right"/>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0.06</w:t>
      </w:r>
    </w:p>
    <w:p>
      <w:pPr>
        <w:jc w:val="right"/>
        <w:ind w:right="60"/>
        <w:spacing w:after="0"/>
        <w:rPr>
          <w:sz w:val="20"/>
          <w:szCs w:val="20"/>
          <w:color w:val="auto"/>
        </w:rPr>
      </w:pPr>
      <w:r>
        <w:rPr>
          <w:rFonts w:ascii="Arial" w:cs="Arial" w:eastAsia="Arial" w:hAnsi="Arial"/>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1.53</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1.47</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(0.36)</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ectPr>
          <w:pgSz w:w="11900" w:h="16838" w:orient="portrait"/>
          <w:cols w:equalWidth="0" w:num="2">
            <w:col w:w="9560" w:space="720"/>
            <w:col w:w="1080"/>
          </w:cols>
          <w:pgMar w:left="240" w:top="459" w:right="2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right="44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 and Note 6 to the consolidated financial statement in our Form 10-K for the year ended December 31, 2015 for more information on our 2012-2014 Restructuring Program.</w:t>
      </w:r>
    </w:p>
    <w:p>
      <w:pPr>
        <w:ind w:left="1140" w:right="1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jc w:val="both"/>
        <w:ind w:left="1140" w:right="4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the first nine months of 2015 on the currency hedges related to the JDE coffee business transactions were recorded in interest and other expense, net and are included in the (income) / costs associated with the JDE coffee business transactions of $(0.03) in the table above.</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right="18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5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Refer to Note 8 to the consolidated financial statements in our Form 10-K for the year ended December 31, 2015 for more information on our loss on debt extinguishment and related expenses in connection with our debt tender offer in March 2015.</w:t>
      </w:r>
    </w:p>
    <w:p>
      <w:pPr>
        <w:ind w:left="1140" w:right="4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three months ended March 31, 2016 and 2015 due to changes in financing and hedging plans.</w:t>
      </w:r>
    </w:p>
    <w:p>
      <w:pPr>
        <w:ind w:left="1140" w:right="14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and Non-GAAP Financial Measures appearing later in this section for more information on these unrealized gains and losses on commodity and forecasted currency transaction derivatives.</w:t>
      </w:r>
    </w:p>
    <w:p>
      <w:pPr>
        <w:ind w:left="1140" w:right="2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right="78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our historical coffee business results and equity earnings from JDE and our other equity method investees. Refer to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and</w:t>
      </w:r>
      <w:r>
        <w:rPr>
          <w:rFonts w:ascii="Arial" w:cs="Arial" w:eastAsia="Arial" w:hAnsi="Arial"/>
          <w:sz w:val="14"/>
          <w:szCs w:val="14"/>
          <w:i w:val="1"/>
          <w:iCs w:val="1"/>
          <w:color w:val="auto"/>
        </w:rPr>
        <w:t xml:space="preserve"> Non-GAAP Financial Measures </w:t>
      </w:r>
      <w:r>
        <w:rPr>
          <w:rFonts w:ascii="Arial" w:cs="Arial" w:eastAsia="Arial" w:hAnsi="Arial"/>
          <w:sz w:val="14"/>
          <w:szCs w:val="14"/>
          <w:color w:val="auto"/>
        </w:rPr>
        <w:t>appearing later in this section for more information.</w:t>
      </w: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more information on the accounting calendar change in 2015.</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for a trademark in North America, a trademark in EEMEA and two trademarks in Europe related to the planned sale of a confectionery business in France.</w:t>
      </w:r>
    </w:p>
    <w:p>
      <w:pPr>
        <w:ind w:left="1140" w:right="200" w:hanging="335"/>
        <w:spacing w:after="0" w:line="258"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Includes costs incurred and accrued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and management structure are organized into five reportable operating segments:</w:t>
      </w:r>
    </w:p>
    <w:p>
      <w:pPr>
        <w:spacing w:after="0" w:line="5"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Latin America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Asia Pacific</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EEMEA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Europe</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North America</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October 1, 2016, we integrated our EEMEA business into our Europe and Asia Pacific segments. Russia, Ukraine, Turkey, Belarus, Georgia and Kazakhstan were combined within our Europe operating segment, while the remaining Middle East and African countries were combined within our Asia Pacific operating segment to form a new Asia, Middle East and Africa (“AMEA”) regional operating segment.</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1"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 xml:space="preserve">Historically, we have recorded income from equity method investments within our operating income as these investments were part of our base business. Beginning in the third quarter of 2015, to align with the accounting for our new coffee equity method investment in JDE, we began to record the earnings from our equity method investments in equity method investment earnings outside of segment operating income. Within segment operating income, equity method investment net earnings were $56 million for the nine months ended September 30, 2015, including $49 million in Asia Pacific, $3 million in EEMEA and $4 million in North America. See Note 1, </w:t>
      </w:r>
      <w:r>
        <w:rPr>
          <w:rFonts w:ascii="Arial" w:cs="Arial" w:eastAsia="Arial" w:hAnsi="Arial"/>
          <w:sz w:val="16"/>
          <w:szCs w:val="16"/>
          <w:i w:val="1"/>
          <w:iCs w:val="1"/>
          <w:color w:val="auto"/>
        </w:rPr>
        <w:t>Basis of Presentation – Principles of Consolidation,</w:t>
      </w:r>
      <w:r>
        <w:rPr>
          <w:rFonts w:ascii="Arial" w:cs="Arial" w:eastAsia="Arial" w:hAnsi="Arial"/>
          <w:sz w:val="16"/>
          <w:szCs w:val="16"/>
          <w:color w:val="auto"/>
        </w:rPr>
        <w:t xml:space="preserve"> and Note 2, </w:t>
      </w:r>
      <w:r>
        <w:rPr>
          <w:rFonts w:ascii="Arial" w:cs="Arial" w:eastAsia="Arial" w:hAnsi="Arial"/>
          <w:sz w:val="16"/>
          <w:szCs w:val="16"/>
          <w:i w:val="1"/>
          <w:iCs w:val="1"/>
          <w:color w:val="auto"/>
        </w:rPr>
        <w:t>Divestitures and Acquisitions</w:t>
      </w:r>
      <w:r>
        <w:rPr>
          <w:rFonts w:ascii="Arial" w:cs="Arial" w:eastAsia="Arial" w:hAnsi="Arial"/>
          <w:sz w:val="16"/>
          <w:szCs w:val="16"/>
          <w:color w:val="auto"/>
        </w:rPr>
        <w:t xml:space="preserve"> for additional information.</w:t>
      </w:r>
    </w:p>
    <w:p>
      <w:pPr>
        <w:spacing w:after="0" w:line="203"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for additional information on our segments and </w:t>
      </w:r>
      <w:r>
        <w:rPr>
          <w:rFonts w:ascii="Arial" w:cs="Arial" w:eastAsia="Arial" w:hAnsi="Arial"/>
          <w:sz w:val="16"/>
          <w:szCs w:val="16"/>
          <w:i w:val="1"/>
          <w:iCs w:val="1"/>
          <w:color w:val="auto"/>
        </w:rPr>
        <w:t>Items Affecting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Comparability of Financial Results </w:t>
      </w:r>
      <w:r>
        <w:rPr>
          <w:rFonts w:ascii="Arial" w:cs="Arial" w:eastAsia="Arial" w:hAnsi="Arial"/>
          <w:sz w:val="16"/>
          <w:szCs w:val="16"/>
          <w:color w:val="auto"/>
        </w:rPr>
        <w:t>earlier in this section for items affecting our segment operating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6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020" w:type="dxa"/>
            <w:vAlign w:val="bottom"/>
          </w:tcPr>
          <w:p>
            <w:pPr>
              <w:spacing w:after="0"/>
              <w:rPr>
                <w:sz w:val="13"/>
                <w:szCs w:val="13"/>
                <w:color w:val="auto"/>
              </w:rPr>
            </w:pPr>
          </w:p>
        </w:tc>
      </w:tr>
      <w:tr>
        <w:trPr>
          <w:trHeight w:val="184"/>
        </w:trPr>
        <w:tc>
          <w:tcPr>
            <w:tcW w:w="5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80"/>
        </w:trPr>
        <w:tc>
          <w:tcPr>
            <w:tcW w:w="5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6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15"/>
                <w:szCs w:val="15"/>
                <w:color w:val="auto"/>
              </w:rPr>
              <w:t>(1)</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c>
          <w:tcPr>
            <w:tcW w:w="120" w:type="dxa"/>
            <w:vAlign w:val="bottom"/>
          </w:tcPr>
          <w:p>
            <w:pPr>
              <w:spacing w:after="0"/>
              <w:rPr>
                <w:sz w:val="17"/>
                <w:szCs w:val="17"/>
                <w:color w:val="auto"/>
              </w:rPr>
            </w:pP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1,233</w:t>
            </w: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2,528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3,730</w:t>
            </w:r>
          </w:p>
        </w:tc>
      </w:tr>
      <w:tr>
        <w:trPr>
          <w:trHeight w:val="203"/>
        </w:trPr>
        <w:tc>
          <w:tcPr>
            <w:tcW w:w="5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Asia Pacific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3,278</w:t>
            </w:r>
          </w:p>
        </w:tc>
      </w:tr>
      <w:tr>
        <w:trPr>
          <w:trHeight w:val="203"/>
        </w:trPr>
        <w:tc>
          <w:tcPr>
            <w:tcW w:w="56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EEMEA </w:t>
            </w:r>
            <w:r>
              <w:rPr>
                <w:rFonts w:ascii="Arial" w:cs="Arial" w:eastAsia="Arial" w:hAnsi="Arial"/>
                <w:sz w:val="15"/>
                <w:szCs w:val="15"/>
                <w:color w:val="auto"/>
              </w:rPr>
              <w:t>(2)</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1,738</w:t>
            </w:r>
          </w:p>
        </w:tc>
        <w:tc>
          <w:tcPr>
            <w:tcW w:w="220" w:type="dxa"/>
            <w:vAlign w:val="bottom"/>
          </w:tcPr>
          <w:p>
            <w:pPr>
              <w:spacing w:after="0"/>
              <w:rPr>
                <w:sz w:val="17"/>
                <w:szCs w:val="17"/>
                <w:color w:val="auto"/>
              </w:rPr>
            </w:pPr>
          </w:p>
        </w:tc>
        <w:tc>
          <w:tcPr>
            <w:tcW w:w="180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2,150</w:t>
            </w:r>
          </w:p>
        </w:tc>
      </w:tr>
      <w:tr>
        <w:trPr>
          <w:trHeight w:val="203"/>
        </w:trPr>
        <w:tc>
          <w:tcPr>
            <w:tcW w:w="56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6,461</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7,963</w:t>
            </w:r>
          </w:p>
        </w:tc>
      </w:tr>
      <w:tr>
        <w:trPr>
          <w:trHeight w:val="203"/>
        </w:trPr>
        <w:tc>
          <w:tcPr>
            <w:tcW w:w="5660" w:type="dxa"/>
            <w:vAlign w:val="bottom"/>
          </w:tcPr>
          <w:p>
            <w:pPr>
              <w:ind w:left="720"/>
              <w:spacing w:after="0" w:line="202" w:lineRule="exact"/>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5,148</w:t>
            </w:r>
          </w:p>
        </w:tc>
        <w:tc>
          <w:tcPr>
            <w:tcW w:w="220" w:type="dxa"/>
            <w:vAlign w:val="bottom"/>
          </w:tcPr>
          <w:p>
            <w:pPr>
              <w:spacing w:after="0"/>
              <w:rPr>
                <w:sz w:val="17"/>
                <w:szCs w:val="17"/>
                <w:color w:val="auto"/>
              </w:rPr>
            </w:pPr>
          </w:p>
        </w:tc>
        <w:tc>
          <w:tcPr>
            <w:tcW w:w="180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5,151</w:t>
            </w:r>
          </w:p>
        </w:tc>
      </w:tr>
      <w:tr>
        <w:trPr>
          <w:trHeight w:val="27"/>
        </w:trPr>
        <w:tc>
          <w:tcPr>
            <w:tcW w:w="5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6,849</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19,153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22,272</w:t>
            </w:r>
          </w:p>
        </w:tc>
      </w:tr>
      <w:tr>
        <w:trPr>
          <w:trHeight w:val="20"/>
        </w:trPr>
        <w:tc>
          <w:tcPr>
            <w:tcW w:w="5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61" w:lineRule="exact"/>
        <w:rPr>
          <w:sz w:val="20"/>
          <w:szCs w:val="20"/>
          <w:color w:val="auto"/>
        </w:rPr>
      </w:pPr>
    </w:p>
    <w:p>
      <w:pPr>
        <w:ind w:left="1020" w:right="1040" w:hanging="292"/>
        <w:spacing w:after="0" w:line="241" w:lineRule="auto"/>
        <w:tabs>
          <w:tab w:leader="none" w:pos="1028"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Net revenues of $315 million for the three months and $834 million for the nine months ended September 30, 2015 from our Venezuelan subsidiaries are included in our condensed consolidated financial statements. Beginning in 2016, we account for our Venezuelan subsidiaries using the cost method of accounting and no longer include net revenues of our Venezuelan subsidiaries within our condensed consolidated financial statements. Refer to Note 1, </w:t>
      </w:r>
      <w:r>
        <w:rPr>
          <w:rFonts w:ascii="Arial" w:cs="Arial" w:eastAsia="Arial" w:hAnsi="Arial"/>
          <w:sz w:val="14"/>
          <w:szCs w:val="14"/>
          <w:i w:val="1"/>
          <w:iCs w:val="1"/>
          <w:color w:val="auto"/>
        </w:rPr>
        <w:t>Basis of Presentation – Currency Translation and Highly Inflationary Accounting: Venezuela,</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020" w:right="1200" w:hanging="292"/>
        <w:spacing w:after="0" w:line="250" w:lineRule="auto"/>
        <w:tabs>
          <w:tab w:leader="none" w:pos="1028"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On July 2, 2015, we contributed our global coffee businesses primarily from our Europe, EEMEA and Asia Pacific segments. Net revenues of our global coffee business were $1,348 million in Europe, $246 million in EEMEA and $33 million in Asia Pacific for the nine months ended September 30, 2015. Refer to Note 2, </w:t>
      </w:r>
      <w:r>
        <w:rPr>
          <w:rFonts w:ascii="Arial" w:cs="Arial" w:eastAsia="Arial" w:hAnsi="Arial"/>
          <w:sz w:val="14"/>
          <w:szCs w:val="14"/>
          <w:i w:val="1"/>
          <w:iCs w:val="1"/>
          <w:color w:val="auto"/>
        </w:rPr>
        <w:t>Divestitures and Acquisitions – JDE Coffee Business Transactions</w:t>
      </w:r>
      <w:r>
        <w:rPr>
          <w:rFonts w:ascii="Arial" w:cs="Arial" w:eastAsia="Arial" w:hAnsi="Arial"/>
          <w:sz w:val="14"/>
          <w:szCs w:val="14"/>
          <w:color w:val="auto"/>
        </w:rPr>
        <w:t>, for more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5"/>
          </w:tcPr>
          <w:p>
            <w:pPr>
              <w:jc w:val="right"/>
              <w:ind w:right="16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020" w:type="dxa"/>
            <w:vAlign w:val="bottom"/>
          </w:tcPr>
          <w:p>
            <w:pPr>
              <w:spacing w:after="0"/>
              <w:rPr>
                <w:sz w:val="13"/>
                <w:szCs w:val="13"/>
                <w:color w:val="auto"/>
              </w:rPr>
            </w:pPr>
          </w:p>
        </w:tc>
      </w:tr>
      <w:tr>
        <w:trPr>
          <w:trHeight w:val="184"/>
        </w:trPr>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80"/>
        </w:trPr>
        <w:tc>
          <w:tcPr>
            <w:tcW w:w="5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03"/>
        </w:trPr>
        <w:tc>
          <w:tcPr>
            <w:tcW w:w="5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558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2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92</w:t>
            </w:r>
          </w:p>
        </w:tc>
        <w:tc>
          <w:tcPr>
            <w:tcW w:w="32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w:t>
            </w:r>
          </w:p>
        </w:tc>
        <w:tc>
          <w:tcPr>
            <w:tcW w:w="1020" w:type="dxa"/>
            <w:vAlign w:val="bottom"/>
            <w:shd w:val="clear" w:color="auto" w:fill="CCEEFF"/>
          </w:tcPr>
          <w:p>
            <w:pPr>
              <w:spacing w:after="0"/>
              <w:rPr>
                <w:sz w:val="17"/>
                <w:szCs w:val="17"/>
                <w:color w:val="auto"/>
              </w:rPr>
            </w:pPr>
          </w:p>
        </w:tc>
      </w:tr>
      <w:tr>
        <w:trPr>
          <w:trHeight w:val="203"/>
        </w:trPr>
        <w:tc>
          <w:tcPr>
            <w:tcW w:w="5580" w:type="dxa"/>
            <w:vAlign w:val="bottom"/>
          </w:tcPr>
          <w:p>
            <w:pPr>
              <w:ind w:left="900"/>
              <w:spacing w:after="0" w:line="202" w:lineRule="exact"/>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378</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1020" w:type="dxa"/>
            <w:vAlign w:val="bottom"/>
          </w:tcPr>
          <w:p>
            <w:pPr>
              <w:spacing w:after="0"/>
              <w:rPr>
                <w:sz w:val="17"/>
                <w:szCs w:val="17"/>
                <w:color w:val="auto"/>
              </w:rPr>
            </w:pPr>
          </w:p>
        </w:tc>
      </w:tr>
      <w:tr>
        <w:trPr>
          <w:trHeight w:val="203"/>
        </w:trPr>
        <w:tc>
          <w:tcPr>
            <w:tcW w:w="5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EEMEA</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020" w:type="dxa"/>
            <w:vAlign w:val="bottom"/>
            <w:shd w:val="clear" w:color="auto" w:fill="CCEEFF"/>
          </w:tcPr>
          <w:p>
            <w:pPr>
              <w:spacing w:after="0"/>
              <w:rPr>
                <w:sz w:val="17"/>
                <w:szCs w:val="17"/>
                <w:color w:val="auto"/>
              </w:rPr>
            </w:pPr>
          </w:p>
        </w:tc>
      </w:tr>
      <w:tr>
        <w:trPr>
          <w:trHeight w:val="203"/>
        </w:trPr>
        <w:tc>
          <w:tcPr>
            <w:tcW w:w="5580" w:type="dxa"/>
            <w:vAlign w:val="bottom"/>
          </w:tcPr>
          <w:p>
            <w:pPr>
              <w:ind w:left="900"/>
              <w:spacing w:after="0" w:line="202" w:lineRule="exact"/>
              <w:rPr>
                <w:sz w:val="20"/>
                <w:szCs w:val="20"/>
                <w:color w:val="auto"/>
              </w:rPr>
            </w:pPr>
            <w:r>
              <w:rPr>
                <w:rFonts w:ascii="Arial" w:cs="Arial" w:eastAsia="Arial" w:hAnsi="Arial"/>
                <w:sz w:val="18"/>
                <w:szCs w:val="18"/>
                <w:color w:val="auto"/>
              </w:rPr>
              <w:t>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896</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885</w:t>
            </w:r>
          </w:p>
        </w:tc>
        <w:tc>
          <w:tcPr>
            <w:tcW w:w="1020" w:type="dxa"/>
            <w:vAlign w:val="bottom"/>
          </w:tcPr>
          <w:p>
            <w:pPr>
              <w:spacing w:after="0"/>
              <w:rPr>
                <w:sz w:val="17"/>
                <w:szCs w:val="17"/>
                <w:color w:val="auto"/>
              </w:rPr>
            </w:pPr>
          </w:p>
        </w:tc>
      </w:tr>
      <w:tr>
        <w:trPr>
          <w:trHeight w:val="203"/>
        </w:trPr>
        <w:tc>
          <w:tcPr>
            <w:tcW w:w="5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North America</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w:t>
            </w:r>
          </w:p>
        </w:tc>
        <w:tc>
          <w:tcPr>
            <w:tcW w:w="1020" w:type="dxa"/>
            <w:vAlign w:val="bottom"/>
            <w:shd w:val="clear" w:color="auto" w:fill="CCEEFF"/>
          </w:tcPr>
          <w:p>
            <w:pPr>
              <w:spacing w:after="0"/>
              <w:rPr>
                <w:sz w:val="17"/>
                <w:szCs w:val="17"/>
                <w:color w:val="auto"/>
              </w:rPr>
            </w:pPr>
          </w:p>
        </w:tc>
      </w:tr>
      <w:tr>
        <w:trPr>
          <w:trHeight w:val="202"/>
        </w:trPr>
        <w:tc>
          <w:tcPr>
            <w:tcW w:w="5580" w:type="dxa"/>
            <w:vAlign w:val="bottom"/>
          </w:tcPr>
          <w:p>
            <w:pPr>
              <w:ind w:left="900"/>
              <w:spacing w:after="0" w:line="201" w:lineRule="exact"/>
              <w:rPr>
                <w:sz w:val="20"/>
                <w:szCs w:val="20"/>
                <w:color w:val="auto"/>
              </w:rPr>
            </w:pPr>
            <w:r>
              <w:rPr>
                <w:rFonts w:ascii="Arial" w:cs="Arial" w:eastAsia="Arial" w:hAnsi="Arial"/>
                <w:sz w:val="18"/>
                <w:szCs w:val="18"/>
                <w:color w:val="auto"/>
              </w:rPr>
              <w:t>Unrealized gains / (losses) on hedging activities (mark-to-</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80" w:type="dxa"/>
            <w:vAlign w:val="bottom"/>
          </w:tcPr>
          <w:p>
            <w:pPr>
              <w:ind w:left="1080"/>
              <w:spacing w:after="0" w:line="203" w:lineRule="exact"/>
              <w:rPr>
                <w:sz w:val="20"/>
                <w:szCs w:val="20"/>
                <w:color w:val="auto"/>
              </w:rPr>
            </w:pPr>
            <w:r>
              <w:rPr>
                <w:rFonts w:ascii="Arial" w:cs="Arial" w:eastAsia="Arial" w:hAnsi="Arial"/>
                <w:sz w:val="18"/>
                <w:szCs w:val="18"/>
                <w:color w:val="auto"/>
              </w:rPr>
              <w:t>market impacts)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(49)</w:t>
            </w:r>
          </w:p>
        </w:tc>
        <w:tc>
          <w:tcPr>
            <w:tcW w:w="220" w:type="dxa"/>
            <w:vAlign w:val="bottom"/>
          </w:tcPr>
          <w:p>
            <w:pPr>
              <w:spacing w:after="0"/>
              <w:rPr>
                <w:sz w:val="17"/>
                <w:szCs w:val="17"/>
                <w:color w:val="auto"/>
              </w:rPr>
            </w:pPr>
          </w:p>
        </w:tc>
        <w:tc>
          <w:tcPr>
            <w:tcW w:w="1800" w:type="dxa"/>
            <w:vAlign w:val="bottom"/>
            <w:gridSpan w:val="2"/>
          </w:tcPr>
          <w:p>
            <w:pPr>
              <w:jc w:val="right"/>
              <w:ind w:right="1020"/>
              <w:spacing w:after="0" w:line="203" w:lineRule="exact"/>
              <w:rPr>
                <w:sz w:val="20"/>
                <w:szCs w:val="20"/>
                <w:color w:val="auto"/>
              </w:rPr>
            </w:pPr>
            <w:r>
              <w:rPr>
                <w:rFonts w:ascii="Arial" w:cs="Arial" w:eastAsia="Arial" w:hAnsi="Arial"/>
                <w:sz w:val="18"/>
                <w:szCs w:val="18"/>
                <w:color w:val="auto"/>
              </w:rPr>
              <w:t>75</w:t>
            </w:r>
          </w:p>
        </w:tc>
      </w:tr>
      <w:tr>
        <w:trPr>
          <w:trHeight w:val="203"/>
        </w:trPr>
        <w:tc>
          <w:tcPr>
            <w:tcW w:w="5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5580" w:type="dxa"/>
            <w:vAlign w:val="bottom"/>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18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(137)</w:t>
            </w:r>
          </w:p>
        </w:tc>
      </w:tr>
      <w:tr>
        <w:trPr>
          <w:trHeight w:val="203"/>
        </w:trPr>
        <w:tc>
          <w:tcPr>
            <w:tcW w:w="558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Gains on JDE coffee business transactions and divestiture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7,135</w:t>
            </w:r>
          </w:p>
        </w:tc>
      </w:tr>
      <w:tr>
        <w:trPr>
          <w:trHeight w:val="203"/>
        </w:trPr>
        <w:tc>
          <w:tcPr>
            <w:tcW w:w="5580" w:type="dxa"/>
            <w:vAlign w:val="bottom"/>
          </w:tcPr>
          <w:p>
            <w:pPr>
              <w:ind w:left="900"/>
              <w:spacing w:after="0" w:line="202" w:lineRule="exact"/>
              <w:rPr>
                <w:sz w:val="20"/>
                <w:szCs w:val="20"/>
                <w:color w:val="auto"/>
              </w:rPr>
            </w:pPr>
            <w:r>
              <w:rPr>
                <w:rFonts w:ascii="Arial" w:cs="Arial" w:eastAsia="Arial" w:hAnsi="Arial"/>
                <w:sz w:val="18"/>
                <w:szCs w:val="18"/>
                <w:color w:val="auto"/>
              </w:rPr>
              <w:t>Acquisition-related costs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(8)</w:t>
            </w:r>
          </w:p>
        </w:tc>
      </w:tr>
      <w:tr>
        <w:trPr>
          <w:trHeight w:val="27"/>
        </w:trPr>
        <w:tc>
          <w:tcPr>
            <w:tcW w:w="5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5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2,062</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9,454</w:t>
            </w:r>
          </w:p>
        </w:tc>
      </w:tr>
      <w:tr>
        <w:trPr>
          <w:trHeight w:val="203"/>
        </w:trPr>
        <w:tc>
          <w:tcPr>
            <w:tcW w:w="558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(540)</w:t>
            </w:r>
          </w:p>
        </w:tc>
        <w:tc>
          <w:tcPr>
            <w:tcW w:w="220" w:type="dxa"/>
            <w:vAlign w:val="bottom"/>
          </w:tcPr>
          <w:p>
            <w:pPr>
              <w:spacing w:after="0"/>
              <w:rPr>
                <w:sz w:val="17"/>
                <w:szCs w:val="17"/>
                <w:color w:val="auto"/>
              </w:rPr>
            </w:pPr>
          </w:p>
        </w:tc>
        <w:tc>
          <w:tcPr>
            <w:tcW w:w="180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(814)</w:t>
            </w:r>
          </w:p>
        </w:tc>
      </w:tr>
      <w:tr>
        <w:trPr>
          <w:trHeight w:val="27"/>
        </w:trPr>
        <w:tc>
          <w:tcPr>
            <w:tcW w:w="5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5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7,688</w:t>
            </w:r>
          </w:p>
        </w:tc>
        <w:tc>
          <w:tcPr>
            <w:tcW w:w="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1,522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1020"/>
              <w:spacing w:after="0" w:line="202" w:lineRule="exact"/>
              <w:rPr>
                <w:sz w:val="20"/>
                <w:szCs w:val="20"/>
                <w:color w:val="auto"/>
              </w:rPr>
            </w:pPr>
            <w:r>
              <w:rPr>
                <w:rFonts w:ascii="Arial" w:cs="Arial" w:eastAsia="Arial" w:hAnsi="Arial"/>
                <w:sz w:val="18"/>
                <w:szCs w:val="18"/>
                <w:color w:val="auto"/>
              </w:rPr>
              <w:t>8,640</w:t>
            </w:r>
          </w:p>
        </w:tc>
      </w:tr>
      <w:tr>
        <w:trPr>
          <w:trHeight w:val="20"/>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49</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5920" w:type="dxa"/>
        <w:tblCellMar>
          <w:top w:w="0" w:type="dxa"/>
          <w:left w:w="0" w:type="dxa"/>
          <w:bottom w:w="0" w:type="dxa"/>
          <w:right w:w="0" w:type="dxa"/>
        </w:tblCellMar>
      </w:tblPr>
      <w:tr>
        <w:trPr>
          <w:trHeight w:val="162"/>
        </w:trPr>
        <w:tc>
          <w:tcPr>
            <w:tcW w:w="2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22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351"/>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3,730</w:t>
            </w: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(1,202)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(231)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$365 million (29.6%), due to the deconsolidation of our Venezuelan operations (24.2 pp), unfavorable currency (8.3</w:t>
      </w:r>
    </w:p>
    <w:p>
      <w:pPr>
        <w:ind w:right="80" w:firstLine="8"/>
        <w:spacing w:after="0" w:line="237" w:lineRule="auto"/>
        <w:tabs>
          <w:tab w:leader="none" w:pos="3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and unfavorable volume/mix (7.1 pp), partially offset by higher net pricing (10.0 pp). The deconsolidation of our Venezuelan operations resulted in a year-over-year decrease in net revenues of $315 million. Unfavorable currency impacts were due primarily to the strength of the U.S. dollar relative to most currencies in the region, including the Argentinean peso and Mexican peso, partially offset by the strength of the Brazilian real relative to the U.S. dollar. Unfavorable volume/mix, which primarily occurred in Brazil and Argentina, was largely due to the impact of pricing-related elasticity as well as strategic decisions to exit certain low-margin product lines. Unfavorable volume/mix was driven by declines in biscuits, refreshment beverages, chocolate and gum. Higher net pricing was reflected across all categories driven primarily by Argentina and Brazil.</w:t>
      </w:r>
    </w:p>
    <w:p>
      <w:pPr>
        <w:spacing w:after="0" w:line="20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Segment operating income decreased $42 million (31.3%), primarily due to higher raw material costs, the deconsolidation of our Venezuelan operations, unfavorable volume/mix, unfavorable currency and higher costs incurred for the 2014-2018 Restructuring Program. These unfavorable items were partially offset by higher net pricing, lower other selling, general and administrative expenses (including $34 million of VAT-related settlements), lower advertising and consumer promotions costs and lower manufacturing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revenues decreased $1,202 million (32.2%), due to the deconsolidation of our Venezuelan operations (19.5 pp), unfavorable currency (17.8</w:t>
      </w:r>
    </w:p>
    <w:p>
      <w:pPr>
        <w:ind w:right="80" w:firstLine="8"/>
        <w:spacing w:after="0" w:line="237" w:lineRule="auto"/>
        <w:tabs>
          <w:tab w:leader="none" w:pos="3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and unfavorable volume/mix (5.8 pp), partially offset by higher net pricing (10.9 pp). The deconsolidation of our Venezuelan operations resulted in a year-over-year decrease in net revenues of $834 million. Unfavorable currency impacts were due primarily to the strength of the U.S. dollar relative to most currencies in the region, including the Argentinean peso, Brazilian real and Mexican peso. Unfavorable volume/mix, which primarily occurred in Brazil and Argentina, was largely due to the impact of pricing-related elasticity as well as strategic decisions to exit certain low-margin product lines. Unfavorable volume/mix was driven by declines in refreshment beverages, chocolate, biscuits, gum and candy. Higher net pricing was reflected across all categories driven primarily by Argentina and Brazil.</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Segment operating income decreased $ 231 million (54.7%), primarily due to higher raw material costs, the deconsolidation of our Venezuelan operations, unfavorable volume/mix and unfavorable currency. These unfavorable items were partially offset by higher net pricing, lower other selling, general and administrative expenses (including $34 million of VAT-related settlements), lower manufacturing costs, lower advertising and consumer promotion costs and the absence of remeasurement losses in the first nine months of 2016 related to our net monetary assets in Venezuela.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48" w:lineRule="exact"/>
        <w:rPr>
          <w:sz w:val="20"/>
          <w:szCs w:val="20"/>
          <w:color w:val="auto"/>
        </w:rPr>
      </w:pPr>
    </w:p>
    <w:tbl>
      <w:tblPr>
        <w:tblLayout w:type="fixed"/>
        <w:tblInd w:w="5740" w:type="dxa"/>
        <w:tblCellMar>
          <w:top w:w="0" w:type="dxa"/>
          <w:left w:w="0" w:type="dxa"/>
          <w:bottom w:w="0" w:type="dxa"/>
          <w:right w:w="0" w:type="dxa"/>
        </w:tblCellMar>
      </w:tblPr>
      <w:tr>
        <w:trPr>
          <w:trHeight w:val="162"/>
        </w:trPr>
        <w:tc>
          <w:tcPr>
            <w:tcW w:w="30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2"/>
        </w:trPr>
        <w:tc>
          <w:tcPr>
            <w:tcW w:w="720" w:type="dxa"/>
            <w:vAlign w:val="bottom"/>
          </w:tcPr>
          <w:p>
            <w:pPr>
              <w:spacing w:after="0"/>
              <w:rPr>
                <w:sz w:val="15"/>
                <w:szCs w:val="15"/>
                <w:color w:val="auto"/>
              </w:rPr>
            </w:pPr>
          </w:p>
        </w:tc>
        <w:tc>
          <w:tcPr>
            <w:tcW w:w="236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9"/>
        </w:trPr>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2016</w:t>
            </w:r>
          </w:p>
        </w:tc>
        <w:tc>
          <w:tcPr>
            <w:tcW w:w="1820" w:type="dxa"/>
            <w:vAlign w:val="bottom"/>
            <w:tcBorders>
              <w:top w:val="single" w:sz="8" w:color="auto"/>
            </w:tcBorders>
            <w:gridSpan w:val="3"/>
          </w:tcPr>
          <w:p>
            <w:pPr>
              <w:jc w:val="right"/>
              <w:ind w:right="268"/>
              <w:spacing w:after="0" w:line="149"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2"/>
                <w:szCs w:val="12"/>
                <w:color w:val="auto"/>
              </w:rPr>
            </w:pPr>
          </w:p>
        </w:tc>
        <w:tc>
          <w:tcPr>
            <w:tcW w:w="10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 change</w:t>
            </w:r>
          </w:p>
        </w:tc>
        <w:tc>
          <w:tcPr>
            <w:tcW w:w="540" w:type="dxa"/>
            <w:vAlign w:val="bottom"/>
          </w:tcPr>
          <w:p>
            <w:pPr>
              <w:spacing w:after="0"/>
              <w:rPr>
                <w:sz w:val="12"/>
                <w:szCs w:val="12"/>
                <w:color w:val="auto"/>
              </w:rPr>
            </w:pPr>
          </w:p>
        </w:tc>
        <w:tc>
          <w:tcPr>
            <w:tcW w:w="96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 change</w:t>
            </w:r>
          </w:p>
        </w:tc>
      </w:tr>
      <w:tr>
        <w:trPr>
          <w:trHeight w:val="184"/>
        </w:trPr>
        <w:tc>
          <w:tcPr>
            <w:tcW w:w="7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7"/>
        </w:trPr>
        <w:tc>
          <w:tcPr>
            <w:tcW w:w="42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351"/>
        </w:trPr>
        <w:tc>
          <w:tcPr>
            <w:tcW w:w="4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Nine Months Ended</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3,278</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3,278</w:t>
            </w: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42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Net revenues increased $27 million (2.5%), due to favorable volume/mix (2.0 pp) and favorable currency (1.0 pp), partially offset by lower net pricing (0.5 pp). Favorable volume/mix, including the unfavorable impact of strategic decisions to exit certain low-margin product lines, was driven by gains in chocolate, biscuits, and refreshments beverages, partially offset by declines in cheese &amp; grocery, candy and gum. Favorable currency impacts were due primarily to the strength of the Australian dollar and Japanese yen relative to the U.S. dollar, partially offset by the strength of the U.S. dollar relative to the Chinese yuan and Indian rupee. Lower net pricing was driven by chocolate, gum and refreshment beverages, partially offset by higher net pricing in candy and biscuits.</w:t>
      </w:r>
    </w:p>
    <w:p>
      <w:pPr>
        <w:spacing w:after="0" w:line="20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Segment operating income increased $64 million (90.1%), primarily due to lower manufacturing costs, lower other selling, general and administrative expenses, lower costs incurred for the 2014-2018 Restructuring Program and lower advertising and consumer promotion costs. These favorable items were partially offset by lower net pricing and higher raw material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revenues were flat to the prior year, due to the impact of an acquisition (2.1 pp), favorable volume/mix (1.6 pp) and higher net pricing (0.6 pp), offset by unfavorable currency (3.3 pp) and the adjustment for deconsolidating our historical coffee business (1.0 pp). The acquisition of a biscuit operation in Vietnam in July 2015 added net revenues of $71 million. Favorable volume/mix, including the unfavorable impact of strategic decisions to exit certain low-margin product lines, was driven by gains in chocolate, biscuits, gum and refreshment beverages, partially offset by declines in candy and cheese &amp; grocery. Higher net pricing was driven by chocolate, candy, biscuits and refreshment beverages, partially offset by lower net pricing in gum. Unfavorable currency impacts were due primarily to the strength of the U.S. dollar relative to most currencies in the region, including the Chinese yuan, Indian rupee and Australian dollar, partially offset by the strength of the Japanese yen relative to the U.S. dollar. The adjustment for deconsolidating our historical coffee business resulted in a year-over-year decrease in net revenues of $33 million.</w:t>
      </w:r>
    </w:p>
    <w:p>
      <w:pPr>
        <w:spacing w:after="0" w:line="20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Segment operating income increased $57 million (17.8%), primarily due to lower manufacturing costs, lower other selling, general and administrative expenses, lower costs incurred for the 2014-2018 Restructuring Program, higher net pricing, favorable volume/mix and the impact of the Vietnam acquisition. These favorable items were partially offset by the reclassification of equity method investment earnings, higher raw material costs, unfavorable currency and the deconsolidation of our historical coffee business and the impact of divestitures.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EEMEA</w:t>
      </w:r>
    </w:p>
    <w:p>
      <w:pPr>
        <w:spacing w:after="0" w:line="248" w:lineRule="exact"/>
        <w:rPr>
          <w:sz w:val="20"/>
          <w:szCs w:val="20"/>
          <w:color w:val="auto"/>
        </w:rPr>
      </w:pPr>
    </w:p>
    <w:tbl>
      <w:tblPr>
        <w:tblLayout w:type="fixed"/>
        <w:tblInd w:w="5680" w:type="dxa"/>
        <w:tblCellMar>
          <w:top w:w="0" w:type="dxa"/>
          <w:left w:w="0" w:type="dxa"/>
          <w:bottom w:w="0" w:type="dxa"/>
          <w:right w:w="0" w:type="dxa"/>
        </w:tblCellMar>
      </w:tblPr>
      <w:tr>
        <w:trPr>
          <w:trHeight w:val="162"/>
        </w:trPr>
        <w:tc>
          <w:tcPr>
            <w:tcW w:w="31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38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84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7"/>
        </w:trPr>
        <w:tc>
          <w:tcPr>
            <w:tcW w:w="41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351"/>
        </w:trPr>
        <w:tc>
          <w:tcPr>
            <w:tcW w:w="4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Nine Months Ended</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September 30,</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2,150</w:t>
            </w:r>
          </w:p>
        </w:tc>
        <w:tc>
          <w:tcPr>
            <w:tcW w:w="5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(412)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7"/>
        </w:trPr>
        <w:tc>
          <w:tcPr>
            <w:tcW w:w="418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Net revenues decreased $ 43 million (7.3%), due to unfavorable volume/mix (6.7 pp) and unfavorable currency (6.1 pp), partially offset by higher net pricing (5.5 pp). Unfavorable volume/mix was largely due to the impact of pricing-related elasticity as well as strategic decisions to exit certain low-margin product lines. Unfavorable volume/mix was driven by declines in all categories. Unfavorable currency impacts were due to the strength of the U.S. dollar relative to most currencies in the region, primarily the Nigerian naira, Egyptian pound, South African rand and Ukrainian hryvnia. Higher net pricing was reflected across all categories.</w:t>
      </w:r>
    </w:p>
    <w:p>
      <w:pPr>
        <w:spacing w:after="0" w:line="20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Segment operating income decreased $8 million (15.4%), primarily due to higher raw material costs, unfavorable volume/mix, higher advertising and consumer promotion costs and unfavorable currency. These unfavorable items were mostly offset by higher net pricing, lower manufacturing costs and the absence of costs associated with the JDE coffee business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Net revenues decreased $412 million (19.2%), due to the adjustment for deconsolidating our historical coffee business (10.5 pp), unfavorable currency (8.8 pp) and unfavorable volume/mix (5.7 pp), partially offset by higher net pricing (5.8 pp). The adjustment for deconsolidating our historical coffee business resulted in a year-over-year decrease in net revenues of $246 million. Unfavorable currency impacts were due to the strength of the U.S. dollar relative to most currencies in the region, primarily the Russian ruble, South African rand, Egyptian pound, Nigerian naira, Turkish lira and Ukrainian hryvnia. Unfavorable volume/mix was largely due to the impact of pricing-related elasticity as well as strategic decisions to exit certain low-margin product lines. Unfavorable volume/mix was driven by declines in all categories. Higher net pricing was reflected across all categories.</w:t>
      </w:r>
    </w:p>
    <w:p>
      <w:pPr>
        <w:spacing w:after="0" w:line="203"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Segment operating income decreased $30 million (16.3%), primarily due to higher raw material costs, the deconsolidation of our historical coffee business, unfavorable volume/mix, higher costs incurred for the 2014-2018 Restructuring Program and unfavorable currency. These unfavorable items were partially offset by higher net pricing, lower manufacturing costs, lower other selling, general and administrative expenses and the absence of costs associated with the JDE coffee business transactions.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5920" w:type="dxa"/>
        <w:tblCellMar>
          <w:top w:w="0" w:type="dxa"/>
          <w:left w:w="0" w:type="dxa"/>
          <w:bottom w:w="0" w:type="dxa"/>
          <w:right w:w="0" w:type="dxa"/>
        </w:tblCellMar>
      </w:tblPr>
      <w:tr>
        <w:trPr>
          <w:trHeight w:val="162"/>
        </w:trPr>
        <w:tc>
          <w:tcPr>
            <w:tcW w:w="2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220" w:type="dxa"/>
            <w:vAlign w:val="bottom"/>
            <w:gridSpan w:val="4"/>
          </w:tcPr>
          <w:p>
            <w:pPr>
              <w:jc w:val="center"/>
              <w:ind w:right="1160"/>
              <w:spacing w:after="0"/>
              <w:rPr>
                <w:sz w:val="20"/>
                <w:szCs w:val="20"/>
                <w:color w:val="auto"/>
              </w:rPr>
            </w:pPr>
            <w:r>
              <w:rPr>
                <w:rFonts w:ascii="Arial" w:cs="Arial" w:eastAsia="Arial" w:hAnsi="Arial"/>
                <w:sz w:val="14"/>
                <w:szCs w:val="14"/>
                <w:b w:val="1"/>
                <w:bCs w:val="1"/>
                <w:color w:val="auto"/>
              </w:rPr>
              <w:t>September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76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51"/>
        </w:trPr>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Nine Months Ended</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9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7,963</w:t>
            </w:r>
          </w:p>
        </w:tc>
        <w:tc>
          <w:tcPr>
            <w:tcW w:w="5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(1,502)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7"/>
        </w:trPr>
        <w:tc>
          <w:tcPr>
            <w:tcW w:w="59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885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Net revenues decreased $69 million (3.2%), due to unfavorable currency (4.2 pp) and lower net pricing (2.3 pp), partially offset by favorable volume/mix (3.3 pp). Unfavorable currency impacts reflected the strength of the U.S. dollar against most currencies in the region, primarily the British pound sterling. Lower net pricing was reflected across all categories except refreshment beverages. Favorable volume/mix, including the unfavorable impact of strategic decisions to exit certain low-margin product lines, was driven by biscuits, chocolate, cheese &amp; grocery and gum, partially offset by declines in candy and refreshment beverages.</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Segment operating income increased $4 million (1.3%), primarily due to lower manufacturing costs, favorable volume/mix, the absence of costs associated with the JDE coffee business transactions, lower other selling, general and administrative expenses and lower raw material costs. These favorable items were mostly offset by higher costs incurred for the 2014-2018 Restructuring Program, lower net pricing and higher advertising and consumer promotion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Net revenues decreased $1,502 million (18.9%), due to the adjustment for deconsolidating our historical coffee business (16.6 pp), unfavorable currency (2.7 pp) and lower net pricing (1.3 pp), partially offset by favorable volume/mix (1.7 pp). The adjustment for deconsolidating our historical coffee business resulted in a year-over-year decrease in net revenues of $ 1,348 million. Unfavorable currency impacts reflected the strength of the U.S. dollar against most currencies in the region, primarily the British pound sterling. Lower net pricing was reflected across all categories except refreshment beverages. Favorable volume/mix, including the unfavorable impact of strategic decisions to exit certain low-margin product lines, was driven by biscuits, chocolate and cheese &amp; grocery, partially offset by declines in refreshment beverages, candy and gum.</w:t>
      </w:r>
    </w:p>
    <w:p>
      <w:pPr>
        <w:spacing w:after="0" w:line="20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Segment operating income increased $11 million (1.2%), primarily due to the absence of costs associated with the JDE coffee business transactions, lower manufacturing costs, lower other selling, general and administrative expenses, favorable volume/mix and the gain on the sale of an intangible asset in Finland. These favorable items were mostly offset by the deconsolidation of our historical coffee business, divestiture-related costs and intangible asset impairment charges related to the planned sale of a confectionery business in France, lower net pricing, unfavorable currency, higher advertising and consumer promotion costs and higher costs incurred for the 2014-2018 Restructuring Program.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162"/>
        </w:trPr>
        <w:tc>
          <w:tcPr>
            <w:tcW w:w="308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360" w:type="dxa"/>
            <w:vAlign w:val="bottom"/>
            <w:gridSpan w:val="4"/>
          </w:tcPr>
          <w:p>
            <w:pPr>
              <w:jc w:val="center"/>
              <w:ind w:right="126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840" w:type="dxa"/>
            <w:vAlign w:val="bottom"/>
            <w:tcBorders>
              <w:top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1,756</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275</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51"/>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5"/>
          </w:tcPr>
          <w:p>
            <w:pPr>
              <w:ind w:left="5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5,148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5,151</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7"/>
        </w:trPr>
        <w:tc>
          <w:tcPr>
            <w:tcW w:w="572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23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revenues decreased $3 million (0.2%), due to lower net pricing (1.7 pp) and the impact of an accounting calendar change made in the prior year (1.1 pp), partially offset by favorable volume/mix (2.6 pp). Lower net pricing was reflected in biscuits, gum and candy, partially offset by higher net pricing in chocolate. The prior-year change in North America’s accounting calendar resulted in a year-over-year decrease in net revenues of $19 million. Favorable volume/mix, including the unfavorable impact of strategic decisions to exit certain low-margin product lines, was driven by gains in biscuits and candy, partially offset by declines in gum and chocolate.</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Segment operating income decreased $1 million (0.4%), primarily due to higher costs incurred for the 2014-2018 Restructuring Program, lower net pricing and higher raw material costs. These unfavorable items were mostly offset by lower manufacturing costs, lower other selling, general and administrative expenses (including the gain on sale of property), favorable volume/mix and the gain on the sale of an intangible asset.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Net revenues decreased $3 million (0.1%), due to the impact of an accounting calendar change made in the prior year (1.1 pp), unfavorable currency (0.5 pp) and lower net pricing (0.4 pp), mostly offset by favorable volume/mix (1.8 pp) and an acquisition (0.1 pp). The prior-year change in North America’s accounting calendar resulted in a year-over-year decrease in net revenues of $57 million. Unfavorable currency impact was due to the strength of the U.S. dollar relative to the Canadian dollar. Lower net pricing was reflected in biscuits and candy, partially offset by higher net pricing in chocolate and gum. Favorable volume/mix, including the unfavorable impact of strategic decisions to exit certain low-margin product lines, was driven by gains in biscuits and candy, partially offset by declines in gum and chocolate. The acquisition of Enjoy Life Foods in March 2015 added net revenues of $5 million.</w:t>
      </w:r>
    </w:p>
    <w:p>
      <w:pPr>
        <w:spacing w:after="0" w:line="20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Segment operating income increased $23 million (2.8%), primarily due to lower other selling, general and administrative expenses (including gains on sales of property), lower manufacturing costs and favorable volume/mix. These favorable items were partially offset by higher costs incurred for the 2014-2018 Restructuring Program, the year-over-year impact of the prior-year accounting calendar change, higher advertising and consumer promotion costs and lower net pricing.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believe that cash from operations, our $4.5 billion revolving credit facility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Overall, we do not expect any negative effects to our funding sources that would have a material effect on our liquidity, including the indefinite reinvestment of our earnings outside of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cash provided by operating activities was $1,138 million in the first nine months of 2016 and $1,412 million in the first nine months of 2015. The deconsolidation of our coffee businesses impacted our operating cash flows, as well as higher contributions related to our pension benefit plans in 2016 to date, including discretionary contributions of $250 million in 2016 and $ 200 million in 2015. After converting our coffee holdings into equity method investments, we will only recognize cash flows from coffee when the investments pay dividends. We received $4 million of dividends from our investment in Keurig in the first nine months of 2016. Our coffee investment in JDE did not distribute dividends in the first nine months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 Provided by Investing Activities:</w:t>
      </w:r>
    </w:p>
    <w:p>
      <w:pPr>
        <w:spacing w:after="0" w:line="1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Net cash used in investing activities was $521 million in the first nine months of 2016 and net cash provided by investing activities was $3,460 million in the first nine months of 2015. In the first nine months of 2015, we received $4.1 billion of cash, net of transaction costs, from the deconsolidation of our coffee business and the divestiture of AGF and $1.1 billion of cash related to the settlement of currency exchange forward contracts related to our JDE coffee business transactions. This was partially offset by $ 536 million of payments to acquire a biscuit operation in Vietnam and Enjoy Life Foods in 2015, lower planned capital expenditures in 2016 and $73 million of proceeds from the sales of property in 2016.</w:t>
      </w:r>
    </w:p>
    <w:p>
      <w:pPr>
        <w:spacing w:after="0" w:line="20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Capital expenditures were $909 million for the nine months ended September 30, 2016 and $1,178 million for the nine months ended September 30, 2015. We continue to make capital expenditures primarily to modernize manufacturing facilities and support new product and productivity initiatives. We expect 2016 capital expenditures to be up to $1.4 billion, including capital expenditures in connection with our 2014-2018 Restructuring Program. We expect to continue to fund these expenditures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4"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Net cash used in financing activities was $830 million in the first nine months of 2016 and $4,270 million in the first nine months of 2015. Cash flows used in financing activities were lower due to higher short-term financing to fund working capital requirements, lower share repurchases in 2016 to date and lower net repayments of long-term debt due to the decision to refinance maturing debt in 2016 to date than in the first nine months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issuances and maturities during the first nine months of 2016 and for the subsequent debt activity in October 2016. The nature and amount of our long-term and short-term debt and the proportionate amount of each varies as a result of current and expected business requirements, market conditions and other factors. Generally,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20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In July 2015, our Board of Directors approved a $5 billion long-term financing authority. As of September 30, 2016, we had $2.8 billion of long-term financing authority remaining.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our most recent October 2016 debt activity, in the next 12 months, we expect $1.5 billion of long-term debt will mature as follows:</w:t>
      </w:r>
    </w:p>
    <w:p>
      <w:pPr>
        <w:ind w:right="60"/>
        <w:spacing w:after="0" w:line="248" w:lineRule="auto"/>
        <w:rPr>
          <w:sz w:val="20"/>
          <w:szCs w:val="20"/>
          <w:color w:val="auto"/>
        </w:rPr>
      </w:pPr>
      <w:r>
        <w:rPr>
          <w:rFonts w:ascii="Arial" w:cs="Arial" w:eastAsia="Arial" w:hAnsi="Arial"/>
          <w:sz w:val="18"/>
          <w:szCs w:val="18"/>
          <w:color w:val="auto"/>
        </w:rPr>
        <w:t xml:space="preserve">€750 million ($ 843 million as of September 30, 2016) in January 2017, </w:t>
      </w:r>
      <w:r>
        <w:rPr>
          <w:rFonts w:ascii="Arial" w:cs="Arial" w:eastAsia="Arial" w:hAnsi="Arial"/>
          <w:sz w:val="18"/>
          <w:szCs w:val="18"/>
          <w:i w:val="1"/>
          <w:iCs w:val="1"/>
          <w:color w:val="auto"/>
        </w:rPr>
        <w:t>fr.</w:t>
      </w:r>
      <w:r>
        <w:rPr>
          <w:rFonts w:ascii="Arial" w:cs="Arial" w:eastAsia="Arial" w:hAnsi="Arial"/>
          <w:sz w:val="18"/>
          <w:szCs w:val="18"/>
          <w:color w:val="auto"/>
        </w:rPr>
        <w:t>175 million Swiss franc notes ($180 million as of September 30, 2016) in March 2017 and $488 million in August 2017. We expect to fund these repayments with a combination of cash from operations and the issuance of commercial paper or long-term debt.</w:t>
      </w:r>
    </w:p>
    <w:p>
      <w:pPr>
        <w:spacing w:after="0" w:line="19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Our total debt was $17.1 billion at September 30, 2016 and $15.4 billion at December 31, 2015. Our debt-to-capitalization ratio was 0.38 at September 30, 2016 and 0.35 at December 31, 2015. At September 30, 2016, the weighted-average term of our outstanding long-term debt was 8.4 years. Our average daily commercial borrowings were $2.1 billion for the nine months ended September 30, 2016 and $2.6 billion for the nine months ended September 30, 2015. We expect to continue to comply with our long-term debt covenants. Refer to Note 7,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for more information on our debt and debt covenants.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nine months ended September 30, 2016, the primary drivers of the increase in our aggregate commodity costs were higher currency-related costs on our commodity purchases and increased costs for packaging and other raw materials, partially offset by lower costs for dairy, nuts, grains and oils, energy, sugar and cocoa.</w:t>
      </w:r>
    </w:p>
    <w:p>
      <w:pPr>
        <w:spacing w:after="0" w:line="2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expect price volatility and a slightly higher aggregate cost environment to continue in 2016. While the costs of our principal raw materials fluctuate, we believe there will continue to be an adequate supply of the raw materials we use and that they will generally remain available from numerous 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16"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the first nine months of 2016 and subsequent debt activity in October 2016, February 9, 2016 refinancing and repayment of $1,750 million of matured U.S. dollar debt, the January 26, 2016 issuance of </w:t>
      </w:r>
      <w:r>
        <w:rPr>
          <w:rFonts w:ascii="Arial" w:cs="Arial" w:eastAsia="Arial" w:hAnsi="Arial"/>
          <w:sz w:val="18"/>
          <w:szCs w:val="18"/>
          <w:i w:val="1"/>
          <w:iCs w:val="1"/>
          <w:color w:val="auto"/>
        </w:rPr>
        <w:t>fr</w:t>
      </w:r>
      <w:r>
        <w:rPr>
          <w:rFonts w:ascii="Arial" w:cs="Arial" w:eastAsia="Arial" w:hAnsi="Arial"/>
          <w:sz w:val="18"/>
          <w:szCs w:val="18"/>
          <w:color w:val="auto"/>
        </w:rPr>
        <w:t xml:space="preserve">.400 million of Swiss franc notes and the January 21, 2016 issuance of €700 million of euro notes. There were no other material changes to our off-balance sheet arrangements and aggregate contractual obligations disclosed in our Annual Report on Form 10-K for the year ended December 31, 2015. We also do not expect a material change in the effect these arrangements and obligations will have on our liquidity.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1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nine months ended September 30, 2016.</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intend to continue to use a portion of our cash for share repurchases. On July 29, 2015, our Finance Committee, with authorization delegated from our Board of Directors, approved an increase of $ 6.0 billion in the share repurchase program, raising the authorization to $13.7 billion of Common Stock repurchases, and extended the program through December 31, 2018. We repurchased $10.0 billion of shares ($1.8 billion in the first nine months of 2016, $3.6 billion in 2015, $1.9 billion in 2014 and $2.7 billion in 2013) through September 30, 2016.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paid dividends of $801 million in the first nine months of 2016 and $736 million in the first nine months of 2015. On July 19, 2016, our Board of Directors approved a 12% increase in the quarterly dividend to $ 0.19 per common share or $0.76 per common share on an annual basis. On July 23, 2015, our Board of Directors approved a 13% increase at that time in the quarterly dividend to $ 0.17 per common share or $0.68 per common share on an annual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 We will make a determination as to whether 2016 distributions are taxable as dividends, a return of basis or both under U.S. federal income tax rules after the 2016 calendar year-end. This determination will be reflected on an IRS Form 1099-DIV issued in early 2017.</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prepare our condensed consolidated financial statements in accordance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2015. Our significant accounting estimates are described in our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Financial Condition and Results of Operations </w:t>
      </w:r>
      <w:r>
        <w:rPr>
          <w:rFonts w:ascii="Arial" w:cs="Arial" w:eastAsia="Arial" w:hAnsi="Arial"/>
          <w:sz w:val="18"/>
          <w:szCs w:val="18"/>
          <w:color w:val="auto"/>
        </w:rPr>
        <w:t>in our Annual Report on Form 10-K for the year ended December 31, 2015.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Guidance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guidance.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“intend,” “plan,” “believe,” “estimate,” “anticipate,” “seek,” “potential,” “outlook” and similar expressions are intended to identify our forward-looking statements, including but not limited to statements about: our future performance, including our future revenue growth, margins and earnings per share; our goal to deliver top-tier financial performance; price volatility and pricing actions; the cost environment and measures to address increased costs; the U.K. vote to exit the E.U. and its effect on demand for our products and our financial results and operations; the costs of, timing of expenditures under and completion of our restructuring program; snack category growth; commodity prices and supply; investments; economic conditions; currency exchange rates, controls and restrictions; our operations in Venezuela and Argentina; pension liabilities related to the JDE coffee business transactions; our JDE ownership interest; the significance of the coffee category to our future results; completion of our biscuit brand divestiture, purchase of a license related to Cadbury-branded biscuits, and sales of a chocolate factory and a confectionery business; completion of the sale of several manufacturing facilities in France and sale or license of several local confectionery brands; costs we could incur related to re-negotiating collective bargaining agreements and executing business continuity plans for the North America business; legal matters; the estimated value of goodwill and intangible assets; impairment of goodwill and intangible assets and our projections of operating results and other factors that may affect our impairment testing; our accounting estimates and judgments; pension expenses, contributions and assumptions; our liquidity, funding sources and uses of funding; our tender offer and MIHN’s note issuance and term loan facility; reinvestment of earnings; our risk management program, including the use of financial instruments and the effectiveness of our hedging activities; capital expenditures and funding; share repurchases; dividends; compliance with financial and long-term debt covenants; taxes; guarantees; and our contractual obligations.</w:t>
      </w:r>
    </w:p>
    <w:p>
      <w:pPr>
        <w:spacing w:after="0" w:line="2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competition; acquisitions and divestitures; the restructuring program and our other 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w:t>
      </w:r>
    </w:p>
    <w:p>
      <w:pPr>
        <w:spacing w:after="0" w:line="227" w:lineRule="exact"/>
        <w:rPr>
          <w:sz w:val="20"/>
          <w:szCs w:val="20"/>
          <w:color w:val="auto"/>
        </w:rPr>
      </w:pPr>
    </w:p>
    <w:p>
      <w:pPr>
        <w:ind w:left="900" w:hanging="325"/>
        <w:spacing w:after="0" w:line="23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(2)</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(3)</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jc w:val="both"/>
        <w:ind w:left="1480" w:right="400" w:hanging="446"/>
        <w:spacing w:after="0" w:line="234" w:lineRule="auto"/>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Our emerging markets include our Latin America and EEMEA regions in their entirety; the Asia Pacific region, excluding Australia, New Zealand and Japan; and the following countries from the Europe region: Poland, Czech Republic, Slovak Republic, Hungary, Bulgaria, Romania, the Baltics and the East Adriatic countries.</w:t>
      </w:r>
    </w:p>
    <w:p>
      <w:pPr>
        <w:spacing w:after="0" w:line="2" w:lineRule="exact"/>
        <w:rPr>
          <w:rFonts w:ascii="Arial" w:cs="Arial" w:eastAsia="Arial" w:hAnsi="Arial"/>
          <w:sz w:val="18"/>
          <w:szCs w:val="18"/>
          <w:color w:val="auto"/>
        </w:rPr>
      </w:pPr>
    </w:p>
    <w:p>
      <w:pPr>
        <w:ind w:left="1480" w:right="40" w:hanging="446"/>
        <w:spacing w:after="0"/>
        <w:tabs>
          <w:tab w:leader="none" w:pos="14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27" w:lineRule="exact"/>
        <w:rPr>
          <w:rFonts w:ascii="Arial" w:cs="Arial" w:eastAsia="Arial" w:hAnsi="Arial"/>
          <w:sz w:val="18"/>
          <w:szCs w:val="18"/>
          <w:color w:val="auto"/>
        </w:rPr>
      </w:pPr>
    </w:p>
    <w:p>
      <w:pPr>
        <w:ind w:left="900" w:right="220" w:hanging="325"/>
        <w:spacing w:after="0" w:line="249"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Spin-Off Costs </w:t>
      </w:r>
      <w:r>
        <w:rPr>
          <w:rFonts w:ascii="Arial" w:cs="Arial" w:eastAsia="Arial" w:hAnsi="Arial"/>
          <w:sz w:val="14"/>
          <w:szCs w:val="14"/>
          <w:color w:val="auto"/>
        </w:rPr>
        <w:t>(4)</w:t>
      </w:r>
      <w:r>
        <w:rPr>
          <w:rFonts w:ascii="Arial" w:cs="Arial" w:eastAsia="Arial" w:hAnsi="Arial"/>
          <w:sz w:val="17"/>
          <w:szCs w:val="17"/>
          <w:color w:val="auto"/>
        </w:rPr>
        <w:t>; the 2012-2014 Restructuring Program; the 2014-2018 Restructuring Program</w:t>
      </w:r>
      <w:r>
        <w:rPr>
          <w:rFonts w:ascii="Arial" w:cs="Arial" w:eastAsia="Arial" w:hAnsi="Arial"/>
          <w:sz w:val="14"/>
          <w:szCs w:val="14"/>
          <w:color w:val="auto"/>
        </w:rPr>
        <w:t>(5)</w:t>
      </w:r>
      <w:r>
        <w:rPr>
          <w:rFonts w:ascii="Arial" w:cs="Arial" w:eastAsia="Arial" w:hAnsi="Arial"/>
          <w:sz w:val="17"/>
          <w:szCs w:val="17"/>
          <w:color w:val="auto"/>
        </w:rPr>
        <w:t>; Venezuela remeasurement and deconsolidation losses and historical operating results; gains or losses (including non-cash impairment charges) on goodwill and intangible assets; divestiture</w:t>
      </w:r>
    </w:p>
    <w:p>
      <w:pPr>
        <w:spacing w:after="0" w:line="1" w:lineRule="exact"/>
        <w:rPr>
          <w:rFonts w:ascii="Arial" w:cs="Arial" w:eastAsia="Arial" w:hAnsi="Arial"/>
          <w:sz w:val="17"/>
          <w:szCs w:val="17"/>
          <w:color w:val="auto"/>
        </w:rPr>
      </w:pPr>
    </w:p>
    <w:p>
      <w:pPr>
        <w:ind w:left="900" w:right="80" w:hanging="1"/>
        <w:spacing w:after="0" w:line="237" w:lineRule="auto"/>
        <w:tabs>
          <w:tab w:leader="none" w:pos="1137" w:val="left"/>
        </w:tabs>
        <w:numPr>
          <w:ilvl w:val="1"/>
          <w:numId w:val="48"/>
        </w:numPr>
        <w:rPr>
          <w:rFonts w:ascii="Arial" w:cs="Arial" w:eastAsia="Arial" w:hAnsi="Arial"/>
          <w:sz w:val="15"/>
          <w:szCs w:val="15"/>
          <w:color w:val="auto"/>
        </w:rPr>
      </w:pPr>
      <w:r>
        <w:rPr>
          <w:rFonts w:ascii="Arial" w:cs="Arial" w:eastAsia="Arial" w:hAnsi="Arial"/>
          <w:sz w:val="18"/>
          <w:szCs w:val="18"/>
          <w:color w:val="auto"/>
        </w:rPr>
        <w:t xml:space="preserve">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(1)</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and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232" w:lineRule="exact"/>
        <w:rPr>
          <w:rFonts w:ascii="Arial" w:cs="Arial" w:eastAsia="Arial" w:hAnsi="Arial"/>
          <w:sz w:val="15"/>
          <w:szCs w:val="15"/>
          <w:color w:val="auto"/>
        </w:rPr>
      </w:pPr>
    </w:p>
    <w:p>
      <w:pPr>
        <w:ind w:left="900" w:right="80" w:hanging="325"/>
        <w:spacing w:after="0" w:line="236"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Spin-Off Costs </w:t>
      </w:r>
      <w:r>
        <w:rPr>
          <w:rFonts w:ascii="Arial" w:cs="Arial" w:eastAsia="Arial" w:hAnsi="Arial"/>
          <w:sz w:val="15"/>
          <w:szCs w:val="15"/>
          <w:color w:val="auto"/>
        </w:rPr>
        <w:t>(4)</w:t>
      </w:r>
      <w:r>
        <w:rPr>
          <w:rFonts w:ascii="Arial" w:cs="Arial" w:eastAsia="Arial" w:hAnsi="Arial"/>
          <w:sz w:val="18"/>
          <w:szCs w:val="18"/>
          <w:color w:val="auto"/>
        </w:rPr>
        <w:t>; the 2012-2014 Restructuring Program; the 2014-2018 Restructuring Program</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(1)</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(2)</w:t>
      </w:r>
      <w:r>
        <w:rPr>
          <w:rFonts w:ascii="Arial" w:cs="Arial" w:eastAsia="Arial" w:hAnsi="Arial"/>
          <w:sz w:val="18"/>
          <w:szCs w:val="18"/>
          <w:color w:val="auto"/>
        </w:rPr>
        <w:t xml:space="preserve"> gain, transaction hedging gains or losses and net incremental costs; gain on the equity method investment exchange; net earnings from divestitures </w:t>
      </w:r>
      <w:r>
        <w:rPr>
          <w:rFonts w:ascii="Arial" w:cs="Arial" w:eastAsia="Arial" w:hAnsi="Arial"/>
          <w:sz w:val="15"/>
          <w:szCs w:val="15"/>
          <w:color w:val="auto"/>
        </w:rPr>
        <w:t>(1)</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and gains or losses on interest rate swaps no longer designated as accounting cash flow hedges due to changed financing and hedging plans. Similarly, within Adjusted EPS, our equity method investment net earnings exclude our proportionate share of our investees’ unusual or infrequent items, such as acquisition and divestiture-related costs and restructuring program costs. We also evaluate growth in our Adjusted EPS on a constant currency basis </w:t>
      </w:r>
      <w:r>
        <w:rPr>
          <w:rFonts w:ascii="Arial" w:cs="Arial" w:eastAsia="Arial" w:hAnsi="Arial"/>
          <w:sz w:val="15"/>
          <w:szCs w:val="15"/>
          <w:color w:val="auto"/>
        </w:rPr>
        <w:t>(3)</w:t>
      </w:r>
      <w:r>
        <w:rPr>
          <w:rFonts w:ascii="Arial" w:cs="Arial" w:eastAsia="Arial" w:hAnsi="Arial"/>
          <w:sz w:val="18"/>
          <w:szCs w:val="18"/>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140" w:hanging="335"/>
        <w:spacing w:after="0"/>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w:t>
      </w:r>
    </w:p>
    <w:p>
      <w:pPr>
        <w:spacing w:after="0" w:line="1" w:lineRule="exact"/>
        <w:rPr>
          <w:rFonts w:ascii="Arial" w:cs="Arial" w:eastAsia="Arial" w:hAnsi="Arial"/>
          <w:sz w:val="14"/>
          <w:szCs w:val="14"/>
          <w:color w:val="auto"/>
        </w:rPr>
      </w:pPr>
    </w:p>
    <w:p>
      <w:pPr>
        <w:ind w:left="114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In connection with the JDE coffee business transactions that closed on July 2, 2015, because we exchanged our coffee interests for similarly-sized coffee interests in JDE at the time of the transaction, we have deconsolidated and not included our historical global coffee business results within divestitures in our non-GAAP financial measures and in the related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 We continue to have an ongoing interest in the coffee business. Beginning in the third quarter of 2015, we have included the after-tax earnings of JDE, Keurig and of our historical coffee business results within continuing results of operations. For Adjusted EPS, we have included these earnings in equity method investment earnings and have deconsolidated our historical coffee business results from Organic Net Revenue and Adjusted Operating Income to facilitate comparisons of past and future coffee operating results.</w:t>
      </w:r>
    </w:p>
    <w:p>
      <w:pPr>
        <w:spacing w:after="0" w:line="164" w:lineRule="exact"/>
        <w:rPr>
          <w:rFonts w:ascii="Arial" w:cs="Arial" w:eastAsia="Arial" w:hAnsi="Arial"/>
          <w:sz w:val="14"/>
          <w:szCs w:val="14"/>
          <w:color w:val="auto"/>
        </w:rPr>
      </w:pPr>
    </w:p>
    <w:p>
      <w:pPr>
        <w:jc w:val="both"/>
        <w:ind w:left="1140" w:right="18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 period local currency operating results by the currency exchange rates used to translate the financial statements in the comparable prior-year period to determine what the current 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Spin-Off of Kraft Foods Group</w:t>
      </w:r>
      <w:r>
        <w:rPr>
          <w:rFonts w:ascii="Arial" w:cs="Arial" w:eastAsia="Arial" w:hAnsi="Arial"/>
          <w:sz w:val="14"/>
          <w:szCs w:val="14"/>
          <w:color w:val="auto"/>
        </w:rPr>
        <w:t>, to the consolidated financial statements in our Form 10-K for the year ended December 31, 2015 for more information on Spin-Off Costs incurred in connection with the October 1, 2012 spin-off of the Kraft Foods Group grocery business.</w:t>
      </w:r>
    </w:p>
    <w:p>
      <w:pPr>
        <w:ind w:left="1140" w:right="4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w:t>
      </w:r>
    </w:p>
    <w:p>
      <w:pPr>
        <w:ind w:left="1140" w:right="100" w:hanging="335"/>
        <w:spacing w:after="0" w:line="241"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On a prospective basis, we will discontinue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164" w:lineRule="exact"/>
        <w:rPr>
          <w:rFonts w:ascii="Arial" w:cs="Arial" w:eastAsia="Arial" w:hAnsi="Arial"/>
          <w:sz w:val="14"/>
          <w:szCs w:val="14"/>
          <w:color w:val="auto"/>
        </w:rPr>
      </w:pPr>
    </w:p>
    <w:p>
      <w:pPr>
        <w:ind w:left="1140" w:right="40" w:hanging="335"/>
        <w:spacing w:after="0" w:line="244" w:lineRule="auto"/>
        <w:tabs>
          <w:tab w:leader="none" w:pos="11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See Note 1, </w:t>
      </w:r>
      <w:r>
        <w:rPr>
          <w:rFonts w:ascii="Arial" w:cs="Arial" w:eastAsia="Arial" w:hAnsi="Arial"/>
          <w:sz w:val="14"/>
          <w:szCs w:val="14"/>
          <w:i w:val="1"/>
          <w:iCs w:val="1"/>
          <w:color w:val="auto"/>
        </w:rPr>
        <w:t>Basis of Presentation – Principles of Consolidation</w:t>
      </w:r>
      <w:r>
        <w:rPr>
          <w:rFonts w:ascii="Arial" w:cs="Arial" w:eastAsia="Arial" w:hAnsi="Arial"/>
          <w:sz w:val="14"/>
          <w:szCs w:val="14"/>
          <w:color w:val="auto"/>
        </w:rPr>
        <w:t>, for more information. In periods prior to July 2, 2015, we have reclassified the equity method earnings from our Adjusted Operating Income to after-tax equity method investment earnings within Adjusted EPS to be consistent with the deconsolidation of our coffee business results on July 2, 2015 and in order to evaluate our operating results on a consistent basis.</w:t>
      </w:r>
    </w:p>
    <w:p>
      <w:pPr>
        <w:spacing w:after="0" w:line="20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the adjustment for deconsolidating our historical coffee business, our historical Venezuelan operations, an accounting calendar change and acquisitions.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8"/>
          </w:tcPr>
          <w:p>
            <w:pPr>
              <w:jc w:val="center"/>
              <w:ind w:left="516"/>
              <w:spacing w:after="0"/>
              <w:rPr>
                <w:sz w:val="20"/>
                <w:szCs w:val="20"/>
                <w:color w:val="auto"/>
              </w:rPr>
            </w:pPr>
            <w:r>
              <w:rPr>
                <w:rFonts w:ascii="Arial" w:cs="Arial" w:eastAsia="Arial" w:hAnsi="Arial"/>
                <w:sz w:val="14"/>
                <w:szCs w:val="14"/>
                <w:b w:val="1"/>
                <w:bCs w:val="1"/>
                <w:color w:val="auto"/>
              </w:rPr>
              <w:t>For the Three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Three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Emerging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Developed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Emerging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Developed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2,475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4,114</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6,589</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2,427</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4,088</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2,342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4,054</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6,396</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2,742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4,107</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jc w:val="center"/>
              <w:ind w:left="516"/>
              <w:spacing w:after="0"/>
              <w:rPr>
                <w:sz w:val="20"/>
                <w:szCs w:val="20"/>
                <w:color w:val="auto"/>
              </w:rPr>
            </w:pPr>
            <w:r>
              <w:rPr>
                <w:rFonts w:ascii="Arial" w:cs="Arial" w:eastAsia="Arial" w:hAnsi="Arial"/>
                <w:sz w:val="14"/>
                <w:szCs w:val="14"/>
                <w:b w:val="1"/>
                <w:bCs w:val="1"/>
                <w:color w:val="auto"/>
              </w:rPr>
              <w:t>For the Three Months Ended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Three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line="179" w:lineRule="exact"/>
              <w:rPr>
                <w:sz w:val="20"/>
                <w:szCs w:val="20"/>
                <w:color w:val="auto"/>
              </w:rPr>
            </w:pPr>
            <w:r>
              <w:rPr>
                <w:rFonts w:ascii="Arial" w:cs="Arial" w:eastAsia="Arial" w:hAnsi="Arial"/>
                <w:sz w:val="12"/>
                <w:szCs w:val="12"/>
                <w:b w:val="1"/>
                <w:bCs w:val="1"/>
                <w:color w:val="auto"/>
              </w:rPr>
              <w:t xml:space="preserve">September 30, 2015 </w:t>
            </w:r>
            <w:r>
              <w:rPr>
                <w:rFonts w:ascii="Arial" w:cs="Arial" w:eastAsia="Arial" w:hAnsi="Arial"/>
                <w:sz w:val="20"/>
                <w:szCs w:val="20"/>
                <w:b w:val="1"/>
                <w:bCs w:val="1"/>
                <w:color w:val="auto"/>
                <w:vertAlign w:val="superscript"/>
              </w:rPr>
              <w:t>(3)</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Non-Power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Power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Non-Power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Brands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Brands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4,520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2,069</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6,589</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4,409</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2,106</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4,395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2,001</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6,396</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4,635</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2,214</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jc w:val="center"/>
              <w:ind w:left="516"/>
              <w:spacing w:after="0"/>
              <w:rPr>
                <w:sz w:val="20"/>
                <w:szCs w:val="20"/>
                <w:color w:val="auto"/>
              </w:rPr>
            </w:pPr>
            <w:r>
              <w:rPr>
                <w:rFonts w:ascii="Arial" w:cs="Arial" w:eastAsia="Arial" w:hAnsi="Arial"/>
                <w:sz w:val="14"/>
                <w:szCs w:val="14"/>
                <w:b w:val="1"/>
                <w:bCs w:val="1"/>
                <w:color w:val="auto"/>
              </w:rPr>
              <w:t>For the Nine Months Ended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Nine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Emerging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Developed</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Emerging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Developed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Markets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Markets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Markets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7,713</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12,360</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20,073</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7,478</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12,276</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19,754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(204)</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1,185</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6,992</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12,161</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19,153</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8,754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13,518</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8"/>
          </w:tcPr>
          <w:p>
            <w:pPr>
              <w:jc w:val="center"/>
              <w:ind w:left="516"/>
              <w:spacing w:after="0"/>
              <w:rPr>
                <w:sz w:val="20"/>
                <w:szCs w:val="20"/>
                <w:color w:val="auto"/>
              </w:rPr>
            </w:pPr>
            <w:r>
              <w:rPr>
                <w:rFonts w:ascii="Arial" w:cs="Arial" w:eastAsia="Arial" w:hAnsi="Arial"/>
                <w:sz w:val="14"/>
                <w:szCs w:val="14"/>
                <w:b w:val="1"/>
                <w:bCs w:val="1"/>
                <w:color w:val="auto"/>
              </w:rPr>
              <w:t>For the Nine Months Ended</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20" w:type="dxa"/>
            <w:vAlign w:val="bottom"/>
            <w:gridSpan w:val="8"/>
          </w:tcPr>
          <w:p>
            <w:pPr>
              <w:jc w:val="center"/>
              <w:ind w:left="536"/>
              <w:spacing w:after="0"/>
              <w:rPr>
                <w:sz w:val="20"/>
                <w:szCs w:val="20"/>
                <w:color w:val="auto"/>
              </w:rPr>
            </w:pPr>
            <w:r>
              <w:rPr>
                <w:rFonts w:ascii="Arial" w:cs="Arial" w:eastAsia="Arial" w:hAnsi="Arial"/>
                <w:sz w:val="14"/>
                <w:szCs w:val="14"/>
                <w:b w:val="1"/>
                <w:bCs w:val="1"/>
                <w:color w:val="auto"/>
              </w:rPr>
              <w:t>For the Nine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September 30, 2016</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line="179" w:lineRule="exact"/>
              <w:rPr>
                <w:sz w:val="20"/>
                <w:szCs w:val="20"/>
                <w:color w:val="auto"/>
              </w:rPr>
            </w:pPr>
            <w:r>
              <w:rPr>
                <w:rFonts w:ascii="Arial" w:cs="Arial" w:eastAsia="Arial" w:hAnsi="Arial"/>
                <w:sz w:val="12"/>
                <w:szCs w:val="12"/>
                <w:b w:val="1"/>
                <w:bCs w:val="1"/>
                <w:color w:val="auto"/>
              </w:rPr>
              <w:t xml:space="preserve">September 30, 2015 </w:t>
            </w:r>
            <w:r>
              <w:rPr>
                <w:rFonts w:ascii="Arial" w:cs="Arial" w:eastAsia="Arial" w:hAnsi="Arial"/>
                <w:sz w:val="20"/>
                <w:szCs w:val="20"/>
                <w:b w:val="1"/>
                <w:bCs w:val="1"/>
                <w:color w:val="auto"/>
                <w:vertAlign w:val="superscript"/>
              </w:rPr>
              <w:t>(3)</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Power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Non-Power</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99"/>
              </w:rPr>
              <w:t>Power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Non-Power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Brands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Brands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Brands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Brands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3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13,974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6,099</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20,073</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13,552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6,202</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19,754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(308)</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Historical coffee business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Historical Venezuelan operations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accounting calendar change</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60"/>
              <w:spacing w:after="0" w:line="202" w:lineRule="exact"/>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13,286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5,867</w:t>
            </w: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19,153</w:t>
            </w: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15,351</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6,921</w:t>
            </w:r>
          </w:p>
        </w:tc>
        <w:tc>
          <w:tcPr>
            <w:tcW w:w="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96"/>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right="180" w:hanging="332"/>
        <w:spacing w:after="0" w:line="252"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 Translation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Highly Inflationary Accounting: Venezuela, </w:t>
      </w:r>
      <w:r>
        <w:rPr>
          <w:rFonts w:ascii="Arial" w:cs="Arial" w:eastAsia="Arial" w:hAnsi="Arial"/>
          <w:sz w:val="14"/>
          <w:szCs w:val="14"/>
          <w:color w:val="auto"/>
        </w:rPr>
        <w:t>for more information.</w:t>
      </w:r>
    </w:p>
    <w:p>
      <w:pPr>
        <w:ind w:left="340" w:right="240" w:hanging="332"/>
        <w:spacing w:after="0" w:line="241"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jc w:val="both"/>
        <w:ind w:left="340" w:right="200" w:hanging="332"/>
        <w:spacing w:after="0" w:line="250"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2016, we made limited changes to our list of regional Power Brands and as such, we reclassified 2015 Power Brand net revenues on a basis consistent with the current list of Power Brands.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2012-2014 Restructuring Program costs, 2014-2018 Restructuring Program costs, Venezuela historical operating results and remeasurement loss, operating income from our historical coffee business, the JDE coffee business transactions gain and net incremental costs, equity method investment earnings reclassified to after-tax earnings in Q3 2015 in connection with the coffee business transactions, impairment charges related to intangible assets, gain on sale of an intangible asset, operating results of the AGF divestiture, pre-tax gain on the AGF divestiture, divestiture-related costs incurred for the planned sale of a confectionery business in France, acquisition integration costs, acquisition-related costs and mark-to-market impacts from commodity and forecasted currency transaction derivative contracts. We also present “Adjusted Operating Income margin,” which is subject to the same adjustments as Adjusted Operating Income. We also evaluate Adjusted Operating Income on a constant currency basis. We believe these measures provide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(in millions)</w:t>
            </w:r>
          </w:p>
        </w:tc>
        <w:tc>
          <w:tcPr>
            <w:tcW w:w="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1,042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891</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151</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1,011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891</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120</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(301)</w:t>
            </w:r>
          </w:p>
        </w:tc>
        <w:tc>
          <w:tcPr>
            <w:tcW w:w="12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(221)</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(2)</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(78)</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Costs associated with JDE coffee business transactions </w:t>
            </w:r>
            <w:r>
              <w:rPr>
                <w:rFonts w:ascii="Arial" w:cs="Arial" w:eastAsia="Arial" w:hAnsi="Arial"/>
                <w:sz w:val="15"/>
                <w:szCs w:val="15"/>
                <w:color w:val="auto"/>
              </w:rPr>
              <w:t>(3)</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54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(3)</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7,122</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(7,122)</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(4)</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3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(5)</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(6)</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13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 rounding</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w:t>
            </w: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7,802</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(in millions)</w:t>
            </w:r>
          </w:p>
        </w:tc>
        <w:tc>
          <w:tcPr>
            <w:tcW w:w="4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5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3,114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2,566</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548</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(132)</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2,982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2,566</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416</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2012-2014 Restructuring Program costs </w:t>
            </w:r>
            <w:r>
              <w:rPr>
                <w:rFonts w:ascii="Arial" w:cs="Arial" w:eastAsia="Arial" w:hAnsi="Arial"/>
                <w:sz w:val="15"/>
                <w:szCs w:val="15"/>
                <w:color w:val="auto"/>
              </w:rPr>
              <w:t>(1)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(627)</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Venezuelan subsidiaries </w:t>
            </w:r>
            <w:r>
              <w:rPr>
                <w:rFonts w:ascii="Arial" w:cs="Arial" w:eastAsia="Arial" w:hAnsi="Arial"/>
                <w:sz w:val="15"/>
                <w:szCs w:val="15"/>
                <w:color w:val="auto"/>
              </w:rPr>
              <w:t>(2)</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Remeasurement of net monetary assets in Venezuela </w:t>
            </w:r>
            <w:r>
              <w:rPr>
                <w:rFonts w:ascii="Arial" w:cs="Arial" w:eastAsia="Arial" w:hAnsi="Arial"/>
                <w:sz w:val="15"/>
                <w:szCs w:val="15"/>
                <w:color w:val="auto"/>
              </w:rPr>
              <w:t>(2)</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historical coffee business </w:t>
            </w:r>
            <w:r>
              <w:rPr>
                <w:rFonts w:ascii="Arial" w:cs="Arial" w:eastAsia="Arial" w:hAnsi="Arial"/>
                <w:sz w:val="15"/>
                <w:szCs w:val="15"/>
                <w:color w:val="auto"/>
              </w:rPr>
              <w:t>(7)</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(342)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Costs associated with JDE coffee business transactions </w:t>
            </w:r>
            <w:r>
              <w:rPr>
                <w:rFonts w:ascii="Arial" w:cs="Arial" w:eastAsia="Arial" w:hAnsi="Arial"/>
                <w:sz w:val="15"/>
                <w:szCs w:val="15"/>
                <w:color w:val="auto"/>
              </w:rPr>
              <w:t>(3)</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(3)</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7,122</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(7,122)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Reclassification of equity method earnings </w:t>
            </w:r>
            <w:r>
              <w:rPr>
                <w:rFonts w:ascii="Arial" w:cs="Arial" w:eastAsia="Arial" w:hAnsi="Arial"/>
                <w:sz w:val="15"/>
                <w:szCs w:val="15"/>
                <w:color w:val="auto"/>
              </w:rPr>
              <w:t>(8)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(4)</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(5)</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15"/>
                <w:szCs w:val="15"/>
                <w:color w:val="auto"/>
              </w:rPr>
              <w:t>(9)</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divestiture </w:t>
            </w:r>
            <w:r>
              <w:rPr>
                <w:rFonts w:ascii="Arial" w:cs="Arial" w:eastAsia="Arial" w:hAnsi="Arial"/>
                <w:sz w:val="15"/>
                <w:szCs w:val="15"/>
                <w:color w:val="auto"/>
              </w:rPr>
              <w:t>(9)</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(10)</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(84)</w:t>
            </w:r>
          </w:p>
        </w:tc>
        <w:tc>
          <w:tcPr>
            <w:tcW w:w="100" w:type="dxa"/>
            <w:vAlign w:val="bottom"/>
          </w:tcPr>
          <w:p>
            <w:pPr>
              <w:spacing w:after="0"/>
              <w:rPr>
                <w:sz w:val="17"/>
                <w:szCs w:val="17"/>
                <w:color w:val="auto"/>
              </w:rPr>
            </w:pPr>
          </w:p>
        </w:tc>
        <w:tc>
          <w:tcPr>
            <w:tcW w:w="13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(5)</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15"/>
                <w:szCs w:val="15"/>
                <w:color w:val="auto"/>
              </w:rPr>
              <w:t>(5)</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Mark-to-market gains / (losses) from derivatives </w:t>
            </w:r>
            <w:r>
              <w:rPr>
                <w:rFonts w:ascii="Arial" w:cs="Arial" w:eastAsia="Arial" w:hAnsi="Arial"/>
                <w:sz w:val="15"/>
                <w:szCs w:val="15"/>
                <w:color w:val="auto"/>
              </w:rPr>
              <w:t>(6)</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tcPr>
          <w:p>
            <w:pPr>
              <w:ind w:left="160"/>
              <w:spacing w:after="0" w:line="202" w:lineRule="exact"/>
              <w:rPr>
                <w:sz w:val="20"/>
                <w:szCs w:val="20"/>
                <w:color w:val="auto"/>
              </w:rPr>
            </w:pPr>
            <w:r>
              <w:rPr>
                <w:rFonts w:ascii="Arial" w:cs="Arial" w:eastAsia="Arial" w:hAnsi="Arial"/>
                <w:sz w:val="18"/>
                <w:szCs w:val="18"/>
                <w:color w:val="auto"/>
              </w:rPr>
              <w:t>Other / rounding</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1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2,062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9,454</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(7,392)</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140" w:right="460" w:hanging="335"/>
        <w:spacing w:after="0" w:line="252"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 on our 2014-2018 Restructuring Program and Note 6 to the consolidated financial statement in our Form 10-K for the year ended December 31, 2015 for more information on our 2012-2014 Restructuring Program.</w:t>
      </w:r>
    </w:p>
    <w:p>
      <w:pPr>
        <w:ind w:left="1140" w:right="12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Includes the historical results of our Venezuelan subsidiaries prior to the December 31, 2015 deconsolidation. Refer to Note 1, </w:t>
      </w:r>
      <w:r>
        <w:rPr>
          <w:rFonts w:ascii="Arial" w:cs="Arial" w:eastAsia="Arial" w:hAnsi="Arial"/>
          <w:sz w:val="14"/>
          <w:szCs w:val="14"/>
          <w:i w:val="1"/>
          <w:iCs w:val="1"/>
          <w:color w:val="auto"/>
        </w:rPr>
        <w:t>Basis of Presentation – Currency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Translation and Highly Inflationary Accounting: Venezuela, </w:t>
      </w:r>
      <w:r>
        <w:rPr>
          <w:rFonts w:ascii="Arial" w:cs="Arial" w:eastAsia="Arial" w:hAnsi="Arial"/>
          <w:sz w:val="14"/>
          <w:szCs w:val="14"/>
          <w:color w:val="auto"/>
        </w:rPr>
        <w:t>for more information on the deconsolidation and remeasurement loss in 2015.</w:t>
      </w:r>
    </w:p>
    <w:p>
      <w:pPr>
        <w:jc w:val="both"/>
        <w:ind w:left="1140" w:right="6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 Net gains of $436 million in the first nine months of 2015 on the currency hedges related to the JDE coffee business transactions were recorded in interest and other expense, net and are included in the (income) / costs associated with the JDE coffee business transactions of $(0.03) in the table above.</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2016 for a trademark in North America, a trademark in EEMEA and two trademarks in Europe related to the planned sale of a confectionery business in France.</w:t>
      </w:r>
    </w:p>
    <w:p>
      <w:pPr>
        <w:ind w:left="1140" w:right="20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 2016 intangible asset sale in Finland, 2015 acquisitions of a biscuit operation in Vietnam and Enjoy Life Foods and other property sales in 2016.</w:t>
      </w:r>
    </w:p>
    <w:p>
      <w:pPr>
        <w:ind w:left="1140" w:right="16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and Non-GAAP Financial Measures appearing later in this section for more information on these unrealized gains and losses on commodity and forecasted currency transaction derivatives.</w:t>
      </w:r>
    </w:p>
    <w:p>
      <w:pPr>
        <w:ind w:left="1140" w:right="18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Includes our historical global coffee business prior to the July 2, 2015 JDE coffee business transactions.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and our non-GAAP definitions appearing earlier in this section for more information.</w:t>
      </w:r>
    </w:p>
    <w:p>
      <w:pPr>
        <w:ind w:left="1140" w:right="10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Historically, we have recorded income from equity method investments within our operating income as these investments operated as extensions of our base business. Beginning in the third quarter of 2015, to align with the accounting for JDE earnings, we began to record the earnings from our equity method investments in equity method investment earnings outside of operating income. In periods prior to July 2, 2015, we have reclassified the equity method earnings from Adjusted Operating Income to evaluate our operating results on a consistent basis.</w:t>
      </w:r>
    </w:p>
    <w:p>
      <w:pPr>
        <w:spacing w:after="0" w:line="1"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hanging="335"/>
        <w:spacing w:after="0"/>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Applying the definition of “Adjusted EPS” (1), the adjustments made to “diluted EPS attributable to Mondelēz International” (the most comparable U.S. GAAP financial measure) were to exclude 2012-2014 Restructuring Program costs, 2014-2018 Restructuring Program costs, Venezuela historical operating results and remeasurement loss, the JDE coffee business transactions hedging gains and incremental costs, gain on the equity method investment exchange, acquisition integration costs, acquisition-related costs, impairment charges related to intangible assets, gain on sale of an intangible asset, net earnings from the AGF divestiture, after-tax loss on the AGF divestiture, divestiture-related costs incurred for the planned sale of a confectionery business in France, a loss on debt extinguishment and related expenses, losses on interest rate swaps no longer designated as accounting cash flow hedges due to changed financing and hedging plans, mark-to-market impacts from commodity and forecasted currency transaction derivative contracts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0.54</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0.38</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0.16</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0.52</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0.38</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0.14</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(0.14)</w:t>
            </w:r>
          </w:p>
        </w:tc>
        <w:tc>
          <w:tcPr>
            <w:tcW w:w="32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(0.11)</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earnings from Venezuelan subsidiaries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ind w:left="160"/>
              <w:spacing w:after="0" w:line="199" w:lineRule="exact"/>
              <w:rPr>
                <w:sz w:val="20"/>
                <w:szCs w:val="20"/>
                <w:color w:val="auto"/>
              </w:rPr>
            </w:pPr>
            <w:r>
              <w:rPr>
                <w:rFonts w:ascii="Arial" w:cs="Arial" w:eastAsia="Arial" w:hAnsi="Arial"/>
                <w:sz w:val="18"/>
                <w:szCs w:val="18"/>
                <w:color w:val="auto"/>
              </w:rPr>
              <w:t>Income / (costs) associated with the JDE coffee business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 xml:space="preserve">transactions </w:t>
            </w:r>
            <w:r>
              <w:rPr>
                <w:rFonts w:ascii="Arial" w:cs="Arial" w:eastAsia="Arial" w:hAnsi="Arial"/>
                <w:sz w:val="15"/>
                <w:szCs w:val="15"/>
                <w:color w:val="auto"/>
              </w:rPr>
              <w:t>(2)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0.04</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(2)</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(4.25)</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60"/>
              <w:spacing w:after="0" w:line="202" w:lineRule="exact"/>
              <w:rPr>
                <w:sz w:val="20"/>
                <w:szCs w:val="20"/>
                <w:color w:val="auto"/>
              </w:rPr>
            </w:pPr>
            <w:r>
              <w:rPr>
                <w:rFonts w:ascii="Arial" w:cs="Arial" w:eastAsia="Arial" w:hAnsi="Arial"/>
                <w:sz w:val="18"/>
                <w:szCs w:val="18"/>
                <w:color w:val="auto"/>
              </w:rPr>
              <w:t>Mark-to-market gains / (losses) from derivatives</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 other adjustments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480" w:type="dxa"/>
            <w:vAlign w:val="bottom"/>
            <w:shd w:val="clear" w:color="auto" w:fill="CCEEFF"/>
          </w:tcPr>
          <w:p>
            <w:pPr>
              <w:ind w:left="340"/>
              <w:spacing w:after="0" w:line="166" w:lineRule="exact"/>
              <w:rPr>
                <w:sz w:val="20"/>
                <w:szCs w:val="20"/>
                <w:color w:val="auto"/>
              </w:rPr>
            </w:pPr>
            <w:r>
              <w:rPr>
                <w:rFonts w:ascii="Arial" w:cs="Arial" w:eastAsia="Arial" w:hAnsi="Arial"/>
                <w:sz w:val="15"/>
                <w:szCs w:val="15"/>
                <w:color w:val="auto"/>
              </w:rPr>
              <w:t>(3)</w:t>
            </w: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4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40" w:type="dxa"/>
            <w:vAlign w:val="bottom"/>
            <w:vMerge w:val="restart"/>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Nine Months Ended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20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1.53</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0.33</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(0.06)</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(0.06)</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200" w:type="dxa"/>
            <w:vAlign w:val="bottom"/>
            <w:gridSpan w:val="2"/>
            <w:shd w:val="clear" w:color="auto" w:fill="CCEEFF"/>
          </w:tcPr>
          <w:p>
            <w:pPr>
              <w:jc w:val="right"/>
              <w:ind w:right="25"/>
              <w:spacing w:after="0" w:line="202" w:lineRule="exact"/>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1.47</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1.20</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0.27</w:t>
            </w:r>
          </w:p>
        </w:tc>
        <w:tc>
          <w:tcPr>
            <w:tcW w:w="4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2012-2014 Restructuring Program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2014-2018 Restructuring Program costs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(0.36)</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(0.29)</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Net earnings from Venezuelan subsidiaries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0.08</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(0.08)</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Remeasurement of net monetary assets in Venezuela</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20" w:type="dxa"/>
            <w:vAlign w:val="bottom"/>
          </w:tcPr>
          <w:p>
            <w:pPr>
              <w:ind w:left="160"/>
              <w:spacing w:after="0" w:line="199" w:lineRule="exact"/>
              <w:rPr>
                <w:sz w:val="20"/>
                <w:szCs w:val="20"/>
                <w:color w:val="auto"/>
              </w:rPr>
            </w:pPr>
            <w:r>
              <w:rPr>
                <w:rFonts w:ascii="Arial" w:cs="Arial" w:eastAsia="Arial" w:hAnsi="Arial"/>
                <w:sz w:val="18"/>
                <w:szCs w:val="18"/>
                <w:color w:val="auto"/>
              </w:rPr>
              <w:t>Income / (costs) associated with the JDE coffee business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 xml:space="preserve">transactions </w:t>
            </w: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the JDE coffee business transactions </w:t>
            </w:r>
            <w:r>
              <w:rPr>
                <w:rFonts w:ascii="Arial" w:cs="Arial" w:eastAsia="Arial" w:hAnsi="Arial"/>
                <w:sz w:val="15"/>
                <w:szCs w:val="15"/>
                <w:color w:val="auto"/>
              </w:rPr>
              <w:t>(2)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(4.21)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0.03</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Acquisition integration costs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Acquisition-related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Intangible asset impairment charges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Gain on sale of intangible asset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15"/>
                <w:szCs w:val="15"/>
                <w:color w:val="auto"/>
              </w:rPr>
              <w:t>(5)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ind w:left="160"/>
              <w:spacing w:after="0" w:line="201" w:lineRule="exact"/>
              <w:rPr>
                <w:sz w:val="20"/>
                <w:szCs w:val="20"/>
                <w:color w:val="auto"/>
              </w:rPr>
            </w:pPr>
            <w:r>
              <w:rPr>
                <w:rFonts w:ascii="Arial" w:cs="Arial" w:eastAsia="Arial" w:hAnsi="Arial"/>
                <w:sz w:val="18"/>
                <w:szCs w:val="18"/>
                <w:color w:val="auto"/>
              </w:rPr>
              <w:t>Loss on debt extinguishment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340"/>
              <w:spacing w:after="0" w:line="203" w:lineRule="exact"/>
              <w:rPr>
                <w:sz w:val="20"/>
                <w:szCs w:val="20"/>
                <w:color w:val="auto"/>
              </w:rPr>
            </w:pPr>
            <w:r>
              <w:rPr>
                <w:rFonts w:ascii="Arial" w:cs="Arial" w:eastAsia="Arial" w:hAnsi="Arial"/>
                <w:sz w:val="18"/>
                <w:szCs w:val="18"/>
                <w:color w:val="auto"/>
              </w:rPr>
              <w:t>related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(0.28)</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0.28</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Loss related to interest rate swaps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60"/>
              <w:spacing w:after="0" w:line="202" w:lineRule="exact"/>
              <w:rPr>
                <w:sz w:val="20"/>
                <w:szCs w:val="20"/>
                <w:color w:val="auto"/>
              </w:rPr>
            </w:pPr>
            <w:r>
              <w:rPr>
                <w:rFonts w:ascii="Arial" w:cs="Arial" w:eastAsia="Arial" w:hAnsi="Arial"/>
                <w:sz w:val="18"/>
                <w:szCs w:val="18"/>
                <w:color w:val="auto"/>
              </w:rPr>
              <w:t>Mark-to-market gains / (losses) from derivatives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320" w:type="dxa"/>
            <w:vAlign w:val="bottom"/>
          </w:tcPr>
          <w:p>
            <w:pPr>
              <w:spacing w:after="0"/>
              <w:rPr>
                <w:sz w:val="17"/>
                <w:szCs w:val="17"/>
                <w:color w:val="auto"/>
              </w:rPr>
            </w:pPr>
          </w:p>
        </w:tc>
        <w:tc>
          <w:tcPr>
            <w:tcW w:w="11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280" w:type="dxa"/>
            <w:vAlign w:val="bottom"/>
          </w:tcPr>
          <w:p>
            <w:pPr>
              <w:spacing w:after="0"/>
              <w:rPr>
                <w:sz w:val="17"/>
                <w:szCs w:val="17"/>
                <w:color w:val="auto"/>
              </w:rPr>
            </w:pPr>
          </w:p>
        </w:tc>
        <w:tc>
          <w:tcPr>
            <w:tcW w:w="120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 other adjustments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20" w:type="dxa"/>
            <w:vAlign w:val="bottom"/>
            <w:shd w:val="clear" w:color="auto" w:fill="CCEEFF"/>
          </w:tcPr>
          <w:p>
            <w:pPr>
              <w:ind w:left="340"/>
              <w:spacing w:after="0" w:line="166" w:lineRule="exact"/>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0.99</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w:t>
            </w:r>
          </w:p>
        </w:tc>
        <w:tc>
          <w:tcPr>
            <w:tcW w:w="4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80" w:hanging="335"/>
        <w:spacing w:after="0" w:line="241" w:lineRule="auto"/>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tax impact of each of the pretax items excluded from our GAAP results was computed based on the facts and tax assumptions associated with each item and such impacts have also been excluded from Adjusted EPS.</w:t>
      </w:r>
    </w:p>
    <w:p>
      <w:pPr>
        <w:ind w:left="1460" w:hanging="318"/>
        <w:spacing w:after="0"/>
        <w:tabs>
          <w:tab w:leader="none" w:pos="14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For the three months ended September 30, 2016, taxes for the 2014-2018 Restructuring Program costs were $82 million.</w:t>
      </w:r>
    </w:p>
    <w:p>
      <w:pPr>
        <w:spacing w:after="0" w:line="1" w:lineRule="exact"/>
        <w:rPr>
          <w:rFonts w:ascii="Arial" w:cs="Arial" w:eastAsia="Arial" w:hAnsi="Arial"/>
          <w:sz w:val="14"/>
          <w:szCs w:val="14"/>
          <w:color w:val="auto"/>
        </w:rPr>
      </w:pPr>
    </w:p>
    <w:p>
      <w:pPr>
        <w:ind w:left="1460" w:right="20" w:hanging="318"/>
        <w:spacing w:after="0" w:line="241" w:lineRule="auto"/>
        <w:tabs>
          <w:tab w:leader="none" w:pos="14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For the three months ended September 30, 2015, taxes for the: 2014-2018 Restructuring Program costs were $62 million, income /costs associated with the JDE coffee business transactions were ($41) million, net earnings from Venezuelan subsidiaries were $24 million and gain on the JDE coffee business transactions were $197 million.</w:t>
      </w:r>
    </w:p>
    <w:p>
      <w:pPr>
        <w:spacing w:after="0" w:line="1" w:lineRule="exact"/>
        <w:rPr>
          <w:rFonts w:ascii="Arial" w:cs="Arial" w:eastAsia="Arial" w:hAnsi="Arial"/>
          <w:sz w:val="14"/>
          <w:szCs w:val="14"/>
          <w:color w:val="auto"/>
        </w:rPr>
      </w:pPr>
    </w:p>
    <w:p>
      <w:pPr>
        <w:ind w:left="1460" w:right="40" w:hanging="318"/>
        <w:spacing w:after="0" w:line="241" w:lineRule="auto"/>
        <w:tabs>
          <w:tab w:leader="none" w:pos="14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For the nine months ended September 30, 2016, taxes for the: 2014-2018 Restructuring Program costs were $199 million, gain on equity method investment exchange were $2 million, intangible asset impairment charges were $8 million, divestiture-related costs were $20 million, loss related to interest rate swaps were $35 million and mark-to-market gains / (losses) from derivatives were $6 million.</w:t>
      </w:r>
    </w:p>
    <w:p>
      <w:pPr>
        <w:spacing w:after="0" w:line="1" w:lineRule="exact"/>
        <w:rPr>
          <w:rFonts w:ascii="Arial" w:cs="Arial" w:eastAsia="Arial" w:hAnsi="Arial"/>
          <w:sz w:val="14"/>
          <w:szCs w:val="14"/>
          <w:color w:val="auto"/>
        </w:rPr>
      </w:pPr>
    </w:p>
    <w:p>
      <w:pPr>
        <w:ind w:left="1460" w:right="200" w:hanging="318"/>
        <w:spacing w:after="0" w:line="241" w:lineRule="auto"/>
        <w:tabs>
          <w:tab w:leader="none" w:pos="1460" w:val="left"/>
        </w:tabs>
        <w:numPr>
          <w:ilvl w:val="1"/>
          <w:numId w:val="52"/>
        </w:numPr>
        <w:rPr>
          <w:rFonts w:ascii="Arial" w:cs="Arial" w:eastAsia="Arial" w:hAnsi="Arial"/>
          <w:sz w:val="14"/>
          <w:szCs w:val="14"/>
          <w:color w:val="auto"/>
        </w:rPr>
      </w:pPr>
      <w:r>
        <w:rPr>
          <w:rFonts w:ascii="Arial" w:cs="Arial" w:eastAsia="Arial" w:hAnsi="Arial"/>
          <w:sz w:val="14"/>
          <w:szCs w:val="14"/>
          <w:color w:val="auto"/>
        </w:rPr>
        <w:t>For the nine months ended September 30, 2015, taxes for the: 2014-2018 Restructuring Program costs were $158 million, net earnings from Venezuelan subsidiaries were $77 million, remeasurement of net monetary assets in Venezuela were $1 million, income / (costs) associated with the JDE coffee business transactions were $155 million, gain on the JDE coffee business transactions were $197 million, net earnings from divestitures were $32 million, loss on divestiture were $22 million, loss on debt extinguishment and related expenses were $261 million, loss related to interest rate swaps were ($13) million and mark-to-market gains / (losses) from derivatives were $10 million.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JDE coffee business transactions.</w:t>
      </w:r>
    </w:p>
    <w:p>
      <w:pPr>
        <w:spacing w:after="0" w:line="1" w:lineRule="exact"/>
        <w:rPr>
          <w:rFonts w:ascii="Arial" w:cs="Arial" w:eastAsia="Arial" w:hAnsi="Arial"/>
          <w:sz w:val="14"/>
          <w:szCs w:val="14"/>
          <w:color w:val="auto"/>
        </w:rPr>
      </w:pPr>
    </w:p>
    <w:p>
      <w:pPr>
        <w:ind w:left="1140" w:right="220" w:hanging="335"/>
        <w:spacing w:after="0" w:line="241" w:lineRule="auto"/>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hanging="335"/>
        <w:spacing w:after="0"/>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1140" w:right="180" w:hanging="335"/>
        <w:spacing w:after="0" w:line="241" w:lineRule="auto"/>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April 23, 2015 divestiture of AGF. The divestiture of AGF generated a pre-tax gain of $13 million and after-tax loss of $9 million in the second quarter of 2015.</w:t>
      </w:r>
    </w:p>
    <w:p>
      <w:pPr>
        <w:ind w:left="1140" w:hanging="335"/>
        <w:spacing w:after="0"/>
        <w:tabs>
          <w:tab w:leader="none" w:pos="11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Includes costs incurred related to the planned sale of a confectionery business in France. 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nine months ended September 30, 2016. For additional information on the impact of currency policies, the recent U.K. referendum to exit the E.U., recent currency devaluations, the deconsolidation of our Venezuelan operation and the historical remeasurement of our Venezuelan net monetary assets on our financial condition and results of operations, also see Note 1, </w:t>
      </w:r>
      <w:r>
        <w:rPr>
          <w:rFonts w:ascii="Arial" w:cs="Arial" w:eastAsia="Arial" w:hAnsi="Arial"/>
          <w:sz w:val="18"/>
          <w:szCs w:val="18"/>
          <w:i w:val="1"/>
          <w:iCs w:val="1"/>
          <w:color w:val="auto"/>
        </w:rPr>
        <w:t>Basis of Presentation –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Translation and Highly Inflationary Accounting</w:t>
      </w:r>
      <w:r>
        <w:rPr>
          <w:rFonts w:ascii="Arial" w:cs="Arial" w:eastAsia="Arial" w:hAnsi="Arial"/>
          <w:sz w:val="18"/>
          <w:szCs w:val="18"/>
          <w:color w:val="auto"/>
        </w:rPr>
        <w:t>.</w:t>
      </w:r>
    </w:p>
    <w:p>
      <w:pPr>
        <w:spacing w:after="0" w:line="20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the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In addition to using interest rate derivatives to manage future interest payments, in the first quarter of 2016, we retired $ 1.8 billion of our long-term debt and issued $1.2 billion of lower borrowing cost debt. Our weighted-average interest rate on our total debt as of September 30, 2016 was 3.1%, down from 3.7% as of December 31, 2015.</w:t>
      </w:r>
    </w:p>
    <w:p>
      <w:pPr>
        <w:spacing w:after="0" w:line="20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There were no significant changes in the types of derivative instruments we use to hedge our exposures between December 31, 2015 and September 30, 2016.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2016 derivative activity. For additional information on our hedging strategies, policies and practices on an ongoing basis, also refer to our Annual Report on Form 10-K for the year ended December 31, 2015.</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2016. Based on this evaluation, the CEO and CFO concluded that our disclosure controls and procedures were effective as of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2016. During the quarter ended September 30, 2016, we worked with outsourced partners to further simplify and standardize processes and focus on scalable, transactional processes across all regions. We continued to migrate some of our procurement administration functions for the EEMEA, Europe and Asia Pacific regions to an outsourced partner. Additionally, we continued to transition some of our transactional processing and financial reporting for a number of countries in all regions (including order-to-cash in our Europe and Latin America regions) to three outsourced partners. Pursuant to our service agreements, the controls previously established around these accounting functions will be maintained by our outsourced partners, and they are subject to management’s internal control testing. During the quarter, we also transitioned some of our human resources data processing performed in country and marketing procurement administration processes to our internal shared service centers in the Asia Pacific and Europe regions. Additionally, we successfully transitioned the Argentina, Uruguay and Chile entities onto our accounting system. There were no other changes in our internal control over financial reporting during the quarter ended September 30, 2016, that have materially affected, or are reasonably likely to materially affect, our internal control over financial reporting.</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2016 was:</w:t>
      </w:r>
    </w:p>
    <w:p>
      <w:pPr>
        <w:spacing w:after="0" w:line="226"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Issuer Purchases of Equity Securities</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Purchased</w:t>
            </w:r>
          </w:p>
        </w:tc>
        <w:tc>
          <w:tcPr>
            <w:tcW w:w="1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Average</w:t>
            </w:r>
          </w:p>
        </w:tc>
        <w:tc>
          <w:tcPr>
            <w:tcW w:w="17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as Part of Publicly</w:t>
            </w: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40" w:type="dxa"/>
            <w:vAlign w:val="bottom"/>
            <w:vMerge w:val="restart"/>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of Shares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 Paid</w:t>
            </w:r>
          </w:p>
        </w:tc>
        <w:tc>
          <w:tcPr>
            <w:tcW w:w="17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Announced Plans</w:t>
            </w: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vMerge w:val="continue"/>
          </w:tcPr>
          <w:p>
            <w:pPr>
              <w:spacing w:after="0"/>
              <w:rPr>
                <w:sz w:val="16"/>
                <w:szCs w:val="16"/>
                <w:color w:val="auto"/>
              </w:rPr>
            </w:pPr>
          </w:p>
        </w:tc>
        <w:tc>
          <w:tcPr>
            <w:tcW w:w="3540" w:type="dxa"/>
            <w:vAlign w:val="bottom"/>
            <w:vMerge w:val="continue"/>
          </w:tcPr>
          <w:p>
            <w:pPr>
              <w:spacing w:after="0"/>
              <w:rPr>
                <w:sz w:val="16"/>
                <w:szCs w:val="16"/>
                <w:color w:val="auto"/>
              </w:rPr>
            </w:pPr>
          </w:p>
        </w:tc>
        <w:tc>
          <w:tcPr>
            <w:tcW w:w="960" w:type="dxa"/>
            <w:vAlign w:val="bottom"/>
            <w:gridSpan w:val="2"/>
          </w:tcPr>
          <w:p>
            <w:pPr>
              <w:jc w:val="center"/>
              <w:ind w:right="20"/>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per Share</w:t>
            </w:r>
          </w:p>
        </w:tc>
        <w:tc>
          <w:tcPr>
            <w:tcW w:w="1740" w:type="dxa"/>
            <w:vAlign w:val="bottom"/>
            <w:gridSpan w:val="2"/>
          </w:tcPr>
          <w:p>
            <w:pPr>
              <w:jc w:val="center"/>
              <w:ind w:right="460"/>
              <w:spacing w:after="0" w:line="165"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120" w:type="dxa"/>
            <w:vAlign w:val="bottom"/>
          </w:tcPr>
          <w:p>
            <w:pPr>
              <w:spacing w:after="0"/>
              <w:rPr>
                <w:sz w:val="16"/>
                <w:szCs w:val="16"/>
                <w:color w:val="auto"/>
              </w:rPr>
            </w:pPr>
          </w:p>
        </w:tc>
        <w:tc>
          <w:tcPr>
            <w:tcW w:w="1740" w:type="dxa"/>
            <w:vAlign w:val="bottom"/>
            <w:gridSpan w:val="2"/>
          </w:tcPr>
          <w:p>
            <w:pPr>
              <w:jc w:val="center"/>
              <w:ind w:right="240"/>
              <w:spacing w:after="0" w:line="165"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90"/>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July 1-31, 2016</w:t>
            </w: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4,845</w:t>
            </w: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44.44</w:t>
            </w:r>
          </w:p>
        </w:tc>
        <w:tc>
          <w:tcPr>
            <w:tcW w:w="4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4,134,056,806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August 1-31, 2016</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464,530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45.65</w:t>
            </w:r>
          </w:p>
        </w:tc>
        <w:tc>
          <w:tcPr>
            <w:tcW w:w="17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445,411</w:t>
            </w:r>
          </w:p>
        </w:tc>
        <w:tc>
          <w:tcPr>
            <w:tcW w:w="120" w:type="dxa"/>
            <w:vAlign w:val="bottom"/>
          </w:tcPr>
          <w:p>
            <w:pPr>
              <w:spacing w:after="0"/>
              <w:rPr>
                <w:sz w:val="17"/>
                <w:szCs w:val="17"/>
                <w:color w:val="auto"/>
              </w:rPr>
            </w:pPr>
          </w:p>
        </w:tc>
        <w:tc>
          <w:tcPr>
            <w:tcW w:w="1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4,114,056,828</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September 1-30, 2016</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10,541,973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43.23</w:t>
            </w:r>
          </w:p>
        </w:tc>
        <w:tc>
          <w:tcPr>
            <w:tcW w:w="1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10,523,964</w:t>
            </w:r>
          </w:p>
        </w:tc>
        <w:tc>
          <w:tcPr>
            <w:tcW w:w="1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3,659,128,984</w:t>
            </w:r>
          </w:p>
        </w:tc>
        <w:tc>
          <w:tcPr>
            <w:tcW w:w="0" w:type="dxa"/>
            <w:vAlign w:val="bottom"/>
          </w:tcPr>
          <w:p>
            <w:pPr>
              <w:spacing w:after="0"/>
              <w:rPr>
                <w:sz w:val="1"/>
                <w:szCs w:val="1"/>
                <w:color w:val="auto"/>
              </w:rPr>
            </w:pPr>
          </w:p>
        </w:tc>
      </w:tr>
      <w:tr>
        <w:trPr>
          <w:trHeight w:val="209"/>
        </w:trPr>
        <w:tc>
          <w:tcPr>
            <w:tcW w:w="4000" w:type="dxa"/>
            <w:vAlign w:val="bottom"/>
            <w:gridSpan w:val="2"/>
          </w:tcPr>
          <w:p>
            <w:pPr>
              <w:spacing w:after="0"/>
              <w:rPr>
                <w:sz w:val="20"/>
                <w:szCs w:val="20"/>
                <w:color w:val="auto"/>
              </w:rPr>
            </w:pPr>
            <w:r>
              <w:rPr>
                <w:rFonts w:ascii="Arial" w:cs="Arial" w:eastAsia="Arial" w:hAnsi="Arial"/>
                <w:sz w:val="18"/>
                <w:szCs w:val="18"/>
                <w:color w:val="auto"/>
              </w:rPr>
              <w:t>For the Quarter Ended</w:t>
            </w: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September 30, 2016</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11,011,348</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43.33</w:t>
            </w:r>
          </w:p>
        </w:tc>
        <w:tc>
          <w:tcPr>
            <w:tcW w:w="174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10,969,375</w:t>
            </w: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140" w:hanging="335"/>
        <w:spacing w:after="0" w:line="241" w:lineRule="auto"/>
        <w:tabs>
          <w:tab w:leader="none" w:pos="11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purchased pursuant to the repurchase program described in (2) below; and (ii) shares tendered to us by employees who used shares to exercise options and to pay the related taxes for grants of restricted and deferred stock that vested, totaling 4,845 shares, 19,119 shares and 18,009 shares for the fiscal months of July, August and September 2016, respectively.</w:t>
      </w:r>
    </w:p>
    <w:p>
      <w:pPr>
        <w:spacing w:after="0" w:line="1" w:lineRule="exact"/>
        <w:rPr>
          <w:rFonts w:ascii="Arial" w:cs="Arial" w:eastAsia="Arial" w:hAnsi="Arial"/>
          <w:sz w:val="14"/>
          <w:szCs w:val="14"/>
          <w:color w:val="auto"/>
        </w:rPr>
      </w:pPr>
    </w:p>
    <w:p>
      <w:pPr>
        <w:ind w:left="1140" w:right="120" w:hanging="335"/>
        <w:spacing w:after="0" w:line="244" w:lineRule="auto"/>
        <w:tabs>
          <w:tab w:leader="none" w:pos="11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Note 10, </w:t>
      </w:r>
      <w:r>
        <w:rPr>
          <w:rFonts w:ascii="Arial" w:cs="Arial" w:eastAsia="Arial" w:hAnsi="Arial"/>
          <w:sz w:val="14"/>
          <w:szCs w:val="14"/>
          <w:i w:val="1"/>
          <w:iCs w:val="1"/>
          <w:color w:val="auto"/>
        </w:rPr>
        <w:t>Stock Plans</w:t>
      </w:r>
      <w:r>
        <w:rPr>
          <w:rFonts w:ascii="Arial" w:cs="Arial" w:eastAsia="Arial" w:hAnsi="Arial"/>
          <w:sz w:val="14"/>
          <w:szCs w:val="14"/>
          <w:color w:val="auto"/>
        </w:rPr>
        <w:t>, for additional information.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0580" w:type="dxa"/>
            <w:vAlign w:val="bottom"/>
          </w:tcPr>
          <w:p>
            <w:pPr>
              <w:spacing w:after="0"/>
              <w:rPr>
                <w:sz w:val="14"/>
                <w:szCs w:val="14"/>
                <w:color w:val="auto"/>
              </w:rPr>
            </w:pPr>
          </w:p>
        </w:tc>
      </w:tr>
      <w:tr>
        <w:trPr>
          <w:trHeight w:val="164"/>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4"/>
                <w:szCs w:val="14"/>
                <w:color w:val="auto"/>
              </w:rPr>
            </w:pPr>
          </w:p>
        </w:tc>
        <w:tc>
          <w:tcPr>
            <w:tcW w:w="10580" w:type="dxa"/>
            <w:vAlign w:val="bottom"/>
            <w:tcBorders>
              <w:bottom w:val="single" w:sz="8" w:color="auto"/>
            </w:tcBorders>
          </w:tcPr>
          <w:p>
            <w:pPr>
              <w:ind w:left="4940"/>
              <w:spacing w:after="0" w:line="157" w:lineRule="exact"/>
              <w:rPr>
                <w:sz w:val="20"/>
                <w:szCs w:val="20"/>
                <w:color w:val="auto"/>
              </w:rPr>
            </w:pPr>
            <w:r>
              <w:rPr>
                <w:rFonts w:ascii="Arial" w:cs="Arial" w:eastAsia="Arial" w:hAnsi="Arial"/>
                <w:sz w:val="14"/>
                <w:szCs w:val="14"/>
                <w:color w:val="auto"/>
              </w:rPr>
              <w:t>Description</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Computation of Ratios of Earnings to Fixed Charges.</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13a-14(a)/15d-14(a) of the Securities Exchange Act of 1934, as amended.</w:t>
            </w:r>
          </w:p>
        </w:tc>
      </w:tr>
      <w:tr>
        <w:trPr>
          <w:trHeight w:val="31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13a-14(a)/15d-14(a) of the Securities Exchange Act of 1934, as amended.</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Certifications of Chief Executive Officer and Chief Financial Officer pursuant to 18 U.S.C. 1350, as adopted pursuant to Section 906</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of the Sarbanes-Oxley Act of 2002.</w:t>
            </w:r>
          </w:p>
        </w:tc>
      </w:tr>
      <w:tr>
        <w:trPr>
          <w:trHeight w:val="296"/>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September 30, 2016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Condensed Consolidated Statements of Comprehensive Earnings, (iii) the Condensed Consolidated Balance Sheets, (iv) the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tcPr>
          <w:p>
            <w:pPr>
              <w:spacing w:after="0" w:line="202" w:lineRule="exact"/>
              <w:rPr>
                <w:sz w:val="20"/>
                <w:szCs w:val="20"/>
                <w:color w:val="auto"/>
              </w:rPr>
            </w:pPr>
            <w:r>
              <w:rPr>
                <w:rFonts w:ascii="Arial" w:cs="Arial" w:eastAsia="Arial" w:hAnsi="Arial"/>
                <w:sz w:val="18"/>
                <w:szCs w:val="18"/>
                <w:color w:val="auto"/>
              </w:rPr>
              <w:t>Condensed Consolidated Statements of Equity, (v) the Condensed Consolidated Statements of Cash Flows and (vi) Notes to</w:t>
            </w:r>
          </w:p>
        </w:tc>
      </w:tr>
      <w:tr>
        <w:trPr>
          <w:trHeight w:val="217"/>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Condensed Consolidated Financial Statements.</w:t>
            </w:r>
          </w:p>
        </w:tc>
      </w:tr>
      <w:tr>
        <w:trPr>
          <w:trHeight w:val="351"/>
        </w:trPr>
        <w:tc>
          <w:tcPr>
            <w:tcW w:w="520" w:type="dxa"/>
            <w:vAlign w:val="bottom"/>
          </w:tcPr>
          <w:p>
            <w:pPr>
              <w:spacing w:after="0"/>
              <w:rPr>
                <w:sz w:val="24"/>
                <w:szCs w:val="24"/>
                <w:color w:val="auto"/>
              </w:rPr>
            </w:pPr>
          </w:p>
        </w:tc>
        <w:tc>
          <w:tcPr>
            <w:tcW w:w="10900" w:type="dxa"/>
            <w:vAlign w:val="bottom"/>
            <w:gridSpan w:val="2"/>
          </w:tcPr>
          <w:p>
            <w:pPr>
              <w:jc w:val="right"/>
              <w:ind w:right="5512"/>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wp:posOffset>
            </wp:positionV>
            <wp:extent cx="2495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October 26, 2016</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240" w:top="459" w:right="5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12.1</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Computation of Ratio of Earnings to Fixed Charges</w:t>
      </w:r>
    </w:p>
    <w:p>
      <w:pPr>
        <w:jc w:val="center"/>
        <w:ind w:right="460"/>
        <w:spacing w:after="0"/>
        <w:rPr>
          <w:sz w:val="20"/>
          <w:szCs w:val="20"/>
          <w:color w:val="auto"/>
        </w:rPr>
      </w:pPr>
      <w:r>
        <w:rPr>
          <w:rFonts w:ascii="Arial" w:cs="Arial" w:eastAsia="Arial" w:hAnsi="Arial"/>
          <w:sz w:val="18"/>
          <w:szCs w:val="18"/>
          <w:b w:val="1"/>
          <w:bCs w:val="1"/>
          <w:color w:val="auto"/>
        </w:rPr>
        <w:t>(in millions of U.S. dollars, except ratio)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For the Three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For the Nine</w:t>
            </w:r>
          </w:p>
        </w:tc>
      </w:tr>
      <w:tr>
        <w:trPr>
          <w:trHeight w:val="149"/>
        </w:trPr>
        <w:tc>
          <w:tcPr>
            <w:tcW w:w="6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Months 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7"/>
              </w:rPr>
              <w:t>Months Ended</w:t>
            </w:r>
          </w:p>
        </w:tc>
      </w:tr>
      <w:tr>
        <w:trPr>
          <w:trHeight w:val="165"/>
        </w:trPr>
        <w:tc>
          <w:tcPr>
            <w:tcW w:w="694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r>
      <w:tr>
        <w:trPr>
          <w:trHeight w:val="88"/>
        </w:trPr>
        <w:tc>
          <w:tcPr>
            <w:tcW w:w="69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203"/>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557</w:t>
            </w:r>
          </w:p>
        </w:tc>
        <w:tc>
          <w:tcPr>
            <w:tcW w:w="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7"/>
                <w:szCs w:val="17"/>
                <w:color w:val="auto"/>
              </w:rPr>
            </w:pPr>
          </w:p>
        </w:tc>
      </w:tr>
      <w:tr>
        <w:trPr>
          <w:trHeight w:val="311"/>
        </w:trPr>
        <w:tc>
          <w:tcPr>
            <w:tcW w:w="6940" w:type="dxa"/>
            <w:vAlign w:val="bottom"/>
          </w:tcPr>
          <w:p>
            <w:pPr>
              <w:spacing w:after="0"/>
              <w:rPr>
                <w:sz w:val="20"/>
                <w:szCs w:val="20"/>
                <w:color w:val="auto"/>
              </w:rPr>
            </w:pPr>
            <w:r>
              <w:rPr>
                <w:rFonts w:ascii="Arial" w:cs="Arial" w:eastAsia="Arial" w:hAnsi="Arial"/>
                <w:sz w:val="18"/>
                <w:szCs w:val="18"/>
                <w:color w:val="auto"/>
              </w:rPr>
              <w:t>Add / (Deduct):</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w:t>
            </w:r>
          </w:p>
        </w:tc>
      </w:tr>
      <w:tr>
        <w:trPr>
          <w:trHeight w:val="203"/>
        </w:trPr>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10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capitalized, net of amortization</w:t>
            </w: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10"/>
        </w:trPr>
        <w:tc>
          <w:tcPr>
            <w:tcW w:w="6940" w:type="dxa"/>
            <w:vAlign w:val="bottom"/>
          </w:tcPr>
          <w:p>
            <w:pPr>
              <w:ind w:left="440"/>
              <w:spacing w:after="0"/>
              <w:rPr>
                <w:sz w:val="20"/>
                <w:szCs w:val="20"/>
                <w:color w:val="auto"/>
              </w:rPr>
            </w:pPr>
            <w:r>
              <w:rPr>
                <w:rFonts w:ascii="Arial" w:cs="Arial" w:eastAsia="Arial" w:hAnsi="Arial"/>
                <w:sz w:val="18"/>
                <w:szCs w:val="18"/>
                <w:color w:val="auto"/>
              </w:rPr>
              <w:t>Earnings available for fixed charges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line="202" w:lineRule="exact"/>
              <w:rPr>
                <w:sz w:val="20"/>
                <w:szCs w:val="20"/>
                <w:color w:val="auto"/>
              </w:rPr>
            </w:pPr>
            <w:r>
              <w:rPr>
                <w:rFonts w:ascii="Arial" w:cs="Arial" w:eastAsia="Arial" w:hAnsi="Arial"/>
                <w:sz w:val="18"/>
                <w:szCs w:val="18"/>
                <w:color w:val="auto"/>
              </w:rPr>
              <w:t>Interest incurred: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4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7"/>
                <w:szCs w:val="17"/>
                <w:color w:val="auto"/>
              </w:rPr>
            </w:pPr>
          </w:p>
        </w:tc>
      </w:tr>
      <w:tr>
        <w:trPr>
          <w:trHeight w:val="210"/>
        </w:trPr>
        <w:tc>
          <w:tcPr>
            <w:tcW w:w="6940" w:type="dxa"/>
            <w:vAlign w:val="bottom"/>
          </w:tcPr>
          <w:p>
            <w:pPr>
              <w:ind w:left="440"/>
              <w:spacing w:after="0" w:line="202" w:lineRule="exact"/>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18"/>
                <w:szCs w:val="18"/>
                <w:color w:val="auto"/>
              </w:rPr>
            </w:pPr>
          </w:p>
        </w:tc>
        <w:tc>
          <w:tcPr>
            <w:tcW w:w="16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r>
      <w:tr>
        <w:trPr>
          <w:trHeight w:val="203"/>
        </w:trPr>
        <w:tc>
          <w:tcPr>
            <w:tcW w:w="69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7"/>
                <w:szCs w:val="17"/>
                <w:color w:val="auto"/>
              </w:rPr>
            </w:pPr>
          </w:p>
        </w:tc>
      </w:tr>
      <w:tr>
        <w:trPr>
          <w:trHeight w:val="210"/>
        </w:trPr>
        <w:tc>
          <w:tcPr>
            <w:tcW w:w="694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03"/>
        </w:trPr>
        <w:tc>
          <w:tcPr>
            <w:tcW w:w="69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940" w:type="dxa"/>
            <w:vAlign w:val="bottom"/>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3.9</w:t>
            </w:r>
          </w:p>
        </w:tc>
      </w:tr>
      <w:tr>
        <w:trPr>
          <w:trHeight w:val="20"/>
        </w:trPr>
        <w:tc>
          <w:tcPr>
            <w:tcW w:w="6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0960"/>
          </w:cols>
          <w:pgMar w:left="70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1380" w:hanging="575"/>
        <w:spacing w:after="0"/>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Irene B. Rosenfeld</w:t>
      </w:r>
    </w:p>
    <w:p>
      <w:pPr>
        <w:ind w:left="68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1380" w:hanging="575"/>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1380" w:right="160" w:hanging="575"/>
        <w:spacing w:after="0" w:line="238"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1380" w:right="520" w:hanging="575"/>
        <w:spacing w:after="0" w:line="238"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1380" w:right="140" w:hanging="575"/>
        <w:spacing w:after="0" w:line="238"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820" w:right="20" w:hanging="448"/>
        <w:spacing w:after="0" w:line="281" w:lineRule="auto"/>
        <w:tabs>
          <w:tab w:leader="none" w:pos="18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820" w:right="420" w:hanging="448"/>
        <w:spacing w:after="0" w:line="281" w:lineRule="auto"/>
        <w:tabs>
          <w:tab w:leader="none" w:pos="18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820" w:right="200" w:hanging="448"/>
        <w:spacing w:after="0" w:line="238" w:lineRule="auto"/>
        <w:tabs>
          <w:tab w:leader="none" w:pos="1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820" w:right="280" w:hanging="448"/>
        <w:spacing w:after="0" w:line="281" w:lineRule="auto"/>
        <w:tabs>
          <w:tab w:leader="none" w:pos="18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1380" w:right="540" w:hanging="575"/>
        <w:spacing w:after="0" w:line="238"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820" w:right="340" w:hanging="448"/>
        <w:spacing w:after="0" w:line="238" w:lineRule="auto"/>
        <w:tabs>
          <w:tab w:leader="none" w:pos="1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820" w:right="660" w:hanging="448"/>
        <w:spacing w:after="0" w:line="239" w:lineRule="auto"/>
        <w:tabs>
          <w:tab w:leader="none" w:pos="1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2016</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-4445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Brian T. Gladden</w:t>
      </w:r>
    </w:p>
    <w:p>
      <w:pPr>
        <w:ind w:left="686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2016, fully complies with the requirements of Section 13(a) or 15(d) of the Securities Exchange Act of 1934, as amended and that the information contained in Mondelēz International’s Quarterly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October 26, 2016</w:t>
      </w:r>
    </w:p>
    <w:p>
      <w:pPr>
        <w:spacing w:after="0" w:line="3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Roman"/>
      <w:start w:val="2"/>
    </w:lvl>
    <w:lvl w:ilvl="1">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0"/>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4"/>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42"/>
    </w:lvl>
  </w:abstractNum>
  <w:abstractNum w:abstractNumId="46">
    <w:nsid w:val="1BA026FA"/>
    <w:multiLevelType w:val="hybridMultilevel"/>
    <w:lvl w:ilvl="0">
      <w:lvlJc w:val="left"/>
      <w:lvlText w:val="%1)"/>
      <w:numFmt w:val="lowerLetter"/>
      <w:start w:val="42"/>
    </w:lvl>
  </w:abstractNum>
  <w:abstractNum w:abstractNumId="47">
    <w:nsid w:val="79A1DEAA"/>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2019-12-29T09:10:41Z</dcterms:created>
  <dcterms:modified xsi:type="dcterms:W3CDTF">2019-12-29T09:10:41Z</dcterms:modified>
</cp:coreProperties>
</file>