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3" w:lineRule="exact"/>
        <w:rPr>
          <w:sz w:val="24"/>
          <w:szCs w:val="24"/>
          <w:color w:val="auto"/>
        </w:rPr>
      </w:pPr>
    </w:p>
    <w:p>
      <w:pPr>
        <w:ind w:left="1620" w:right="1240" w:hanging="620"/>
        <w:spacing w:after="0" w:line="261" w:lineRule="auto"/>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3" w:lineRule="exact"/>
        <w:rPr>
          <w:sz w:val="24"/>
          <w:szCs w:val="24"/>
          <w:color w:val="auto"/>
        </w:rPr>
      </w:pPr>
    </w:p>
    <w:p>
      <w:pPr>
        <w:ind w:left="1620" w:right="1240" w:hanging="613"/>
        <w:spacing w:after="0" w:line="220" w:lineRule="auto"/>
        <w:tabs>
          <w:tab w:leader="none" w:pos="162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55"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Mondelēz International,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3"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237"/>
        </w:trPr>
        <w:tc>
          <w:tcPr>
            <w:tcW w:w="4560" w:type="dxa"/>
            <w:vAlign w:val="bottom"/>
          </w:tcPr>
          <w:p>
            <w:pPr>
              <w:jc w:val="center"/>
              <w:ind w:right="1739"/>
              <w:spacing w:after="0"/>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(I.R.S. Employer</w:t>
            </w:r>
          </w:p>
        </w:tc>
      </w:tr>
      <w:tr>
        <w:trPr>
          <w:trHeight w:val="195"/>
        </w:trPr>
        <w:tc>
          <w:tcPr>
            <w:tcW w:w="4560" w:type="dxa"/>
            <w:vAlign w:val="bottom"/>
          </w:tcPr>
          <w:p>
            <w:pPr>
              <w:jc w:val="center"/>
              <w:ind w:right="173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391"/>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4"/>
                <w:szCs w:val="24"/>
                <w:color w:val="auto"/>
              </w:rPr>
            </w:pPr>
          </w:p>
        </w:tc>
      </w:tr>
      <w:tr>
        <w:trPr>
          <w:trHeight w:val="243"/>
        </w:trPr>
        <w:tc>
          <w:tcPr>
            <w:tcW w:w="4560" w:type="dxa"/>
            <w:vAlign w:val="bottom"/>
          </w:tcPr>
          <w:p>
            <w:pPr>
              <w:ind w:left="66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43"/>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(Zip Code)</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32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Trading</w:t>
            </w:r>
          </w:p>
        </w:tc>
        <w:tc>
          <w:tcPr>
            <w:tcW w:w="4720" w:type="dxa"/>
            <w:vAlign w:val="bottom"/>
          </w:tcPr>
          <w:p>
            <w:pPr>
              <w:spacing w:after="0"/>
              <w:rPr>
                <w:sz w:val="24"/>
                <w:szCs w:val="24"/>
                <w:color w:val="auto"/>
              </w:rPr>
            </w:pPr>
          </w:p>
        </w:tc>
      </w:tr>
      <w:tr>
        <w:trPr>
          <w:trHeight w:val="22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Stock, no par value</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rPr>
              <w:t>MDLZ</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2021</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MDLZ21</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1.000% Notes due 2022</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MDLZ22</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2023</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MDLZ23</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MDLZ27</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MDLZ35</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MDLZ35A</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MDLZ45</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89"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46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00"/>
              <w:spacing w:after="0"/>
              <w:rPr>
                <w:sz w:val="20"/>
                <w:szCs w:val="20"/>
                <w:color w:val="auto"/>
              </w:rPr>
            </w:pPr>
            <w:r>
              <w:rPr>
                <w:rFonts w:ascii="Arial" w:cs="Arial" w:eastAsia="Arial" w:hAnsi="Arial"/>
                <w:sz w:val="14"/>
                <w:szCs w:val="14"/>
                <w:color w:val="auto"/>
              </w:rPr>
              <w:t>x</w:t>
            </w:r>
          </w:p>
        </w:tc>
        <w:tc>
          <w:tcPr>
            <w:tcW w:w="45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5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At July 24, 2020, there were 1,428,338,344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r>
      <w:tr>
        <w:trPr>
          <w:trHeight w:val="257"/>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 -</w:t>
            </w:r>
          </w:p>
        </w:tc>
        <w:tc>
          <w:tcPr>
            <w:tcW w:w="898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1220" w:type="dxa"/>
            <w:vAlign w:val="bottom"/>
          </w:tcPr>
          <w:p>
            <w:pPr>
              <w:spacing w:after="0"/>
              <w:rPr>
                <w:sz w:val="22"/>
                <w:szCs w:val="22"/>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tcPr>
          <w:p>
            <w:pPr>
              <w:ind w:left="240"/>
              <w:spacing w:after="0"/>
              <w:rPr>
                <w:sz w:val="20"/>
                <w:szCs w:val="20"/>
                <w:color w:val="auto"/>
              </w:rPr>
            </w:pPr>
            <w:r>
              <w:rPr>
                <w:rFonts w:ascii="Arial" w:cs="Arial" w:eastAsia="Arial" w:hAnsi="Arial"/>
                <w:sz w:val="18"/>
                <w:szCs w:val="18"/>
                <w:color w:val="auto"/>
              </w:rPr>
              <w:t>Financial Statements (Unaudited)</w:t>
            </w:r>
          </w:p>
        </w:tc>
        <w:tc>
          <w:tcPr>
            <w:tcW w:w="1220" w:type="dxa"/>
            <w:vAlign w:val="bottom"/>
          </w:tcPr>
          <w:p>
            <w:pPr>
              <w:spacing w:after="0"/>
              <w:rPr>
                <w:sz w:val="24"/>
                <w:szCs w:val="24"/>
                <w:color w:val="auto"/>
              </w:rPr>
            </w:pPr>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Earnings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 the Three and Six Months Ended June 30, 2020 and 2019</w:t>
              </w:r>
            </w:hyperlink>
          </w:p>
        </w:tc>
        <w:tc>
          <w:tcPr>
            <w:tcW w:w="12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Earnings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 the Three and Six Months Ended June 30, 2020 and 2019</w:t>
              </w:r>
            </w:hyperlink>
          </w:p>
        </w:tc>
        <w:tc>
          <w:tcPr>
            <w:tcW w:w="12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at June 30, 2020 and December 31, 2019</w:t>
              </w:r>
            </w:hyperlink>
          </w:p>
        </w:tc>
        <w:tc>
          <w:tcPr>
            <w:tcW w:w="12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Equity</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 the Three and Six Months Ended June 30, 2020 and 2019</w:t>
              </w:r>
            </w:hyperlink>
          </w:p>
        </w:tc>
        <w:tc>
          <w:tcPr>
            <w:tcW w:w="12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for the Three and Six Months Ended June 30, 2020 and 2019</w:t>
              </w:r>
            </w:hyperlink>
          </w:p>
        </w:tc>
        <w:tc>
          <w:tcPr>
            <w:tcW w:w="12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392"/>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12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tcPr>
          <w:p>
            <w:pPr>
              <w:ind w:left="2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980" w:type="dxa"/>
            <w:vAlign w:val="bottom"/>
          </w:tcPr>
          <w:p>
            <w:pPr>
              <w:ind w:left="2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Quantitative and Qualitative Disclosures about Market Risk</w:t>
              </w:r>
            </w:hyperlink>
          </w:p>
        </w:tc>
        <w:tc>
          <w:tcPr>
            <w:tcW w:w="122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980" w:type="dxa"/>
            <w:vAlign w:val="bottom"/>
          </w:tcPr>
          <w:p>
            <w:pPr>
              <w:ind w:left="2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Controls and Procedures</w:t>
              </w:r>
            </w:hyperlink>
          </w:p>
        </w:tc>
        <w:tc>
          <w:tcPr>
            <w:tcW w:w="122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 -</w:t>
            </w:r>
          </w:p>
        </w:tc>
        <w:tc>
          <w:tcPr>
            <w:tcW w:w="8980" w:type="dxa"/>
            <w:vAlign w:val="bottom"/>
          </w:tcPr>
          <w:p>
            <w:pPr>
              <w:ind w:left="240"/>
              <w:spacing w:after="0"/>
              <w:rPr>
                <w:sz w:val="20"/>
                <w:szCs w:val="20"/>
                <w:color w:val="auto"/>
              </w:rPr>
            </w:pPr>
            <w:r>
              <w:rPr>
                <w:rFonts w:ascii="Arial" w:cs="Arial" w:eastAsia="Arial" w:hAnsi="Arial"/>
                <w:sz w:val="18"/>
                <w:szCs w:val="18"/>
                <w:b w:val="1"/>
                <w:bCs w:val="1"/>
                <w:color w:val="auto"/>
              </w:rPr>
              <w:t>OTHER INFORMATION</w:t>
            </w:r>
          </w:p>
        </w:tc>
        <w:tc>
          <w:tcPr>
            <w:tcW w:w="1220" w:type="dxa"/>
            <w:vAlign w:val="bottom"/>
          </w:tcPr>
          <w:p>
            <w:pPr>
              <w:spacing w:after="0"/>
              <w:rPr>
                <w:sz w:val="24"/>
                <w:szCs w:val="24"/>
                <w:color w:val="auto"/>
              </w:rPr>
            </w:pPr>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tcPr>
          <w:p>
            <w:pPr>
              <w:ind w:left="2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980" w:type="dxa"/>
            <w:vAlign w:val="bottom"/>
          </w:tcPr>
          <w:p>
            <w:pPr>
              <w:ind w:left="2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Risk Factors</w:t>
              </w:r>
            </w:hyperlink>
          </w:p>
        </w:tc>
        <w:tc>
          <w:tcPr>
            <w:tcW w:w="12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tcPr>
          <w:p>
            <w:pPr>
              <w:ind w:left="2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12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980" w:type="dxa"/>
            <w:vAlign w:val="bottom"/>
          </w:tcPr>
          <w:p>
            <w:pPr>
              <w:ind w:left="2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Exhibits</w:t>
              </w:r>
            </w:hyperlink>
          </w:p>
        </w:tc>
        <w:tc>
          <w:tcPr>
            <w:tcW w:w="122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66</w:t>
              </w:r>
            </w:hyperlink>
          </w:p>
        </w:tc>
      </w:tr>
      <w:tr>
        <w:trPr>
          <w:trHeight w:val="378"/>
        </w:trPr>
        <w:tc>
          <w:tcPr>
            <w:tcW w:w="10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w:t>
              </w:r>
            </w:hyperlink>
          </w:p>
        </w:tc>
        <w:tc>
          <w:tcPr>
            <w:tcW w:w="8980" w:type="dxa"/>
            <w:vAlign w:val="bottom"/>
          </w:tcPr>
          <w:p>
            <w:pPr>
              <w:spacing w:after="0"/>
              <w:rPr>
                <w:sz w:val="24"/>
                <w:szCs w:val="24"/>
                <w:color w:val="auto"/>
              </w:rPr>
            </w:pPr>
          </w:p>
        </w:tc>
        <w:tc>
          <w:tcPr>
            <w:tcW w:w="122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r>
    </w:tbl>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240"/>
          </w:cols>
          <w:pgMar w:left="320" w:top="35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7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5,911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3,580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7,836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2,331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1,453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Net gain on divestiture</w:t>
            </w:r>
          </w:p>
        </w:tc>
        <w:tc>
          <w:tcPr>
            <w:tcW w:w="9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plan non-service income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Earnings before income taxes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5"/>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Gain/(loss) on equity method investment</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method investment net earnings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 attributable to</w:t>
            </w:r>
          </w:p>
        </w:tc>
        <w:tc>
          <w:tcPr>
            <w:tcW w:w="92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earnings per share attributable to</w:t>
            </w:r>
          </w:p>
        </w:tc>
        <w:tc>
          <w:tcPr>
            <w:tcW w:w="92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28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20" w:type="dxa"/>
            <w:vAlign w:val="bottom"/>
            <w:vMerge w:val="continue"/>
          </w:tcPr>
          <w:p>
            <w:pPr>
              <w:spacing w:after="0"/>
              <w:rPr>
                <w:sz w:val="15"/>
                <w:szCs w:val="15"/>
                <w:color w:val="auto"/>
              </w:rPr>
            </w:pPr>
          </w:p>
        </w:tc>
        <w:tc>
          <w:tcPr>
            <w:tcW w:w="920" w:type="dxa"/>
            <w:vAlign w:val="bottom"/>
            <w:vMerge w:val="restart"/>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5"/>
                <w:szCs w:val="15"/>
                <w:color w:val="auto"/>
              </w:rPr>
            </w:pP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5"/>
                <w:szCs w:val="15"/>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5"/>
                <w:szCs w:val="15"/>
                <w:color w:val="auto"/>
              </w:rPr>
            </w:pP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2"/>
        </w:trPr>
        <w:tc>
          <w:tcPr>
            <w:tcW w:w="502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5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980" w:type="dxa"/>
            <w:vAlign w:val="bottom"/>
          </w:tcPr>
          <w:p>
            <w:pPr>
              <w:spacing w:after="0"/>
              <w:rPr>
                <w:sz w:val="22"/>
                <w:szCs w:val="22"/>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98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w:t>
            </w: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35"/>
        </w:trPr>
        <w:tc>
          <w:tcPr>
            <w:tcW w:w="4980" w:type="dxa"/>
            <w:vAlign w:val="bottom"/>
          </w:tcPr>
          <w:p>
            <w:pPr>
              <w:ind w:left="180"/>
              <w:spacing w:after="0"/>
              <w:rPr>
                <w:sz w:val="20"/>
                <w:szCs w:val="20"/>
                <w:color w:val="auto"/>
              </w:rPr>
            </w:pPr>
            <w:r>
              <w:rPr>
                <w:rFonts w:ascii="Arial" w:cs="Arial" w:eastAsia="Arial" w:hAnsi="Arial"/>
                <w:sz w:val="17"/>
                <w:szCs w:val="17"/>
                <w:color w:val="auto"/>
              </w:rPr>
              <w:t>less: Comprehensive earnings/(losses) attributable to</w:t>
            </w:r>
          </w:p>
        </w:tc>
        <w:tc>
          <w:tcPr>
            <w:tcW w:w="980" w:type="dxa"/>
            <w:vAlign w:val="bottom"/>
          </w:tcPr>
          <w:p>
            <w:pPr>
              <w:spacing w:after="0"/>
              <w:rPr>
                <w:sz w:val="20"/>
                <w:szCs w:val="20"/>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noncontrolling interests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 attributable to Mondelēz</w:t>
            </w:r>
          </w:p>
        </w:tc>
        <w:tc>
          <w:tcPr>
            <w:tcW w:w="980" w:type="dxa"/>
            <w:vAlign w:val="bottom"/>
            <w:vMerge w:val="restart"/>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7"/>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355" w:right="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5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5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4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1,291</w:t>
            </w:r>
          </w:p>
        </w:tc>
      </w:tr>
      <w:tr>
        <w:trPr>
          <w:trHeight w:val="235"/>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$40 at June 30, 2020</w:t>
            </w: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$35 at December 31, 2019)</w:t>
            </w: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$40 at June 30, 2020</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520" w:type="dxa"/>
            <w:vAlign w:val="bottom"/>
          </w:tcPr>
          <w:p>
            <w:pPr>
              <w:ind w:left="320"/>
              <w:spacing w:after="0"/>
              <w:rPr>
                <w:sz w:val="20"/>
                <w:szCs w:val="20"/>
                <w:color w:val="auto"/>
              </w:rPr>
            </w:pPr>
            <w:r>
              <w:rPr>
                <w:rFonts w:ascii="Arial" w:cs="Arial" w:eastAsia="Arial" w:hAnsi="Arial"/>
                <w:sz w:val="18"/>
                <w:szCs w:val="18"/>
                <w:color w:val="auto"/>
              </w:rPr>
              <w:t>and $44 at December 31, 2019)</w:t>
            </w:r>
          </w:p>
        </w:tc>
        <w:tc>
          <w:tcPr>
            <w:tcW w:w="3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715</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866</w:t>
            </w:r>
          </w:p>
        </w:tc>
      </w:tr>
      <w:tr>
        <w:trPr>
          <w:trHeight w:val="25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7,630</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8,365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8,733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20,997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20,848</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17,957</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516</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6,659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7,178</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84"/>
        </w:trPr>
        <w:tc>
          <w:tcPr>
            <w:tcW w:w="75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64,194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64,515</w:t>
            </w:r>
          </w:p>
        </w:tc>
      </w:tr>
      <w:tr>
        <w:trPr>
          <w:trHeight w:val="237"/>
        </w:trPr>
        <w:tc>
          <w:tcPr>
            <w:tcW w:w="75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2,638</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5,853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marketing</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1,836</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Accrued employment costs</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769</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2,645</w:t>
            </w: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14,539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15,322</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14,207</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3,338</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1,190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2,351</w:t>
            </w:r>
          </w:p>
        </w:tc>
      </w:tr>
      <w:tr>
        <w:trPr>
          <w:trHeight w:val="25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37,198</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520" w:type="dxa"/>
            <w:vAlign w:val="bottom"/>
          </w:tcPr>
          <w:p>
            <w:pPr>
              <w:ind w:left="320"/>
              <w:spacing w:after="0"/>
              <w:rPr>
                <w:sz w:val="20"/>
                <w:szCs w:val="20"/>
                <w:color w:val="auto"/>
              </w:rPr>
            </w:pPr>
            <w:r>
              <w:rPr>
                <w:rFonts w:ascii="Arial" w:cs="Arial" w:eastAsia="Arial" w:hAnsi="Arial"/>
                <w:sz w:val="18"/>
                <w:szCs w:val="18"/>
                <w:color w:val="auto"/>
              </w:rPr>
              <w:t>1,996,537,778 shares issued at June 30, 2020 and December 31, 2019)</w:t>
            </w:r>
          </w:p>
        </w:tc>
        <w:tc>
          <w:tcPr>
            <w:tcW w:w="3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32,019</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27,040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26,615</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Treasury stock, at cost (568,483,191 shares at June 30, 2020 and</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561,531,524 shares at December 31, 2019)</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(21,139)</w:t>
            </w:r>
          </w:p>
        </w:tc>
      </w:tr>
      <w:tr>
        <w:trPr>
          <w:trHeight w:val="256"/>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Mondelēz International Shareholders’ Equity</w:t>
            </w:r>
          </w:p>
        </w:tc>
        <w:tc>
          <w:tcPr>
            <w:tcW w:w="3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27,241</w:t>
            </w:r>
          </w:p>
        </w:tc>
      </w:tr>
      <w:tr>
        <w:trPr>
          <w:trHeight w:val="264"/>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r>
      <w:tr>
        <w:trPr>
          <w:trHeight w:val="256"/>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26,097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27,317</w:t>
            </w:r>
          </w:p>
        </w:tc>
      </w:tr>
      <w:tr>
        <w:trPr>
          <w:trHeight w:val="243"/>
        </w:trPr>
        <w:tc>
          <w:tcPr>
            <w:tcW w:w="752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64,194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64,515</w:t>
            </w:r>
          </w:p>
        </w:tc>
      </w:tr>
      <w:tr>
        <w:trPr>
          <w:trHeight w:val="20"/>
        </w:trPr>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5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35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right="340"/>
        <w:spacing w:after="0" w:line="333" w:lineRule="auto"/>
        <w:rPr>
          <w:sz w:val="20"/>
          <w:szCs w:val="20"/>
          <w:color w:val="auto"/>
        </w:rPr>
      </w:pPr>
      <w:r>
        <w:rPr>
          <w:rFonts w:ascii="Arial" w:cs="Arial" w:eastAsia="Arial" w:hAnsi="Arial"/>
          <w:sz w:val="13"/>
          <w:szCs w:val="13"/>
          <w:b w:val="1"/>
          <w:bCs w:val="1"/>
          <w:color w:val="auto"/>
        </w:rPr>
        <w:t xml:space="preserve">Three Months Ended June 30, 2020 </w:t>
      </w:r>
      <w:r>
        <w:rPr>
          <w:rFonts w:ascii="Arial" w:cs="Arial" w:eastAsia="Arial" w:hAnsi="Arial"/>
          <w:sz w:val="13"/>
          <w:szCs w:val="13"/>
          <w:color w:val="auto"/>
        </w:rPr>
        <w:t>Balances at April 1, 2020</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8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140" w:right="140" w:hanging="104"/>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($0.285 per share)</w:t>
      </w:r>
    </w:p>
    <w:p>
      <w:pPr>
        <w:spacing w:after="0" w:line="132" w:lineRule="exact"/>
        <w:rPr>
          <w:sz w:val="20"/>
          <w:szCs w:val="20"/>
          <w:color w:val="auto"/>
        </w:rPr>
      </w:pPr>
    </w:p>
    <w:p>
      <w:pPr>
        <w:ind w:left="140" w:right="180" w:hanging="10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2020</w:t>
      </w:r>
    </w:p>
    <w:p>
      <w:pPr>
        <w:spacing w:after="0" w:line="213" w:lineRule="exact"/>
        <w:rPr>
          <w:sz w:val="20"/>
          <w:szCs w:val="20"/>
          <w:color w:val="auto"/>
        </w:rPr>
      </w:pPr>
    </w:p>
    <w:p>
      <w:pPr>
        <w:ind w:left="40" w:right="500"/>
        <w:spacing w:after="0" w:line="380" w:lineRule="auto"/>
        <w:rPr>
          <w:sz w:val="20"/>
          <w:szCs w:val="20"/>
          <w:color w:val="auto"/>
        </w:rPr>
      </w:pPr>
      <w:r>
        <w:rPr>
          <w:rFonts w:ascii="Arial" w:cs="Arial" w:eastAsia="Arial" w:hAnsi="Arial"/>
          <w:sz w:val="12"/>
          <w:szCs w:val="12"/>
          <w:b w:val="1"/>
          <w:bCs w:val="1"/>
          <w:color w:val="auto"/>
        </w:rPr>
        <w:t xml:space="preserve">Six Months Ended June 30, 2020 </w:t>
      </w:r>
      <w:r>
        <w:rPr>
          <w:rFonts w:ascii="Arial" w:cs="Arial" w:eastAsia="Arial" w:hAnsi="Arial"/>
          <w:sz w:val="12"/>
          <w:szCs w:val="12"/>
          <w:color w:val="auto"/>
        </w:rPr>
        <w:t>Balances at January 1, 2020</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8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140" w:right="140" w:hanging="104"/>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($0.57 per share)</w:t>
      </w:r>
    </w:p>
    <w:p>
      <w:pPr>
        <w:spacing w:after="0" w:line="132" w:lineRule="exact"/>
        <w:rPr>
          <w:sz w:val="20"/>
          <w:szCs w:val="20"/>
          <w:color w:val="auto"/>
        </w:rPr>
      </w:pPr>
    </w:p>
    <w:p>
      <w:pPr>
        <w:ind w:left="140" w:right="180" w:hanging="10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2020</w:t>
      </w:r>
    </w:p>
    <w:p>
      <w:pPr>
        <w:spacing w:after="0" w:line="213" w:lineRule="exact"/>
        <w:rPr>
          <w:sz w:val="20"/>
          <w:szCs w:val="20"/>
          <w:color w:val="auto"/>
        </w:rPr>
      </w:pPr>
    </w:p>
    <w:p>
      <w:pPr>
        <w:ind w:left="40" w:right="340"/>
        <w:spacing w:after="0" w:line="333" w:lineRule="auto"/>
        <w:rPr>
          <w:sz w:val="20"/>
          <w:szCs w:val="20"/>
          <w:color w:val="auto"/>
        </w:rPr>
      </w:pPr>
      <w:r>
        <w:rPr>
          <w:rFonts w:ascii="Arial" w:cs="Arial" w:eastAsia="Arial" w:hAnsi="Arial"/>
          <w:sz w:val="13"/>
          <w:szCs w:val="13"/>
          <w:b w:val="1"/>
          <w:bCs w:val="1"/>
          <w:color w:val="auto"/>
        </w:rPr>
        <w:t xml:space="preserve">Three Months Ended June 30, 2019 </w:t>
      </w:r>
      <w:r>
        <w:rPr>
          <w:rFonts w:ascii="Arial" w:cs="Arial" w:eastAsia="Arial" w:hAnsi="Arial"/>
          <w:sz w:val="13"/>
          <w:szCs w:val="13"/>
          <w:color w:val="auto"/>
        </w:rPr>
        <w:t>Balances at April 1, 2019</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8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140" w:right="140" w:hanging="104"/>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($0.26 per share)</w:t>
      </w:r>
    </w:p>
    <w:p>
      <w:pPr>
        <w:spacing w:after="0" w:line="132" w:lineRule="exact"/>
        <w:rPr>
          <w:sz w:val="20"/>
          <w:szCs w:val="20"/>
          <w:color w:val="auto"/>
        </w:rPr>
      </w:pPr>
    </w:p>
    <w:p>
      <w:pPr>
        <w:ind w:left="140" w:right="180" w:hanging="10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2019</w:t>
      </w:r>
    </w:p>
    <w:p>
      <w:pPr>
        <w:spacing w:after="0" w:line="213" w:lineRule="exact"/>
        <w:rPr>
          <w:sz w:val="20"/>
          <w:szCs w:val="20"/>
          <w:color w:val="auto"/>
        </w:rPr>
      </w:pPr>
    </w:p>
    <w:p>
      <w:pPr>
        <w:ind w:left="40" w:right="500"/>
        <w:spacing w:after="0" w:line="380" w:lineRule="auto"/>
        <w:rPr>
          <w:sz w:val="20"/>
          <w:szCs w:val="20"/>
          <w:color w:val="auto"/>
        </w:rPr>
      </w:pPr>
      <w:r>
        <w:rPr>
          <w:rFonts w:ascii="Arial" w:cs="Arial" w:eastAsia="Arial" w:hAnsi="Arial"/>
          <w:sz w:val="12"/>
          <w:szCs w:val="12"/>
          <w:b w:val="1"/>
          <w:bCs w:val="1"/>
          <w:color w:val="auto"/>
        </w:rPr>
        <w:t xml:space="preserve">Six Months Ended June 30, 2019 </w:t>
      </w:r>
      <w:r>
        <w:rPr>
          <w:rFonts w:ascii="Arial" w:cs="Arial" w:eastAsia="Arial" w:hAnsi="Arial"/>
          <w:sz w:val="12"/>
          <w:szCs w:val="12"/>
          <w:color w:val="auto"/>
        </w:rPr>
        <w:t>Balances at January 1, 2019</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8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140" w:right="140" w:hanging="104"/>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($0.52 per share)</w:t>
      </w:r>
    </w:p>
    <w:p>
      <w:pPr>
        <w:spacing w:after="0" w:line="132" w:lineRule="exact"/>
        <w:rPr>
          <w:sz w:val="20"/>
          <w:szCs w:val="20"/>
          <w:color w:val="auto"/>
        </w:rPr>
      </w:pPr>
    </w:p>
    <w:p>
      <w:pPr>
        <w:ind w:left="140" w:right="180" w:hanging="10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2019</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0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Earnings/</w:t>
            </w:r>
          </w:p>
        </w:tc>
        <w:tc>
          <w:tcPr>
            <w:tcW w:w="18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Treasury</w:t>
            </w:r>
          </w:p>
        </w:tc>
        <w:tc>
          <w:tcPr>
            <w:tcW w:w="11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Total</w:t>
            </w:r>
          </w:p>
        </w:tc>
      </w:tr>
      <w:tr>
        <w:trPr>
          <w:trHeight w:val="177"/>
        </w:trPr>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3"/>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Equity</w:t>
            </w:r>
          </w:p>
        </w:tc>
      </w:tr>
      <w:tr>
        <w:trPr>
          <w:trHeight w:val="524"/>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31,990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26,906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(11,502)</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(21,652)</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25,820</w:t>
            </w:r>
          </w:p>
        </w:tc>
      </w:tr>
      <w:tr>
        <w:trPr>
          <w:trHeight w:val="540"/>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545</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87</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56</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(409)</w:t>
            </w:r>
          </w:p>
        </w:tc>
      </w:tr>
      <w:tr>
        <w:trPr>
          <w:trHeight w:val="333"/>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27,040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(21,625)</w:t>
            </w:r>
          </w:p>
        </w:tc>
        <w:tc>
          <w:tcPr>
            <w:tcW w:w="12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26,097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32,019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26,615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(10,254)</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(21,139)</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27,317</w:t>
            </w:r>
          </w:p>
        </w:tc>
      </w:tr>
      <w:tr>
        <w:trPr>
          <w:trHeight w:val="540"/>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1,280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1,288</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(1,166)</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177</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(701)</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(817)</w:t>
            </w:r>
          </w:p>
        </w:tc>
      </w:tr>
      <w:tr>
        <w:trPr>
          <w:trHeight w:val="334"/>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23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27,040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(21,625)</w:t>
            </w:r>
          </w:p>
        </w:tc>
        <w:tc>
          <w:tcPr>
            <w:tcW w:w="12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26,097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31,933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24,910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(10,528)</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(20,561)</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25,835</w:t>
            </w:r>
          </w:p>
        </w:tc>
      </w:tr>
      <w:tr>
        <w:trPr>
          <w:trHeight w:val="540"/>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804</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155</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(276)</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(378)</w:t>
            </w:r>
          </w:p>
        </w:tc>
      </w:tr>
      <w:tr>
        <w:trPr>
          <w:trHeight w:val="334"/>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23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31,970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25,300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(20,684)</w:t>
            </w:r>
          </w:p>
        </w:tc>
        <w:tc>
          <w:tcPr>
            <w:tcW w:w="12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26,143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31,961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24,394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(10,644)</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(20,185)</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25,602</w:t>
            </w:r>
          </w:p>
        </w:tc>
      </w:tr>
      <w:tr>
        <w:trPr>
          <w:trHeight w:val="540"/>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1,770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1,777</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121</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340</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(941)</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(753)</w:t>
            </w:r>
          </w:p>
        </w:tc>
      </w:tr>
      <w:tr>
        <w:trPr>
          <w:trHeight w:val="334"/>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236"/>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25,300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(10,524)</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(20,684)</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26,143</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-6994525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-6651625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-6274435</wp:posOffset>
            </wp:positionV>
            <wp:extent cx="713232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-5897245</wp:posOffset>
            </wp:positionV>
            <wp:extent cx="71323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-5160010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-4817110</wp:posOffset>
            </wp:positionV>
            <wp:extent cx="71323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-4405630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-4062730</wp:posOffset>
            </wp:positionV>
            <wp:extent cx="71323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-3325495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-2982595</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-2571115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-2228215</wp:posOffset>
            </wp:positionV>
            <wp:extent cx="71323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-1490980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-1148080</wp:posOffset>
            </wp:positionV>
            <wp:extent cx="71323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-736600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-393700</wp:posOffset>
            </wp:positionV>
            <wp:extent cx="71323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680"/>
            <w:col w:w="8080"/>
          </w:cols>
          <w:pgMar w:left="320" w:top="355" w:right="339" w:bottom="1116"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ectPr>
          <w:pgSz w:w="11900" w:h="16838" w:orient="portrait"/>
          <w:cols w:equalWidth="0" w:num="1">
            <w:col w:w="11240"/>
          </w:cols>
          <w:pgMar w:left="320" w:top="355" w:right="339" w:bottom="1116"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355" w:right="339" w:bottom="1116"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69"/>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1,777</w:t>
            </w:r>
          </w:p>
        </w:tc>
      </w:tr>
      <w:tr>
        <w:trPr>
          <w:trHeight w:val="257"/>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517</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U.S. tax reform transition tax</w:t>
            </w:r>
          </w:p>
        </w:tc>
        <w:tc>
          <w:tcPr>
            <w:tcW w:w="1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(benefit)/provision</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 on divestiture</w:t>
            </w:r>
          </w:p>
        </w:tc>
        <w:tc>
          <w:tcPr>
            <w:tcW w:w="1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(Gain)/loss on equity method investment transactions</w:t>
            </w:r>
          </w:p>
        </w:tc>
        <w:tc>
          <w:tcPr>
            <w:tcW w:w="1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63"/>
        </w:trPr>
        <w:tc>
          <w:tcPr>
            <w:tcW w:w="752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7"/>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63"/>
        </w:trPr>
        <w:tc>
          <w:tcPr>
            <w:tcW w:w="752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64"/>
        </w:trPr>
        <w:tc>
          <w:tcPr>
            <w:tcW w:w="7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5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r>
      <w:tr>
        <w:trPr>
          <w:trHeight w:val="257"/>
        </w:trPr>
        <w:tc>
          <w:tcPr>
            <w:tcW w:w="7520" w:type="dxa"/>
            <w:vAlign w:val="bottom"/>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Acquisition, net of cash received</w:t>
            </w:r>
          </w:p>
        </w:tc>
        <w:tc>
          <w:tcPr>
            <w:tcW w:w="1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r>
      <w:tr>
        <w:trPr>
          <w:trHeight w:val="25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57"/>
        </w:trPr>
        <w:tc>
          <w:tcPr>
            <w:tcW w:w="7520" w:type="dxa"/>
            <w:vAlign w:val="bottom"/>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1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1,958</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597</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repaid</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64"/>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r>
      <w:tr>
        <w:trPr>
          <w:trHeight w:val="25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9"/>
        </w:trPr>
        <w:tc>
          <w:tcPr>
            <w:tcW w:w="75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4"/>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cash</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Increase</w:t>
            </w:r>
          </w:p>
        </w:tc>
        <w:tc>
          <w:tcPr>
            <w:tcW w:w="11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148</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r>
      <w:tr>
        <w:trPr>
          <w:trHeight w:val="244"/>
        </w:trPr>
        <w:tc>
          <w:tcPr>
            <w:tcW w:w="752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1,248</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5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35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Argentinian subsidiaries and changed their functional currency from the Argentinian peso to the U.S. dollar. On July 1, 2018, both monetary and non-monetary assets and liabilities denominated in Argentinian pesos were remeasured into U.S. dollars using the exchange rate as of the balance sheet date, with remeasurement and other transaction gains and losses recorded in net earnings. As of June 30, 2020, our Argentinian operations had $ 3 million of Argentinian peso denominated net monetary assets. Our Argentinian operations contributed $76 million, or 1.3% of consolidated net revenues in the three months and $174 million, or 1.4% of consolidated net revenues in the six months ended June 30, 2020. Within selling, general and administrative expenses, we recorded a remeasurement loss of $3 million during the three months and $5 million during the six months ended June 30, 2020 as well as a remeasurement gain of $1 million during the three months and a remeasurement loss of $ 1 million during the six months ended June 30, 2019 related to the revaluation of the Argentinian peso denominated net monetary position over these periods.</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In the six months ended June 30, 2020, we generated 8.8% of our consolidated net revenues in the United Kingdom. On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United Kingdom began the withdrawal process from the European Union under the European and U.K. Parliament approved Withdrawal Agreement. During a transition period scheduled to end on December 31, 2020, the United Kingdom will effectively remain in the E.U.’s customs union and single market while a trade deal with the European Union is negotiated. The deadline for extending the transition period was June 30, 2020 and the United Kingdom did not seek an extension. As a result, on December 31, 2020, the United Kingdom will either exit the European Union and begin a new trade relationship with the European Union or will exit without a trade deal. During the transition period, we continue to take protective measures in response to the potential impacts on our results of operations and financial condition. If the ultimate terms of the United Kingdom’s separation from the European Union negatively impact the U.K. economy or result in disruptions to sales or our supply chain,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5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impact to our results of operations and financial condition could be material. We are taking measures to increase our resources in customer service &amp; logistics together with increasing our inventory levels of imported raw materials, packaging and finished goods in the United Kingdom to help us manage through the Brexit transition and the inherent risks.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these exposures, including the impacts related to the global outbreak of the novel coronavirus (“COVID-19”) in 2020. Most countries in which we do business have recently experienced periods of significant economic uncertainty as well as exchange rate volatility. We continue to monitor COVID-19 and other impacts to our business operations, currencies and net monetary exposures in the countries in which we operate. At this time, except for Argentina which is accounted for as a highly inflationary economy, we do not anticipate any other countries in which we operate to be at risk of becoming highly inflationary countries.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and which was $29 million as of June 30, 2020 and $37 million as of December 31, 2019. Total cash, cash equivalents and restricted cash was $1,631 million as of June 30, 2020 and $1,328 million as of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Current</w:t>
            </w:r>
          </w:p>
        </w:tc>
        <w:tc>
          <w:tcPr>
            <w:tcW w:w="16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Long-Term</w:t>
            </w:r>
          </w:p>
        </w:tc>
      </w:tr>
      <w:tr>
        <w:trPr>
          <w:trHeight w:val="196"/>
        </w:trPr>
        <w:tc>
          <w:tcPr>
            <w:tcW w:w="6940" w:type="dxa"/>
            <w:vAlign w:val="bottom"/>
          </w:tcPr>
          <w:p>
            <w:pPr>
              <w:spacing w:after="0"/>
              <w:rPr>
                <w:sz w:val="17"/>
                <w:szCs w:val="17"/>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r>
      <w:tr>
        <w:trPr>
          <w:trHeight w:val="236"/>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6"/>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Current period provision for expected credit losses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charged against the allowance</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$686 million as of June 30, 2020 and $760 million as of December 31, 2019.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recorded $122 million in operating lease and $68 million in finance lease right-of-use assets obtained in exchange for lease obligations during the six months ended June 30, 2020 and $78 million in operating lease and $17 million in finance lease right-of-use assets obtained in exchange for lease obligations during the six months ended June 30, 2019.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5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that removes certain exceptions in accounting for income taxes, improves consistency in application and clarifies existing guidance. This ASU is effective for fiscal years beginning after December 15, 2020, with early adoption permitted. We do not expect this ASU to have a material impact on our consolidated financial statements.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ending after December 15, 2020, with early adoption permitted. We will adopt this standard and reflect the changes to our 2020 annual disclosures. This ASU is not expected to have an impact on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second quarter of 2020, in connection with the JDE Peet's (as defined below) transaction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we changed our accounting principle to reflect our share of Jacobs Douwe Egberts ("JDE") historical results and JDE Peet's ongoing results on a one-quarter lag basis while we continue to record dividends when cash is received. This change was applied retrospectively to all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4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$1,141 million, net of cash received. We are working to complete the valuation and have recorded a preliminary purchase price allocation of $511 million to definite-lived intangible assets, $42 million to indefinite-lived intangible assets, $530 million to goodwill, $136 million to property, plant and equipment, $71 million to operating lease right of use assets, $38 million to inventory, $29 million to accounts receivable, $3 million to other current assets, $41 million to current liabilities, $83 million to deferred tax liabilities, $66 million to long-term operating lease liabilities, $7 million to long-term debt and $19 million to long-term other liabilities. The acquisition added incremental net revenues of $91 million and an operating loss of $8 million during the three and six months ended June 30, 2020. We incurred $10 million of acquisition-related costs during the three months and $15 million during the six months ended June 30, 2020.</w:t>
      </w:r>
    </w:p>
    <w:p>
      <w:pPr>
        <w:spacing w:after="0" w:line="21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16, 2019, we acquired a majority interest in a U.S. refrigerated nutrition bar company, Perfect Snacks, within our North America segment for $284 million cash paid, net of cash received, and expanded our position in broader snacking. During the first quarter of 2020, we finalized the purchase price allocation of $31 million to definite-lived intangible assets, $107 million to indefinite-lived intangible assets, $150 million to goodwill, $ 1 million to property, plant and equipment, $12 million to inventory, $8 million to accounts receivable, $13 million to current liabilities, $ 3 million to deferred tax liabilities and $9 million to other liabilities. The acquisition added incremental net revenues of $23 million in the three months and $55 million in the six months ended June 30, 2020, and an immaterial amount of incremental operating income during the three and six months ended June 30, 2020.</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In 2019, we received cash proceeds of $161 million, $ 158 million of which was received in the second quarter of 2019, and divested $19 million of current assets and $ 96 million of non-current assets. During 2019, we recorded a net pre-tax gain of $44 million on the sale, $ 41 million of which was recorded in the second quarter of 2019. The divestiture resulted in a year-over-year decline in net revenues of $22 million during the three months and $55 million during the six months ended June 30, 2020, and a year-over-year decline in operating income of $5 million during the three months and $9 million during the six months ended June 30, 2020. During the three and six months ended June 30, 2020, we recorded a $2 million reversal of divestiture-related cost accruals no longer required. We incurred divestiture-related costs of $11 million in the three months and $10 million in the six months ended June 30, 2019.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5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June 30,</w:t>
            </w:r>
          </w:p>
        </w:tc>
        <w:tc>
          <w:tcPr>
            <w:tcW w:w="16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31"/>
        </w:trPr>
        <w:tc>
          <w:tcPr>
            <w:tcW w:w="260" w:type="dxa"/>
            <w:vAlign w:val="bottom"/>
          </w:tcPr>
          <w:p>
            <w:pPr>
              <w:spacing w:after="0"/>
              <w:rPr>
                <w:sz w:val="20"/>
                <w:szCs w:val="20"/>
                <w:color w:val="auto"/>
              </w:rPr>
            </w:pPr>
          </w:p>
        </w:tc>
        <w:tc>
          <w:tcPr>
            <w:tcW w:w="346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707</w:t>
            </w:r>
          </w:p>
        </w:tc>
      </w:tr>
      <w:tr>
        <w:trPr>
          <w:trHeight w:val="277"/>
        </w:trPr>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1,953</w:t>
            </w:r>
          </w:p>
        </w:tc>
      </w:tr>
      <w:tr>
        <w:trPr>
          <w:trHeight w:val="243"/>
        </w:trPr>
        <w:tc>
          <w:tcPr>
            <w:tcW w:w="2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2,660</w:t>
            </w:r>
          </w:p>
        </w:tc>
      </w:tr>
      <w:tr>
        <w:trPr>
          <w:trHeight w:val="277"/>
        </w:trPr>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2,546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center"/>
              <w:ind w:left="268"/>
              <w:spacing w:after="0"/>
              <w:rPr>
                <w:sz w:val="20"/>
                <w:szCs w:val="20"/>
                <w:color w:val="auto"/>
              </w:rPr>
            </w:pPr>
            <w:r>
              <w:rPr>
                <w:rFonts w:ascii="Arial" w:cs="Arial" w:eastAsia="Arial" w:hAnsi="Arial"/>
                <w:sz w:val="14"/>
                <w:szCs w:val="14"/>
                <w:b w:val="1"/>
                <w:bCs w:val="1"/>
                <w:color w:val="auto"/>
              </w:rPr>
              <w:t>As of June 30,</w:t>
            </w:r>
          </w:p>
        </w:tc>
        <w:tc>
          <w:tcPr>
            <w:tcW w:w="2300" w:type="dxa"/>
            <w:vAlign w:val="bottom"/>
          </w:tcPr>
          <w:p>
            <w:pPr>
              <w:jc w:val="center"/>
              <w:ind w:left="368"/>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3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r>
      <w:tr>
        <w:trPr>
          <w:trHeight w:val="230"/>
        </w:trPr>
        <w:tc>
          <w:tcPr>
            <w:tcW w:w="1420" w:type="dxa"/>
            <w:vAlign w:val="bottom"/>
          </w:tcPr>
          <w:p>
            <w:pPr>
              <w:spacing w:after="0"/>
              <w:rPr>
                <w:sz w:val="20"/>
                <w:szCs w:val="20"/>
                <w:color w:val="auto"/>
              </w:rPr>
            </w:pPr>
          </w:p>
        </w:tc>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p>
    <w:p>
      <w:pPr>
        <w:sectPr>
          <w:pgSz w:w="11900" w:h="16838" w:orient="portrait"/>
          <w:cols w:equalWidth="0" w:num="2">
            <w:col w:w="6800" w:space="720"/>
            <w:col w:w="3720"/>
          </w:cols>
          <w:pgMar w:left="320" w:top="355" w:right="339" w:bottom="1440" w:gutter="0" w:footer="0" w:header="0"/>
        </w:sectPr>
      </w:pPr>
    </w:p>
    <w:tbl>
      <w:tblPr>
        <w:tblLayout w:type="fixed"/>
        <w:tblInd w:w="0" w:type="dxa"/>
        <w:tblCellMar>
          <w:top w:w="0" w:type="dxa"/>
          <w:left w:w="0" w:type="dxa"/>
          <w:bottom w:w="0" w:type="dxa"/>
          <w:right w:w="0" w:type="dxa"/>
        </w:tblCellMar>
      </w:tblPr>
      <w:tr>
        <w:trPr>
          <w:trHeight w:val="262"/>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6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3,140</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6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11,295</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progress</w:t>
            </w: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r>
      <w:tr>
        <w:trPr>
          <w:trHeight w:val="256"/>
        </w:trPr>
        <w:tc>
          <w:tcPr>
            <w:tcW w:w="75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15,174</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15,537</w:t>
            </w:r>
          </w:p>
        </w:tc>
      </w:tr>
      <w:tr>
        <w:trPr>
          <w:trHeight w:val="264"/>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depreciation</w:t>
            </w: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8,365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8,733</w:t>
            </w:r>
          </w:p>
        </w:tc>
      </w:tr>
      <w:tr>
        <w:trPr>
          <w:trHeight w:val="20"/>
        </w:trPr>
        <w:tc>
          <w:tcPr>
            <w:tcW w:w="7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six months ended June 30, 2020, capital expenditures of $445 million excluded $195 million of accrued capital expenditures remaining unpaid at June 30, 2020 and included payment for $334 million of capital expenditures that were accrued and unpaid at December 31, 2019. For the six months ended June 30, 2019, capital expenditures of $465 million excluded $217 million of accrued capital expenditures remaining unpaid at June 30, 2019 and included payment for $331 million of capital expenditures that were accrued and unpaid at December 31, 2018.</w:t>
      </w:r>
    </w:p>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3"/>
        </w:trPr>
        <w:tc>
          <w:tcPr>
            <w:tcW w:w="502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37"/>
        </w:trPr>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AMEA</w:t>
            </w:r>
          </w:p>
        </w:tc>
        <w:tc>
          <w:tcPr>
            <w:tcW w:w="104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104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0"/>
        </w:trPr>
        <w:tc>
          <w:tcPr>
            <w:tcW w:w="5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51"/>
        </w:trPr>
        <w:tc>
          <w:tcPr>
            <w:tcW w:w="502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40"/>
          </w:cols>
          <w:pgMar w:left="320" w:top="35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Latin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North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Non-amortizable intangible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Amortizable intangible assets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June 30,</w:t>
            </w:r>
          </w:p>
        </w:tc>
        <w:tc>
          <w:tcPr>
            <w:tcW w:w="16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17"/>
        </w:trPr>
        <w:tc>
          <w:tcPr>
            <w:tcW w:w="260" w:type="dxa"/>
            <w:vAlign w:val="bottom"/>
          </w:tcPr>
          <w:p>
            <w:pPr>
              <w:spacing w:after="0"/>
              <w:rPr>
                <w:sz w:val="18"/>
                <w:szCs w:val="18"/>
                <w:color w:val="auto"/>
              </w:rPr>
            </w:pPr>
          </w:p>
        </w:tc>
        <w:tc>
          <w:tcPr>
            <w:tcW w:w="346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818</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3,151</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7,416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7,523</w:t>
            </w:r>
          </w:p>
        </w:tc>
      </w:tr>
      <w:tr>
        <w:trPr>
          <w:trHeight w:val="277"/>
        </w:trPr>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9,854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9,356</w:t>
            </w:r>
          </w:p>
        </w:tc>
      </w:tr>
      <w:tr>
        <w:trPr>
          <w:trHeight w:val="25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20,997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20,848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-882015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-539115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-196215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June 30,</w:t>
            </w:r>
          </w:p>
        </w:tc>
        <w:tc>
          <w:tcPr>
            <w:tcW w:w="16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03"/>
        </w:trPr>
        <w:tc>
          <w:tcPr>
            <w:tcW w:w="260" w:type="dxa"/>
            <w:vAlign w:val="bottom"/>
          </w:tcPr>
          <w:p>
            <w:pPr>
              <w:spacing w:after="0"/>
              <w:rPr>
                <w:sz w:val="17"/>
                <w:szCs w:val="17"/>
                <w:color w:val="auto"/>
              </w:rPr>
            </w:pPr>
          </w:p>
        </w:tc>
        <w:tc>
          <w:tcPr>
            <w:tcW w:w="346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16,817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17,296</w:t>
            </w:r>
          </w:p>
        </w:tc>
      </w:tr>
      <w:tr>
        <w:trPr>
          <w:trHeight w:val="277"/>
        </w:trPr>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2,374</w:t>
            </w:r>
          </w:p>
        </w:tc>
      </w:tr>
      <w:tr>
        <w:trPr>
          <w:trHeight w:val="243"/>
        </w:trPr>
        <w:tc>
          <w:tcPr>
            <w:tcW w:w="2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19,607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19,670</w:t>
            </w:r>
          </w:p>
        </w:tc>
      </w:tr>
      <w:tr>
        <w:trPr>
          <w:trHeight w:val="277"/>
        </w:trPr>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r>
      <w:tr>
        <w:trPr>
          <w:trHeight w:val="25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17,877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17,957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-882650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-539750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-196850</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720"/>
          </w:cols>
          <w:pgMar w:left="320" w:top="355" w:right="339" w:bottom="1440" w:gutter="0" w:footer="0" w:header="0"/>
        </w:sectPr>
      </w:pPr>
    </w:p>
    <w:p>
      <w:pPr>
        <w:spacing w:after="0" w:line="204"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brands, customer-related intangibles, process technology, licenses and non-compete agreements.</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Amortization expense for intangible assets was $50 million for the three months and $93 million for the six months ended June 30, 2020 and $43 million for the three months and $87 million for the six months ended June 30, 2019. For the next five years, we currently estimate annual amortization expense of approximately $190 million in 2020, approximately $120 million in 2021 and approximately $110 million in 2022-2024 (reflecting June 30, 2020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7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Assets, at cost</w:t>
            </w:r>
          </w:p>
        </w:tc>
      </w:tr>
      <w:tr>
        <w:trPr>
          <w:trHeight w:val="209"/>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8"/>
                <w:szCs w:val="18"/>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20,848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19,670</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553</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50"/>
        </w:trPr>
        <w:tc>
          <w:tcPr>
            <w:tcW w:w="7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20,997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19,607</w:t>
            </w:r>
          </w:p>
        </w:tc>
      </w:tr>
      <w:tr>
        <w:trPr>
          <w:trHeight w:val="20"/>
        </w:trPr>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jc w:val="both"/>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Acquisition – In connection with our acquisition of a majority interest in Give &amp; Go during the second quarter of 2020, we recorded a preliminary purchase price allocation of $530 million to goodwill and $553 million to intangible assets. See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4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impairments – As further described below, during the second quarter of 2020, we recorded $90 million of intangible asset impairments resulting primarily from the impacts of COVID-19 that led to lower than expected growth for six brands across our segments.</w:t>
      </w:r>
    </w:p>
    <w:p>
      <w:pPr>
        <w:sectPr>
          <w:pgSz w:w="11900" w:h="16838" w:orient="portrait"/>
          <w:cols w:equalWidth="0" w:num="1">
            <w:col w:w="11240"/>
          </w:cols>
          <w:pgMar w:left="320" w:top="355"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35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During the first six months of 2020, we evaluated our goodwill and intangible asset impairment risk using both qualitative and quantitative analysis and in light of the ongoing COVID-19 global pandemic. We will continue to monitor the potential for asset impairment risk over coming quarters.</w:t>
      </w:r>
    </w:p>
    <w:p>
      <w:pPr>
        <w:spacing w:after="0" w:line="1" w:lineRule="exact"/>
        <w:rPr>
          <w:sz w:val="20"/>
          <w:szCs w:val="20"/>
          <w:color w:val="auto"/>
        </w:rPr>
      </w:pP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 Based on the financial performance of our goodwill reporting units during the first half of 2020 and review of other significant fair value assumptions and qualitative factors, we concluded that no goodwill impairment indicators were present that would require additional goodwill impairment evaluation and that our goodwill as of June 30, 2020 is fairly stated.</w:t>
      </w:r>
    </w:p>
    <w:p>
      <w:pPr>
        <w:spacing w:after="0" w:line="1" w:lineRule="exact"/>
        <w:rPr>
          <w:rFonts w:ascii="Arial" w:cs="Arial" w:eastAsia="Arial" w:hAnsi="Arial"/>
          <w:sz w:val="18"/>
          <w:szCs w:val="18"/>
          <w:color w:val="auto"/>
        </w:rPr>
      </w:pPr>
    </w:p>
    <w:p>
      <w:pPr>
        <w:ind w:left="660" w:right="20" w:hanging="328"/>
        <w:spacing w:after="0" w:line="25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Intangible Assets – In connection with the ongoing COVID-19 global pandemic, during the second quarter of 2020, we identified a decline in demand for certain of our brands, primarily in the gum category, that prompted additional evaluation of our indefinite-life (non-amortizable) intangible assets. We estimated the fair value of the brands using several acceptable valuation methods, including relief of royalty, excess earnings and excess margin models. Those models required us to make assumptions related to the future sales and earnings growth rates for the brands, as well as royalty rates and discount rates. We made our best estimate of those assumptions using the information available; however, given the uncertainty of the global economic environment and the impact of COVID-19, those estimates could be significantly different than future performance. In certain instances, the estimated fair value of the brand was below the carrying value, which resulted in four gum brands, a small biscuit brand and a small candy brand being impaired as a result of lower than originally expected sales growth. We recorded $90 million of impairment charges: $50 million in Europe, $36 million in North America and $4 million in AMEA. The impairment charges were calculated as the excess of the carrying value over the estimated fair value of the intangible assets on a global basis and were recorded within asset impairment and exit costs.</w:t>
      </w:r>
    </w:p>
    <w:p>
      <w:pPr>
        <w:spacing w:after="0" w:line="21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During our 2019 annual testing of non-amortizable intangible assets, we recorded $57 million of impairment charges in the third quarter of 2019 related to nine gum, chocolate, biscuits and candy brands: $39 million in Europe, $15 million in AMEA and $3 million in Latin America.</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Following our 2019 and 2020 impairment testing to date, we identified eight brands with fair value in excess of book value of 10% or less that totaled $576 million of aggregate book value as of June 30, 2020. We continue to monitor our brand performance, particularly in light of the COVID-19 pandemic and related impacts to our business. While we did not identify impairment triggers for our other brands, there is significant uncertainty due to the pandemic. If the brand earnings expectations are not met or specific valuation factors outside of our control, such as discount rates, change significantly, then a brand or brands could become impaired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w:t>
      </w:r>
    </w:p>
    <w:p>
      <w:pPr>
        <w:spacing w:after="0" w:line="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Dr Pepper Inc. (NYSE: "KDP"), Dong Suh Foods Corporation and Dong Suh Oil &amp; Fats Co. Ltd. As of June 30, 2020, we owned 22.9%, 13.1%, 50.0% and 49.0%, respectively, of these companies' outstanding shares.</w:t>
      </w:r>
    </w:p>
    <w:p>
      <w:pPr>
        <w:spacing w:after="0" w:line="19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investments accounted for under the equity method of accounting totaled $6,659 million as of June 30, 2020 and $7,178 million as of December 31, 2019. We recorded equity earnings and cash dividends of $106 million and $28 million in the second quarter of 2020 and equity earnings and cash dividends of $109 million and $28 million in the second quarter of 2019. We recorded equity earnings and cash dividends of $227 million and $ 193 million in the first six months of 2020 and equity earnings and cash dividends of $275 million and $188 million in the first six months of 2019.</w:t>
      </w:r>
    </w:p>
    <w:p>
      <w:pPr>
        <w:spacing w:after="0" w:line="20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Based on the quoted closing price as of June 30, 2020, the fair value of our publicly-traded investments in KDP and JDEP was $9.9 billion, and for each investment, its fair value exceeded its carrying value.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355"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 Keurig Exchange:</w:t>
      </w:r>
    </w:p>
    <w:p>
      <w:pPr>
        <w:spacing w:after="0" w:line="2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March 7, 2016, we exchanged a portion of our 43.5% JDE equity interest for a new equity interest in Keurig Green Mountain, Inc. ("Keurig"). Following the transaction, our JDE equity interest became 26.5% and our new Keurig equity interest was 24.2%. During the first quarter of 2016, we recorded the difference between the $2.0 billion fair value of Keurig and our basis in the exchanged JDE shares as a gain of $43 million. In the second quarter of 2019, we determined an adjustment to accumulated other comprehensive losses related to our JDE investment was required, which reduced our previously reported gain by $29 million. We recorded the adjustment in the net loss on equity method transactions in the second quarter of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July 9, 2018, Keurig closed on its definitive merger agreement with Dr Pepper Snapple Group, Inc., and formed KDP, a publicly traded company. Following the close of the transaction, our 24.2% investment in Keurig together with our shareholder loan receivable became a 13.8% investment in KDP. During 2018, we recorded a net pre-tax gain of $778 million (or $586 million after-tax). 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208"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connection with this transaction, we changed our accounting principle during the third quarter of 2018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The change was retrospectively applied to all prior periods presented.</w:t>
      </w:r>
    </w:p>
    <w:p>
      <w:pPr>
        <w:spacing w:after="0" w:line="205"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During the first quarter of 2019, we recognized a pre-tax gain of $23 million (or $18 million after-tax) related to the impact of a KDP acquisition that decreased our ownership interest from 13.8% to 13.6%.</w:t>
      </w:r>
    </w:p>
    <w:p>
      <w:pPr>
        <w:spacing w:after="0" w:line="19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first quarter of 2020. We continue to retain significant influence.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19, 2020, JDE Peet’s B.V. (renamed JDE Peet’s N.V. immediately prior to Settlement (as defined below), “JDE Peet’s”) announced its intention to launch an offering of its ordinary shares (the “offering”) and to apply for admission to listing and trading of all of its ordinary shares on Euronext Amsterdam, a regulated market operated by Euronext Amsterdam N.V. (the “admission”). On May 26, 2020, JDE Peet’s published a prospectus in connection with the offering and the admission. On May 29, 2020, JDE Peet’s announced the final pricing terms of the offering, and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Prior to Settlement, we exchanged our 26.4% ownership interest in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€46 million ($51 million) upon exercise of the over-allotment option. Following Settlement and the exercise of the over-allotment option, we hold a 22.9% equity interest in JDE Peet’s. As a result of the Settlement and the subsequent sale of shares, we recorded a preliminary gain of $121 million, net of $33 million released from accumulated other comprehensive losses, and $48 million of transaction costs.</w:t>
      </w:r>
    </w:p>
    <w:p>
      <w:pPr>
        <w:spacing w:after="0" w:line="2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was the case in our ownership interest in JDE, we have significant influence with respect to JDE Peet’s, and we will continue to account for our investment in JDE Peet’s under the equity method, resulting in recognizing our share of JDE Peet’s earnings within our earnings and our share of JDE Peet’s dividends within our cash flows. In connection with this transaction, we changed our accounting principle to reflect our share of JDE’s historical and JDE Peet’s ongoing earnings on a one-quarter lag basis, although we continue to record dividends when cash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5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received. We determined a lag was preferable as it enables us to continue to report our quarterly and annual results on a timely basis, while recording our share of JDE Peet’s ongoing results after JDE Peet’s has publicly reported its results. This change in accounting principle was applied retrospectively to all periods.</w:t>
      </w:r>
    </w:p>
    <w:p>
      <w:pPr>
        <w:spacing w:after="0" w:line="20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following tables show the primary line items on the condensed consolidated statements of earnings and comprehensive earnings and the condensed consolidated balance sheet that changed as a result of the lag. The condensed consolidated statements of cash flow and equity were also updated to reflect these changes.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June 30, 2019</w:t>
            </w:r>
          </w:p>
        </w:tc>
      </w:tr>
      <w:tr>
        <w:trPr>
          <w:trHeight w:val="264"/>
        </w:trPr>
        <w:tc>
          <w:tcPr>
            <w:tcW w:w="50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Recast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As Recast</w:t>
            </w:r>
          </w:p>
        </w:tc>
      </w:tr>
      <w:tr>
        <w:trPr>
          <w:trHeight w:val="250"/>
        </w:trPr>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gridSpan w:val="7"/>
          </w:tcPr>
          <w:p>
            <w:pPr>
              <w:jc w:val="right"/>
              <w:ind w:right="373"/>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63"/>
        </w:trPr>
        <w:tc>
          <w:tcPr>
            <w:tcW w:w="5020" w:type="dxa"/>
            <w:vAlign w:val="bottom"/>
          </w:tcPr>
          <w:p>
            <w:pPr>
              <w:ind w:left="280"/>
              <w:spacing w:after="0"/>
              <w:rPr>
                <w:sz w:val="20"/>
                <w:szCs w:val="20"/>
                <w:color w:val="auto"/>
              </w:rPr>
            </w:pPr>
            <w:r>
              <w:rPr>
                <w:rFonts w:ascii="Arial" w:cs="Arial" w:eastAsia="Arial" w:hAnsi="Arial"/>
                <w:sz w:val="18"/>
                <w:szCs w:val="18"/>
                <w:color w:val="auto"/>
              </w:rPr>
              <w:t>Equity method investment net earnings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113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560" w:type="dxa"/>
            <w:vAlign w:val="bottom"/>
          </w:tcPr>
          <w:p>
            <w:pPr>
              <w:jc w:val="right"/>
              <w:ind w:right="153"/>
              <w:spacing w:after="0"/>
              <w:rPr>
                <w:sz w:val="20"/>
                <w:szCs w:val="20"/>
                <w:color w:val="auto"/>
              </w:rPr>
            </w:pPr>
            <w:r>
              <w:rPr>
                <w:rFonts w:ascii="Arial" w:cs="Arial" w:eastAsia="Arial" w:hAnsi="Arial"/>
                <w:sz w:val="18"/>
                <w:szCs w:val="18"/>
                <w:color w:val="auto"/>
                <w:w w:val="99"/>
              </w:rPr>
              <w:t>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275</w:t>
            </w:r>
          </w:p>
        </w:tc>
      </w:tr>
      <w:tr>
        <w:trPr>
          <w:trHeight w:val="27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808</w:t>
            </w: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1,777</w:t>
            </w:r>
          </w:p>
        </w:tc>
      </w:tr>
      <w:tr>
        <w:trPr>
          <w:trHeight w:val="229"/>
        </w:trPr>
        <w:tc>
          <w:tcPr>
            <w:tcW w:w="5020" w:type="dxa"/>
            <w:vAlign w:val="bottom"/>
          </w:tcPr>
          <w:p>
            <w:pPr>
              <w:ind w:left="280"/>
              <w:spacing w:after="0"/>
              <w:rPr>
                <w:sz w:val="20"/>
                <w:szCs w:val="20"/>
                <w:color w:val="auto"/>
              </w:rPr>
            </w:pPr>
            <w:r>
              <w:rPr>
                <w:rFonts w:ascii="Arial" w:cs="Arial" w:eastAsia="Arial" w:hAnsi="Arial"/>
                <w:sz w:val="18"/>
                <w:szCs w:val="18"/>
                <w:color w:val="auto"/>
              </w:rPr>
              <w:t>Net earnings attributable to</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502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807</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53"/>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1,770</w:t>
            </w:r>
          </w:p>
        </w:tc>
      </w:tr>
      <w:tr>
        <w:trPr>
          <w:trHeight w:val="235"/>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Earnings per share attributable to</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3"/>
        </w:trPr>
        <w:tc>
          <w:tcPr>
            <w:tcW w:w="5020" w:type="dxa"/>
            <w:vAlign w:val="bottom"/>
          </w:tcPr>
          <w:p>
            <w:pPr>
              <w:ind w:left="600"/>
              <w:spacing w:after="0"/>
              <w:rPr>
                <w:sz w:val="20"/>
                <w:szCs w:val="20"/>
                <w:color w:val="auto"/>
              </w:rPr>
            </w:pPr>
            <w:r>
              <w:rPr>
                <w:rFonts w:ascii="Arial" w:cs="Arial" w:eastAsia="Arial" w:hAnsi="Arial"/>
                <w:sz w:val="18"/>
                <w:szCs w:val="18"/>
                <w:color w:val="auto"/>
              </w:rPr>
              <w:t>Basic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0.56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53"/>
              <w:spacing w:after="0"/>
              <w:rPr>
                <w:sz w:val="20"/>
                <w:szCs w:val="20"/>
                <w:color w:val="auto"/>
              </w:rPr>
            </w:pP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77"/>
        </w:trPr>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324"/>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Other 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3"/>
        </w:trPr>
        <w:tc>
          <w:tcPr>
            <w:tcW w:w="5020" w:type="dxa"/>
            <w:vAlign w:val="bottom"/>
          </w:tcPr>
          <w:p>
            <w:pPr>
              <w:ind w:left="280"/>
              <w:spacing w:after="0"/>
              <w:rPr>
                <w:sz w:val="20"/>
                <w:szCs w:val="20"/>
                <w:color w:val="auto"/>
              </w:rPr>
            </w:pPr>
            <w:r>
              <w:rPr>
                <w:rFonts w:ascii="Arial" w:cs="Arial" w:eastAsia="Arial" w:hAnsi="Arial"/>
                <w:sz w:val="18"/>
                <w:szCs w:val="18"/>
                <w:color w:val="auto"/>
              </w:rPr>
              <w:t>Currency translation adjustment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560" w:type="dxa"/>
            <w:vAlign w:val="bottom"/>
          </w:tcPr>
          <w:p>
            <w:pPr>
              <w:jc w:val="right"/>
              <w:ind w:right="153"/>
              <w:spacing w:after="0"/>
              <w:rPr>
                <w:sz w:val="20"/>
                <w:szCs w:val="20"/>
                <w:color w:val="auto"/>
              </w:rPr>
            </w:pPr>
            <w:r>
              <w:rPr>
                <w:rFonts w:ascii="Arial" w:cs="Arial" w:eastAsia="Arial" w:hAnsi="Arial"/>
                <w:sz w:val="18"/>
                <w:szCs w:val="18"/>
                <w:color w:val="auto"/>
                <w:w w:val="99"/>
              </w:rPr>
              <w:t>157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193</w:t>
            </w:r>
          </w:p>
        </w:tc>
      </w:tr>
      <w:tr>
        <w:trPr>
          <w:trHeight w:val="27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Pension and other benefit plans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63"/>
        </w:trPr>
        <w:tc>
          <w:tcPr>
            <w:tcW w:w="5020" w:type="dxa"/>
            <w:vAlign w:val="bottom"/>
          </w:tcPr>
          <w:p>
            <w:pPr>
              <w:ind w:left="280"/>
              <w:spacing w:after="0"/>
              <w:rPr>
                <w:sz w:val="20"/>
                <w:szCs w:val="20"/>
                <w:color w:val="auto"/>
              </w:rPr>
            </w:pPr>
            <w:r>
              <w:rPr>
                <w:rFonts w:ascii="Arial" w:cs="Arial" w:eastAsia="Arial" w:hAnsi="Arial"/>
                <w:sz w:val="18"/>
                <w:szCs w:val="18"/>
                <w:color w:val="auto"/>
              </w:rPr>
              <w:t>Derivative cash flow hedges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9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other comprehensive earnings/(losses)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229"/>
        </w:trPr>
        <w:tc>
          <w:tcPr>
            <w:tcW w:w="5020" w:type="dxa"/>
            <w:vAlign w:val="bottom"/>
          </w:tcPr>
          <w:p>
            <w:pPr>
              <w:ind w:left="280"/>
              <w:spacing w:after="0"/>
              <w:rPr>
                <w:sz w:val="20"/>
                <w:szCs w:val="20"/>
                <w:color w:val="auto"/>
              </w:rPr>
            </w:pPr>
            <w:r>
              <w:rPr>
                <w:rFonts w:ascii="Arial" w:cs="Arial" w:eastAsia="Arial" w:hAnsi="Arial"/>
                <w:sz w:val="18"/>
                <w:szCs w:val="18"/>
                <w:color w:val="auto"/>
              </w:rPr>
              <w:t>Comprehensive earnings/(losses) attributable to</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7"/>
        </w:trPr>
        <w:tc>
          <w:tcPr>
            <w:tcW w:w="502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53"/>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1,890</w:t>
            </w:r>
          </w:p>
        </w:tc>
      </w:tr>
      <w:tr>
        <w:trPr>
          <w:trHeight w:val="413"/>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As of December 31, 2019</w:t>
            </w:r>
          </w:p>
        </w:tc>
      </w:tr>
      <w:tr>
        <w:trPr>
          <w:trHeight w:val="263"/>
        </w:trPr>
        <w:tc>
          <w:tcPr>
            <w:tcW w:w="5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7,212</w:t>
            </w:r>
          </w:p>
        </w:tc>
        <w:tc>
          <w:tcPr>
            <w:tcW w:w="5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7,178</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64,515</w:t>
            </w: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26,653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26,615</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433"/>
              <w:spacing w:after="0"/>
              <w:rPr>
                <w:sz w:val="20"/>
                <w:szCs w:val="20"/>
                <w:color w:val="auto"/>
              </w:rPr>
            </w:pPr>
            <w:r>
              <w:rPr>
                <w:rFonts w:ascii="Arial" w:cs="Arial" w:eastAsia="Arial" w:hAnsi="Arial"/>
                <w:sz w:val="18"/>
                <w:szCs w:val="18"/>
                <w:color w:val="auto"/>
              </w:rPr>
              <w:t>(10,258)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Total Mondelēz International shareholders' equity</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27,275</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27,241</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27,317</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ectPr>
          <w:pgSz w:w="11900" w:h="16838" w:orient="portrait"/>
          <w:cols w:equalWidth="0" w:num="1">
            <w:col w:w="11240"/>
          </w:cols>
          <w:pgMar w:left="320" w:top="355"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35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$4.5 billion related to the Simplify to Grow Program. We expect to incur the program charges by year-end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six months ended June 30, 2020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and related</w:t>
            </w:r>
          </w:p>
        </w:tc>
        <w:tc>
          <w:tcPr>
            <w:tcW w:w="2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6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Write-downs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10"/>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2020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r>
      <w:tr>
        <w:trPr>
          <w:trHeight w:val="263"/>
        </w:trPr>
        <w:tc>
          <w:tcPr>
            <w:tcW w:w="6280" w:type="dxa"/>
            <w:vAlign w:val="bottom"/>
          </w:tcPr>
          <w:p>
            <w:pPr>
              <w:ind w:left="18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7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628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Liability balance, June 30, 2020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252</w:t>
            </w: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340" w:right="28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restructuring charges of $28 million in the second quarter of 2020 and $20 million in the second quarter of 2019 and $43 million in the first six months of 2020 and $40 million in the first six months of 2019 within asset impairment and exit costs and benefit plan non-service income.</w:t>
      </w:r>
    </w:p>
    <w:p>
      <w:pPr>
        <w:spacing w:after="0" w:line="1"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spent $32 million in the second quarter of 2020 and $36 million in the second quarter of 2019 and $69 million in the first six months of 2020 and $89 million in the first six months of 2019 in cash severance and related costs.</w:t>
      </w:r>
    </w:p>
    <w:p>
      <w:pPr>
        <w:ind w:left="340" w:right="120" w:hanging="332"/>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We also recognized non-cash pension settlement losses (refer to Note 10, </w:t>
      </w:r>
      <w:r>
        <w:rPr>
          <w:rFonts w:ascii="Arial" w:cs="Arial" w:eastAsia="Arial" w:hAnsi="Arial"/>
          <w:sz w:val="17"/>
          <w:szCs w:val="17"/>
          <w:i w:val="1"/>
          <w:iCs w:val="1"/>
          <w:color w:val="auto"/>
        </w:rPr>
        <w:t>Benefit Plans</w:t>
      </w:r>
      <w:r>
        <w:rPr>
          <w:rFonts w:ascii="Arial" w:cs="Arial" w:eastAsia="Arial" w:hAnsi="Arial"/>
          <w:sz w:val="17"/>
          <w:szCs w:val="17"/>
          <w:color w:val="auto"/>
        </w:rPr>
        <w:t>), non-cash asset write-downs (including accelerated depreciation and asset impairments) and other non-cash adjustments totaling $11 million in the second quarter of 2020 and $6 million in the second quarter of 2019 and $14 million in the first six months of 2020 and $35 million in the first six months of 2019.</w:t>
      </w:r>
    </w:p>
    <w:p>
      <w:pPr>
        <w:ind w:left="340" w:right="20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June 30, 2020, $220 million of our net restructuring liability was recorded within other current liabilities and $32 million was recorded within other long-term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$52 million in the second quarter of 2020 and $68 million in the second quarter of 2019 and $95 million in the first six months of 2020 and $ 118 million in the first six months of 2019. We recorded these costs within cost of sales and general corporate expense within selling, general and administrative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5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three and six months ended June 30, 2020 and June 30, 2019, and since inception of the Simplify to Grow Program, we recorded the following restructuring and implementation costs within segment operating income and earnings before income taxes: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3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30, 2020</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83"/>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r>
      <w:tr>
        <w:trPr>
          <w:trHeight w:val="167"/>
        </w:trPr>
        <w:tc>
          <w:tcPr>
            <w:tcW w:w="324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Three Months Ended June</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30, 2019</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83"/>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r>
      <w:tr>
        <w:trPr>
          <w:trHeight w:val="167"/>
        </w:trPr>
        <w:tc>
          <w:tcPr>
            <w:tcW w:w="324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Six Months Ended June 30,</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2020</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83"/>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w:t>
            </w:r>
          </w:p>
        </w:tc>
      </w:tr>
      <w:tr>
        <w:trPr>
          <w:trHeight w:val="167"/>
        </w:trPr>
        <w:tc>
          <w:tcPr>
            <w:tcW w:w="324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Six Months Ended June 30,</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83"/>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r>
      <w:tr>
        <w:trPr>
          <w:trHeight w:val="25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2,769</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1,709</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4,478</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5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2"/>
          </w:tcPr>
          <w:p>
            <w:pPr>
              <w:jc w:val="right"/>
              <w:ind w:right="781"/>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4"/>
                <w:szCs w:val="14"/>
                <w:b w:val="1"/>
                <w:bCs w:val="1"/>
                <w:color w:val="auto"/>
              </w:rPr>
              <w:t>As of December 31, 2019</w:t>
            </w:r>
          </w:p>
        </w:tc>
      </w:tr>
      <w:tr>
        <w:trPr>
          <w:trHeight w:val="175"/>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Amount</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Amount</w:t>
            </w:r>
          </w:p>
        </w:tc>
        <w:tc>
          <w:tcPr>
            <w:tcW w:w="1640" w:type="dxa"/>
            <w:vAlign w:val="bottom"/>
          </w:tcPr>
          <w:p>
            <w:pPr>
              <w:jc w:val="right"/>
              <w:ind w:right="339"/>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4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Outstanding</w:t>
            </w:r>
          </w:p>
        </w:tc>
        <w:tc>
          <w:tcPr>
            <w:tcW w:w="1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Outstanding</w:t>
            </w: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Average Rate</w:t>
            </w:r>
          </w:p>
        </w:tc>
      </w:tr>
      <w:tr>
        <w:trPr>
          <w:trHeight w:val="250"/>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(in millions, except percentages)</w:t>
            </w:r>
          </w:p>
        </w:tc>
        <w:tc>
          <w:tcPr>
            <w:tcW w:w="1640" w:type="dxa"/>
            <w:vAlign w:val="bottom"/>
          </w:tcPr>
          <w:p>
            <w:pPr>
              <w:spacing w:after="0"/>
              <w:rPr>
                <w:sz w:val="21"/>
                <w:szCs w:val="21"/>
                <w:color w:val="auto"/>
              </w:rPr>
            </w:pPr>
          </w:p>
        </w:tc>
      </w:tr>
      <w:tr>
        <w:trPr>
          <w:trHeight w:val="276"/>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2,682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2,581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73</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57</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2,755</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2,638</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June 30, 2020, commercial paper issued and outstanding had between 1 and 154 days remaining to maturity. Commercial paper borrowings since year end increased to finance the payment of long-term debt maturities, share repurchases and dividend payments offset in part by proceeds from issuances of long-term debt and operating cash flows.</w:t>
      </w:r>
    </w:p>
    <w:p>
      <w:pPr>
        <w:spacing w:after="0" w:line="20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$1.5 billion at June 30, 2020 and $1.7 billion at December 31, 2019. Borrowings on these lines were $73 million at June 30, 2020 and $57 million at December 31, 2019.</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March 24, 2020, we entered into a $1.75 billion revolving credit agreement for a 364-day senior unsecured credit facility that expires on March 23, 2021. On April 1, 2020, we increased the credit facility from $1.75 billion to $ 1.95 billion. The agreement includes the same terms and conditions as our existing $4.5 billion multi-year credit facility discussed below with the exception that proceeds from a long-term debt issuance would be used to reduce the credit facility. As of June 30, 2020, no amounts were drawn on the facility. On July 2, 2020 we issued $1.0 billion of long-term debt and reduced the size of the credit facility to $0.95 billion.</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March 6, 2020, we entered into a $2.5 billion credit agreement for a 364-day unsecured credit facility that expires on March 5, 2021. The agreement includes the same terms and conditions as our existing $4.5 billion multi-year credit facility discussed below with the exception that proceeds from a long-term debt issuance would be used to reduce the credit facility. On May 6, 2020, we terminated this facility after issuing long-term debt and repaying previous drawdowns.</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February 26, 2020, we entered into a $1.5 billion revolving credit agreement for a 364-day senior unsecured credit facility that expires on February 24, 2021. The agreement replaces our previous credit agreement that was scheduled to expire on February 26, 2020 and includes the same terms and conditions as our existing $4.5 billion multi-year credit facility discussed below. As of June 30, 2020, no amounts were drawn on the facility.</w:t>
      </w:r>
    </w:p>
    <w:p>
      <w:pPr>
        <w:spacing w:after="0" w:line="20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The credit facility is scheduled to expire on February 27, 2024.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June 30, 2020, we complied with this covenant as our shareholders' equity, as defined by the covenant, was $37.4 billion. The revolving credit facility also contains customary representations, covenants and events of default. There are no credit rating triggers, provisions or other financial covenants that could require us to post collateral as security. As of June 30, 2020, no amounts were drawn on the facility.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5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July 2, 2020, we issued $1.0 billion of 0.625% U.S. dollar-denominated notes that mature on July 1, 2022. We received proceeds of $998.1 million, net of discounts and associated financing costs. The proceeds were used to repay outstanding commercial paper borrowings and for general corporate purposes. We recorded approximately $1.9 million of discounts and deferred financing costs that will be amortized evenly into interest expense over the life of the notes.</w:t>
      </w:r>
    </w:p>
    <w:p>
      <w:pPr>
        <w:spacing w:after="0" w:line="2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On May 7, 2020, $750 million of our 3.000% U.S. dollar-denominated notes matured. The notes and accrued interest to date were paid with the issuance of commercial paper and cash on hand.</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4, 2020, we issued an $750 million of 1.500% U.S. dollar-denominated notes that mature on May 4, 2025. We received proceeds of $743.9 million, net of discounts and associated financing costs. The proceeds were used to repay amounts outstanding under our revolving credit agreement and commercial paper borrowings and used for general corporate purposes. We recorded approximately $6.1 million of discounts and deferred financing costs that will be amortized evenly into interest expense over the life of the notes.</w:t>
      </w:r>
    </w:p>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April 13, 2020, we issued $500 million of 2.750% U.S. dollar-denominated notes that mature on April 13, 2030. On May 4, 2020, we issued an additional $ 750 million of notes bringing the aggregate principal issued and due on April 13, 2030 to $1.25 billion. We received proceeds of $1,283.9 million, net of premium and associated financing costs. The proceeds were used to repay amounts outstanding under our revolving credit agreement and commercial paper borrowings and for general corporate purposes. We recorded approximately $33.9 million of premium and deferred financing costs that will be amortized evenly into interest expense over the life of the notes.</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13, 2020, we issued $500 million of 2.125% U.S. dollar-denominated notes that mature on April 13, 2023. We received proceeds of $497.8 million, net of discounts and associated financing costs. The proceeds were used to repay amounts outstanding under our revolving credit agreement. We recorded approximately $2.2 million of discounts and deferred financing costs that will be amortized evenly into interest expense over the life of the notes.</w:t>
      </w:r>
    </w:p>
    <w:p>
      <w:pPr>
        <w:spacing w:after="0" w:line="2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March 30, 2020, fr225 million (or $235 million) of our 0.05% Swiss franc notes matured. The notes and accrued interest to date were paid from the amounts drawn on our 364-day revolving credit facility, commercial paper and cash on hand.</w:t>
      </w:r>
    </w:p>
    <w:p>
      <w:pPr>
        <w:spacing w:after="0" w:line="19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On February 10, 2020, $427 million of our 5.375% U.S. dollar notes matured. The bonds and accrued interest to date were paid with the issuance of commercial paper and cash on hand.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fair value of our short-term borrowings at June 30, 2020 and December 31, 2019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June 30, 2020, the aggregate fair value of our total debt was $21,055 million and its carrying value was $19,704 million. At December 31, 2019, the aggregate fair value of our total debt was $19,388 million and its carrying value was $18,426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3"/>
        </w:trPr>
        <w:tc>
          <w:tcPr>
            <w:tcW w:w="50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09"/>
        </w:trPr>
        <w:tc>
          <w:tcPr>
            <w:tcW w:w="5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debt</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Loss related to interest rate swaps</w:t>
            </w: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181</w:t>
            </w:r>
          </w:p>
        </w:tc>
      </w:tr>
      <w:tr>
        <w:trPr>
          <w:trHeight w:val="20"/>
        </w:trPr>
        <w:tc>
          <w:tcPr>
            <w:tcW w:w="5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Other income includes amounts excluded from hedge effectiveness related to our net investment hedge derivative contracts and totaled $31 million and $64 million for the three and six months ended June 30, 2020 and $34 million and $67 million for the three and six months ended June 30,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5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As of December 31, 2019</w:t>
            </w:r>
          </w:p>
        </w:tc>
      </w:tr>
      <w:tr>
        <w:trPr>
          <w:trHeight w:val="175"/>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5"/>
                <w:szCs w:val="15"/>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09"/>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52"/>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190</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r>
      <w:tr>
        <w:trPr>
          <w:trHeight w:val="243"/>
        </w:trPr>
        <w:tc>
          <w:tcPr>
            <w:tcW w:w="45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255</w:t>
            </w:r>
          </w:p>
        </w:tc>
      </w:tr>
      <w:tr>
        <w:trPr>
          <w:trHeight w:val="193"/>
        </w:trPr>
        <w:tc>
          <w:tcPr>
            <w:tcW w:w="4580" w:type="dxa"/>
            <w:vAlign w:val="bottom"/>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Derivatives not designated as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52"/>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50</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r>
      <w:tr>
        <w:trPr>
          <w:trHeight w:val="250"/>
        </w:trPr>
        <w:tc>
          <w:tcPr>
            <w:tcW w:w="45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170</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200" w:hanging="332"/>
        <w:spacing w:after="0" w:line="24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and commodity derivative contracts are economic hedges that are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As of June 30, 2020</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Inputs</w:t>
            </w:r>
          </w:p>
        </w:tc>
      </w:tr>
      <w:tr>
        <w:trPr>
          <w:trHeight w:val="196"/>
        </w:trPr>
        <w:tc>
          <w:tcPr>
            <w:tcW w:w="4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r>
      <w:tr>
        <w:trPr>
          <w:trHeight w:val="209"/>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6"/>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60" w:type="dxa"/>
            <w:vAlign w:val="bottom"/>
          </w:tcPr>
          <w:p>
            <w:pPr>
              <w:spacing w:after="0"/>
              <w:rPr>
                <w:sz w:val="22"/>
                <w:szCs w:val="22"/>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9"/>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20"/>
          </w:cols>
          <w:pgMar w:left="320" w:top="35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Inputs</w:t>
            </w:r>
          </w:p>
        </w:tc>
      </w:tr>
      <w:tr>
        <w:trPr>
          <w:trHeight w:val="196"/>
        </w:trPr>
        <w:tc>
          <w:tcPr>
            <w:tcW w:w="4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6"/>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60" w:type="dxa"/>
            <w:vAlign w:val="bottom"/>
          </w:tcPr>
          <w:p>
            <w:pPr>
              <w:spacing w:after="0"/>
              <w:rPr>
                <w:sz w:val="22"/>
                <w:szCs w:val="22"/>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4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60" w:type="dxa"/>
            <w:vAlign w:val="bottom"/>
          </w:tcPr>
          <w:p>
            <w:pPr>
              <w:spacing w:after="0"/>
              <w:rPr>
                <w:sz w:val="22"/>
                <w:szCs w:val="22"/>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center"/>
              <w:ind w:left="695"/>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7"/>
                <w:szCs w:val="17"/>
                <w:color w:val="auto"/>
              </w:rPr>
            </w:pPr>
          </w:p>
        </w:tc>
      </w:tr>
      <w:tr>
        <w:trPr>
          <w:trHeight w:val="263"/>
        </w:trPr>
        <w:tc>
          <w:tcPr>
            <w:tcW w:w="5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As of June 30, 2020</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2019</w:t>
            </w:r>
          </w:p>
        </w:tc>
      </w:tr>
      <w:tr>
        <w:trPr>
          <w:trHeight w:val="209"/>
        </w:trPr>
        <w:tc>
          <w:tcPr>
            <w:tcW w:w="5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left="675"/>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2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63"/>
        </w:trPr>
        <w:tc>
          <w:tcPr>
            <w:tcW w:w="5240" w:type="dxa"/>
            <w:vAlign w:val="bottom"/>
          </w:tcPr>
          <w:p>
            <w:pPr>
              <w:ind w:left="260"/>
              <w:spacing w:after="0"/>
              <w:rPr>
                <w:sz w:val="20"/>
                <w:szCs w:val="20"/>
                <w:color w:val="auto"/>
              </w:rPr>
            </w:pPr>
            <w:r>
              <w:rPr>
                <w:rFonts w:ascii="Arial" w:cs="Arial" w:eastAsia="Arial" w:hAnsi="Arial"/>
                <w:sz w:val="18"/>
                <w:szCs w:val="18"/>
                <w:color w:val="auto"/>
              </w:rPr>
              <w:t>Intercompany loans and forecasted interest payments</w:t>
            </w:r>
          </w:p>
        </w:tc>
        <w:tc>
          <w:tcPr>
            <w:tcW w:w="2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2,195</w:t>
            </w:r>
          </w:p>
        </w:tc>
        <w:tc>
          <w:tcPr>
            <w:tcW w:w="98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2,474</w:t>
            </w:r>
          </w:p>
        </w:tc>
      </w:tr>
      <w:tr>
        <w:trPr>
          <w:trHeight w:val="277"/>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2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4,217</w:t>
            </w:r>
          </w:p>
        </w:tc>
        <w:tc>
          <w:tcPr>
            <w:tcW w:w="9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2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7,967</w:t>
            </w:r>
          </w:p>
        </w:tc>
        <w:tc>
          <w:tcPr>
            <w:tcW w:w="9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7,238</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2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4,250</w:t>
            </w:r>
          </w:p>
        </w:tc>
        <w:tc>
          <w:tcPr>
            <w:tcW w:w="9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investment hedges:</w:t>
            </w:r>
          </w:p>
        </w:tc>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investment hedge derivative contracts</w:t>
            </w:r>
          </w:p>
        </w:tc>
        <w:tc>
          <w:tcPr>
            <w:tcW w:w="2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6,909</w:t>
            </w:r>
          </w:p>
        </w:tc>
        <w:tc>
          <w:tcPr>
            <w:tcW w:w="9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6,864</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Non-U.S. dollar debt designated as net investment hedges</w:t>
            </w:r>
          </w:p>
        </w:tc>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 notes</w:t>
            </w:r>
          </w:p>
        </w:tc>
        <w:tc>
          <w:tcPr>
            <w:tcW w:w="2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3,723</w:t>
            </w:r>
          </w:p>
        </w:tc>
        <w:tc>
          <w:tcPr>
            <w:tcW w:w="9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3,436</w:t>
            </w:r>
          </w:p>
        </w:tc>
      </w:tr>
      <w:tr>
        <w:trPr>
          <w:trHeight w:val="263"/>
        </w:trPr>
        <w:tc>
          <w:tcPr>
            <w:tcW w:w="5240" w:type="dxa"/>
            <w:vAlign w:val="bottom"/>
          </w:tcPr>
          <w:p>
            <w:pPr>
              <w:ind w:left="460"/>
              <w:spacing w:after="0"/>
              <w:rPr>
                <w:sz w:val="20"/>
                <w:szCs w:val="20"/>
                <w:color w:val="auto"/>
              </w:rPr>
            </w:pPr>
            <w:r>
              <w:rPr>
                <w:rFonts w:ascii="Arial" w:cs="Arial" w:eastAsia="Arial" w:hAnsi="Arial"/>
                <w:sz w:val="18"/>
                <w:szCs w:val="18"/>
                <w:color w:val="auto"/>
              </w:rPr>
              <w:t>British pound sterling notes</w:t>
            </w:r>
          </w:p>
        </w:tc>
        <w:tc>
          <w:tcPr>
            <w:tcW w:w="2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326</w:t>
            </w:r>
          </w:p>
        </w:tc>
        <w:tc>
          <w:tcPr>
            <w:tcW w:w="9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7"/>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Swiss franc notes</w:t>
            </w:r>
          </w:p>
        </w:tc>
        <w:tc>
          <w:tcPr>
            <w:tcW w:w="2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1,240</w:t>
            </w:r>
          </w:p>
        </w:tc>
        <w:tc>
          <w:tcPr>
            <w:tcW w:w="9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r>
      <w:tr>
        <w:trPr>
          <w:trHeight w:val="256"/>
        </w:trPr>
        <w:tc>
          <w:tcPr>
            <w:tcW w:w="5240" w:type="dxa"/>
            <w:vAlign w:val="bottom"/>
          </w:tcPr>
          <w:p>
            <w:pPr>
              <w:ind w:left="460"/>
              <w:spacing w:after="0"/>
              <w:rPr>
                <w:sz w:val="20"/>
                <w:szCs w:val="20"/>
                <w:color w:val="auto"/>
              </w:rPr>
            </w:pPr>
            <w:r>
              <w:rPr>
                <w:rFonts w:ascii="Arial" w:cs="Arial" w:eastAsia="Arial" w:hAnsi="Arial"/>
                <w:sz w:val="18"/>
                <w:szCs w:val="18"/>
                <w:color w:val="auto"/>
              </w:rPr>
              <w:t>Canadian dollar notes</w:t>
            </w:r>
          </w:p>
        </w:tc>
        <w:tc>
          <w:tcPr>
            <w:tcW w:w="2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442</w:t>
            </w:r>
          </w:p>
        </w:tc>
        <w:tc>
          <w:tcPr>
            <w:tcW w:w="9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878"/>
        </w:trPr>
        <w:tc>
          <w:tcPr>
            <w:tcW w:w="5240" w:type="dxa"/>
            <w:vAlign w:val="bottom"/>
          </w:tcPr>
          <w:p>
            <w:pPr>
              <w:spacing w:after="0"/>
              <w:rPr>
                <w:sz w:val="24"/>
                <w:szCs w:val="24"/>
                <w:color w:val="auto"/>
              </w:rPr>
            </w:pPr>
          </w:p>
        </w:tc>
        <w:tc>
          <w:tcPr>
            <w:tcW w:w="2280" w:type="dxa"/>
            <w:vAlign w:val="bottom"/>
          </w:tcPr>
          <w:p>
            <w:pPr>
              <w:jc w:val="right"/>
              <w:ind w:right="171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0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09"/>
        </w:trPr>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Transfer of realized losses/(gains) in fair value</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020" w:type="dxa"/>
            <w:vAlign w:val="bottom"/>
          </w:tcPr>
          <w:p>
            <w:pPr>
              <w:ind w:left="320"/>
              <w:spacing w:after="0"/>
              <w:rPr>
                <w:sz w:val="20"/>
                <w:szCs w:val="20"/>
                <w:color w:val="auto"/>
              </w:rPr>
            </w:pPr>
            <w:r>
              <w:rPr>
                <w:rFonts w:ascii="Arial" w:cs="Arial" w:eastAsia="Arial" w:hAnsi="Arial"/>
                <w:sz w:val="18"/>
                <w:szCs w:val="18"/>
                <w:color w:val="auto"/>
              </w:rPr>
              <w:t>to earnings</w:t>
            </w:r>
          </w:p>
        </w:tc>
        <w:tc>
          <w:tcPr>
            <w:tcW w:w="96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(loss)/gain in fair value</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4"/>
        </w:trPr>
        <w:tc>
          <w:tcPr>
            <w:tcW w:w="502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96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5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0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3"/>
          </w:tcPr>
          <w:p>
            <w:pPr>
              <w:jc w:val="center"/>
              <w:ind w:right="359"/>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3"/>
        </w:trPr>
        <w:tc>
          <w:tcPr>
            <w:tcW w:w="5020" w:type="dxa"/>
            <w:vAlign w:val="bottom"/>
          </w:tcPr>
          <w:p>
            <w:pPr>
              <w:spacing w:after="0"/>
              <w:rPr>
                <w:sz w:val="22"/>
                <w:szCs w:val="22"/>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10"/>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06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161"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Within interest and other expense, net, during the six months ended June 30, 2020, we recognized an after-tax loss of $79 million ($103 million pre-tax) in the first quarter of 2020 related to certain forward-starting interest rate swaps for which the planned tenor of the related forecasted debt was changed.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3"/>
        </w:trPr>
        <w:tc>
          <w:tcPr>
            <w:tcW w:w="5020" w:type="dxa"/>
            <w:vAlign w:val="bottom"/>
          </w:tcPr>
          <w:p>
            <w:pPr>
              <w:spacing w:after="0"/>
              <w:rPr>
                <w:sz w:val="22"/>
                <w:szCs w:val="22"/>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0"/>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w:t>
            </w: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6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r>
      <w:tr>
        <w:trPr>
          <w:trHeight w:val="26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contracts</w:t>
            </w:r>
          </w:p>
        </w:tc>
        <w:tc>
          <w:tcPr>
            <w:tcW w:w="106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13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Based on current market conditions, we would expect to transfer losses of $19 million (net of taxes) for interest rate cash flow hedges to earnings during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of June 30, 2020, our longest dated cash flow hedges were interest rate swaps that hedge forecasted interest rate payments over the next 4 years and 3 months.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5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The aggregate notional value as of June 30, 2020 was $6.9 billion. The impacts of the net investment hedge derivative contracts on other comprehensive earnings and net earnings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2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3"/>
          </w:tcPr>
          <w:p>
            <w:pPr>
              <w:jc w:val="center"/>
              <w:ind w:right="359"/>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020" w:type="dxa"/>
            <w:vAlign w:val="bottom"/>
          </w:tcPr>
          <w:p>
            <w:pPr>
              <w:spacing w:after="0"/>
              <w:rPr>
                <w:sz w:val="22"/>
                <w:szCs w:val="22"/>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09"/>
        </w:trPr>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217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w:t>
            </w:r>
          </w:p>
        </w:tc>
      </w:tr>
    </w:tbl>
    <w:p>
      <w:pPr>
        <w:spacing w:after="0" w:line="167" w:lineRule="exact"/>
        <w:rPr>
          <w:sz w:val="20"/>
          <w:szCs w:val="20"/>
          <w:color w:val="auto"/>
        </w:rPr>
      </w:pPr>
    </w:p>
    <w:p>
      <w:pPr>
        <w:ind w:left="340" w:right="120" w:hanging="332"/>
        <w:spacing w:after="0" w:line="25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2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3"/>
          </w:tcPr>
          <w:p>
            <w:pPr>
              <w:jc w:val="center"/>
              <w:ind w:right="359"/>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02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09"/>
        </w:trPr>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excluded from the assessment of</w:t>
            </w: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3"/>
        </w:trPr>
        <w:tc>
          <w:tcPr>
            <w:tcW w:w="502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w:t>
            </w:r>
          </w:p>
        </w:tc>
        <w:tc>
          <w:tcPr>
            <w:tcW w:w="11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w:t>
            </w:r>
          </w:p>
        </w:tc>
      </w:tr>
    </w:tbl>
    <w:p>
      <w:pPr>
        <w:spacing w:after="0" w:line="16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elected to record changes in the fair value of amounts excluded from the assessment of effectiveness in net earnings within interest and other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center"/>
              <w:ind w:left="177"/>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gridSpan w:val="4"/>
          </w:tcPr>
          <w:p>
            <w:pPr>
              <w:jc w:val="center"/>
              <w:ind w:right="25"/>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565"/>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(55)</w:t>
            </w:r>
          </w:p>
        </w:tc>
        <w:tc>
          <w:tcPr>
            <w:tcW w:w="6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CCEEFF"/>
          </w:tcPr>
          <w:p>
            <w:pPr>
              <w:jc w:val="right"/>
              <w:ind w:right="90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334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17</w:t>
            </w:r>
          </w:p>
        </w:tc>
        <w:tc>
          <w:tcPr>
            <w:tcW w:w="1180" w:type="dxa"/>
            <w:vAlign w:val="bottom"/>
          </w:tcPr>
          <w:p>
            <w:pPr>
              <w:spacing w:after="0"/>
              <w:rPr>
                <w:sz w:val="22"/>
                <w:szCs w:val="22"/>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(14)</w:t>
            </w:r>
          </w:p>
        </w:tc>
        <w:tc>
          <w:tcPr>
            <w:tcW w:w="6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(12)</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15</w:t>
            </w:r>
          </w:p>
        </w:tc>
        <w:tc>
          <w:tcPr>
            <w:tcW w:w="11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661"/>
        </w:trPr>
        <w:tc>
          <w:tcPr>
            <w:tcW w:w="334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40" w:type="dxa"/>
            <w:vAlign w:val="bottom"/>
            <w:gridSpan w:val="7"/>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340" w:type="dxa"/>
            <w:vAlign w:val="bottom"/>
          </w:tcPr>
          <w:p>
            <w:pPr>
              <w:spacing w:after="0"/>
              <w:rPr>
                <w:sz w:val="24"/>
                <w:szCs w:val="24"/>
                <w:color w:val="auto"/>
              </w:rPr>
            </w:pPr>
          </w:p>
        </w:tc>
        <w:tc>
          <w:tcPr>
            <w:tcW w:w="2800" w:type="dxa"/>
            <w:vAlign w:val="bottom"/>
            <w:gridSpan w:val="6"/>
          </w:tcPr>
          <w:p>
            <w:pPr>
              <w:jc w:val="center"/>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67"/>
        </w:trPr>
        <w:tc>
          <w:tcPr>
            <w:tcW w:w="3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5"/>
          </w:tcPr>
          <w:p>
            <w:pPr>
              <w:jc w:val="right"/>
              <w:ind w:right="442"/>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rPr>
              <w:t>Intercompany loans and</w:t>
            </w:r>
          </w:p>
        </w:tc>
        <w:tc>
          <w:tcPr>
            <w:tcW w:w="920" w:type="dxa"/>
            <w:vAlign w:val="bottom"/>
            <w:vMerge w:val="restart"/>
          </w:tcPr>
          <w:p>
            <w:pPr>
              <w:jc w:val="right"/>
              <w:ind w:right="719"/>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216"/>
        </w:trPr>
        <w:tc>
          <w:tcPr>
            <w:tcW w:w="334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9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center"/>
              <w:ind w:right="25"/>
              <w:spacing w:after="0"/>
              <w:rPr>
                <w:sz w:val="20"/>
                <w:szCs w:val="20"/>
                <w:color w:val="auto"/>
              </w:rPr>
            </w:pPr>
            <w:r>
              <w:rPr>
                <w:rFonts w:ascii="Arial" w:cs="Arial" w:eastAsia="Arial" w:hAnsi="Arial"/>
                <w:sz w:val="14"/>
                <w:szCs w:val="14"/>
                <w:color w:val="auto"/>
              </w:rPr>
              <w:t>net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25"/>
              <w:spacing w:after="0"/>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340" w:type="dxa"/>
            <w:vAlign w:val="bottom"/>
            <w:vMerge w:val="restart"/>
          </w:tcPr>
          <w:p>
            <w:pPr>
              <w:ind w:left="260"/>
              <w:spacing w:after="0"/>
              <w:rPr>
                <w:sz w:val="20"/>
                <w:szCs w:val="20"/>
                <w:color w:val="auto"/>
              </w:rPr>
            </w:pPr>
            <w:r>
              <w:rPr>
                <w:rFonts w:ascii="Arial" w:cs="Arial" w:eastAsia="Arial" w:hAnsi="Arial"/>
                <w:sz w:val="18"/>
                <w:szCs w:val="18"/>
                <w:color w:val="auto"/>
              </w:rPr>
              <w:t>Forecasted transactions</w:t>
            </w:r>
          </w:p>
        </w:tc>
        <w:tc>
          <w:tcPr>
            <w:tcW w:w="92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8"/>
        </w:trPr>
        <w:tc>
          <w:tcPr>
            <w:tcW w:w="33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center"/>
              <w:ind w:right="25"/>
              <w:spacing w:after="0"/>
              <w:rPr>
                <w:sz w:val="20"/>
                <w:szCs w:val="20"/>
                <w:color w:val="auto"/>
              </w:rPr>
            </w:pPr>
            <w:r>
              <w:rPr>
                <w:rFonts w:ascii="Arial" w:cs="Arial" w:eastAsia="Arial" w:hAnsi="Arial"/>
                <w:sz w:val="14"/>
                <w:szCs w:val="14"/>
                <w:color w:val="auto"/>
              </w:rPr>
              <w:t>net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34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rPr>
              <w:t>Selling, general and</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4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25"/>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35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U.S. Plans</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17"/>
                <w:szCs w:val="17"/>
                <w:color w:val="auto"/>
              </w:rPr>
            </w:pPr>
          </w:p>
        </w:tc>
      </w:tr>
      <w:tr>
        <w:trPr>
          <w:trHeight w:val="175"/>
        </w:trPr>
        <w:tc>
          <w:tcPr>
            <w:tcW w:w="4980" w:type="dxa"/>
            <w:vAlign w:val="bottom"/>
          </w:tcPr>
          <w:p>
            <w:pPr>
              <w:spacing w:after="0"/>
              <w:rPr>
                <w:sz w:val="15"/>
                <w:szCs w:val="15"/>
                <w:color w:val="auto"/>
              </w:rPr>
            </w:pPr>
          </w:p>
        </w:tc>
        <w:tc>
          <w:tcPr>
            <w:tcW w:w="256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5"/>
                <w:szCs w:val="15"/>
                <w:color w:val="auto"/>
              </w:rPr>
            </w:pPr>
          </w:p>
        </w:tc>
      </w:tr>
      <w:tr>
        <w:trPr>
          <w:trHeight w:val="196"/>
        </w:trPr>
        <w:tc>
          <w:tcPr>
            <w:tcW w:w="4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Borders>
              <w:bottom w:val="single" w:sz="8" w:color="auto"/>
            </w:tcBorders>
          </w:tcPr>
          <w:p>
            <w:pPr>
              <w:spacing w:after="0"/>
              <w:rPr>
                <w:sz w:val="17"/>
                <w:szCs w:val="17"/>
                <w:color w:val="auto"/>
              </w:rPr>
            </w:pPr>
          </w:p>
        </w:tc>
      </w:tr>
      <w:tr>
        <w:trPr>
          <w:trHeight w:val="264"/>
        </w:trPr>
        <w:tc>
          <w:tcPr>
            <w:tcW w:w="498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6"/>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from experience differences</w:t>
            </w: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Prior service cost/(benefit)</w:t>
            </w:r>
          </w:p>
        </w:tc>
        <w:tc>
          <w:tcPr>
            <w:tcW w:w="98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21"/>
        </w:trPr>
        <w:tc>
          <w:tcPr>
            <w:tcW w:w="4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U.S. Plans</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24"/>
                <w:szCs w:val="24"/>
                <w:color w:val="auto"/>
              </w:rPr>
            </w:pPr>
          </w:p>
        </w:tc>
      </w:tr>
      <w:tr>
        <w:trPr>
          <w:trHeight w:val="175"/>
        </w:trPr>
        <w:tc>
          <w:tcPr>
            <w:tcW w:w="4980" w:type="dxa"/>
            <w:vAlign w:val="bottom"/>
          </w:tcPr>
          <w:p>
            <w:pPr>
              <w:spacing w:after="0"/>
              <w:rPr>
                <w:sz w:val="15"/>
                <w:szCs w:val="15"/>
                <w:color w:val="auto"/>
              </w:rPr>
            </w:pPr>
          </w:p>
        </w:tc>
        <w:tc>
          <w:tcPr>
            <w:tcW w:w="256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15"/>
                <w:szCs w:val="15"/>
                <w:color w:val="auto"/>
              </w:rPr>
            </w:pPr>
          </w:p>
        </w:tc>
      </w:tr>
      <w:tr>
        <w:trPr>
          <w:trHeight w:val="196"/>
        </w:trPr>
        <w:tc>
          <w:tcPr>
            <w:tcW w:w="4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Borders>
              <w:bottom w:val="single" w:sz="8" w:color="auto"/>
            </w:tcBorders>
          </w:tcPr>
          <w:p>
            <w:pPr>
              <w:spacing w:after="0"/>
              <w:rPr>
                <w:sz w:val="17"/>
                <w:szCs w:val="17"/>
                <w:color w:val="auto"/>
              </w:rPr>
            </w:pPr>
          </w:p>
        </w:tc>
      </w:tr>
      <w:tr>
        <w:trPr>
          <w:trHeight w:val="264"/>
        </w:trPr>
        <w:tc>
          <w:tcPr>
            <w:tcW w:w="498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0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75"/>
        </w:trPr>
        <w:tc>
          <w:tcPr>
            <w:tcW w:w="49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02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9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Net loss from experience differences</w:t>
            </w:r>
          </w:p>
        </w:tc>
        <w:tc>
          <w:tcPr>
            <w:tcW w:w="98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7"/>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Prior service cost/(credit)</w:t>
            </w:r>
          </w:p>
        </w:tc>
        <w:tc>
          <w:tcPr>
            <w:tcW w:w="9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0"/>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20" w:hanging="332"/>
        <w:spacing w:after="0" w:line="25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connection with our Simplify to Grow Program, settlement losses and other expenses were $4 million for the three and six months ended June 30, 2020 and $5 million for the three and six months ended June 30, 2019. These losses were recorded within benefit plan non-service income on our condensed consolidated statements of earnings.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six months ended June 30, 2020, we contributed $11 million to our U.S. pension plans and $104 million to our non-U.S. pension plans, including $50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June 30, 2020, over the remainder of 2020, we plan to make further contributions of approximately $5 million to our U.S. plans and approximately $86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20" w:top="355" w:right="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Within selling, general and administrative expenses, we recorded a $35 million ($ 26 million net of tax) adjustment in the three months ended June 30, 2019 related to the discounted withdrawal liability. We recorded accreted interest of $3 million and $6 million for the three and six months ended June 30, 2020 and an immaterial amount for the three and six months ended June 30, 2019 on the long-term liability within interest and other expense, net. As of June 30, 2020, the remaining discounted withdrawal liability was $383 million, with $14 million recorded in other current liabilities and $369 million recorded in long-term other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center"/>
              <w:ind w:right="35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20" w:type="dxa"/>
            <w:vAlign w:val="bottom"/>
          </w:tcPr>
          <w:p>
            <w:pPr>
              <w:spacing w:after="0"/>
              <w:rPr>
                <w:sz w:val="22"/>
                <w:szCs w:val="22"/>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6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22"/>
                <w:szCs w:val="22"/>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Net loss from experience differences</w:t>
            </w:r>
          </w:p>
        </w:tc>
        <w:tc>
          <w:tcPr>
            <w:tcW w:w="1060" w:type="dxa"/>
            <w:vAlign w:val="bottom"/>
          </w:tcPr>
          <w:p>
            <w:pPr>
              <w:spacing w:after="0"/>
              <w:rPr>
                <w:sz w:val="22"/>
                <w:szCs w:val="22"/>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Prior service credit</w:t>
            </w:r>
          </w:p>
        </w:tc>
        <w:tc>
          <w:tcPr>
            <w:tcW w:w="10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106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20" w:type="dxa"/>
            <w:vAlign w:val="bottom"/>
          </w:tcPr>
          <w:p>
            <w:pPr>
              <w:spacing w:after="0"/>
              <w:rPr>
                <w:sz w:val="24"/>
                <w:szCs w:val="2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gridSpan w:val="4"/>
          </w:tcPr>
          <w:p>
            <w:pPr>
              <w:jc w:val="center"/>
              <w:ind w:right="35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20" w:type="dxa"/>
            <w:vAlign w:val="bottom"/>
          </w:tcPr>
          <w:p>
            <w:pPr>
              <w:spacing w:after="0"/>
              <w:rPr>
                <w:sz w:val="22"/>
                <w:szCs w:val="22"/>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6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22"/>
                <w:szCs w:val="22"/>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net gains</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5020" w:type="dxa"/>
            <w:vAlign w:val="bottom"/>
          </w:tcPr>
          <w:p>
            <w:pPr>
              <w:ind w:left="40"/>
              <w:spacing w:after="0"/>
              <w:rPr>
                <w:sz w:val="20"/>
                <w:szCs w:val="20"/>
                <w:color w:val="auto"/>
              </w:rPr>
            </w:pPr>
            <w:r>
              <w:rPr>
                <w:rFonts w:ascii="Arial" w:cs="Arial" w:eastAsia="Arial" w:hAnsi="Arial"/>
                <w:sz w:val="18"/>
                <w:szCs w:val="18"/>
                <w:color w:val="auto"/>
              </w:rPr>
              <w:t>Net periodic postemployment cost</w:t>
            </w:r>
          </w:p>
        </w:tc>
        <w:tc>
          <w:tcPr>
            <w:tcW w:w="106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020" w:type="dxa"/>
            <w:vAlign w:val="bottom"/>
          </w:tcPr>
          <w:p>
            <w:pPr>
              <w:spacing w:after="0"/>
              <w:rPr>
                <w:sz w:val="24"/>
                <w:szCs w:val="24"/>
                <w:color w:val="auto"/>
              </w:rPr>
            </w:pPr>
          </w:p>
        </w:tc>
        <w:tc>
          <w:tcPr>
            <w:tcW w:w="1060" w:type="dxa"/>
            <w:vAlign w:val="bottom"/>
          </w:tcPr>
          <w:p>
            <w:pPr>
              <w:jc w:val="right"/>
              <w:ind w:right="278"/>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 or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4"/>
                <w:szCs w:val="14"/>
                <w:color w:val="auto"/>
              </w:rPr>
            </w:pPr>
          </w:p>
        </w:tc>
        <w:tc>
          <w:tcPr>
            <w:tcW w:w="1540" w:type="dxa"/>
            <w:vAlign w:val="bottom"/>
          </w:tcPr>
          <w:p>
            <w:pPr>
              <w:jc w:val="center"/>
              <w:ind w:right="25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Price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4"/>
                <w:szCs w:val="14"/>
                <w:color w:val="auto"/>
              </w:rPr>
            </w:pPr>
          </w:p>
        </w:tc>
        <w:tc>
          <w:tcPr>
            <w:tcW w:w="1540" w:type="dxa"/>
            <w:vAlign w:val="bottom"/>
          </w:tcPr>
          <w:p>
            <w:pPr>
              <w:jc w:val="center"/>
              <w:ind w:right="25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33,855,948</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5 years</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640 million</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2,280,440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59.04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130,280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49.14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2,410,720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58.51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(4,929,885)</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29.38</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133 million</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(387,998)</w:t>
            </w:r>
          </w:p>
        </w:tc>
        <w:tc>
          <w:tcPr>
            <w:tcW w:w="16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7"/>
              </w:rPr>
              <w:t>42.55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30,948,785</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38.93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6 years</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396 million</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220" w:hanging="332"/>
        <w:spacing w:after="0" w:line="24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received from options exercised was $23 million in the three months and $142 million in the six months ended June 30, 2020. The actual tax benefit realized and recorded in the provision for income taxes for the tax deductions from the option exercises totaled $1 million in the three months and $18 million in the six months ended June 30,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2020</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660" w:type="dxa"/>
            <w:vAlign w:val="bottom"/>
          </w:tcPr>
          <w:p>
            <w:pPr>
              <w:jc w:val="center"/>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2"/>
        </w:trPr>
        <w:tc>
          <w:tcPr>
            <w:tcW w:w="142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240" w:type="dxa"/>
            <w:vAlign w:val="bottom"/>
          </w:tcPr>
          <w:p>
            <w:pPr>
              <w:spacing w:after="0"/>
              <w:rPr>
                <w:sz w:val="17"/>
                <w:szCs w:val="17"/>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5,661,945</w:t>
            </w: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$46.90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Feb. 20, 2020</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20" w:type="dxa"/>
            <w:vAlign w:val="bottom"/>
            <w:vMerge w:val="restart"/>
          </w:tcPr>
          <w:p>
            <w:pPr>
              <w:jc w:val="right"/>
              <w:ind w:right="34"/>
              <w:spacing w:after="0"/>
              <w:rPr>
                <w:sz w:val="20"/>
                <w:szCs w:val="20"/>
                <w:color w:val="auto"/>
              </w:rPr>
            </w:pPr>
            <w:r>
              <w:rPr>
                <w:rFonts w:ascii="Arial" w:cs="Arial" w:eastAsia="Arial" w:hAnsi="Arial"/>
                <w:sz w:val="18"/>
                <w:szCs w:val="18"/>
                <w:color w:val="auto"/>
              </w:rPr>
              <w:t>825,230</w:t>
            </w:r>
          </w:p>
        </w:tc>
        <w:tc>
          <w:tcPr>
            <w:tcW w:w="1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Pr>
          <w:p>
            <w:pPr>
              <w:jc w:val="right"/>
              <w:ind w:right="34"/>
              <w:spacing w:after="0"/>
              <w:rPr>
                <w:sz w:val="20"/>
                <w:szCs w:val="20"/>
                <w:color w:val="auto"/>
              </w:rPr>
            </w:pPr>
            <w:r>
              <w:rPr>
                <w:rFonts w:ascii="Arial" w:cs="Arial" w:eastAsia="Arial" w:hAnsi="Arial"/>
                <w:sz w:val="18"/>
                <w:szCs w:val="18"/>
                <w:color w:val="auto"/>
              </w:rPr>
              <w:t>545,550</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354,041</w:t>
            </w:r>
          </w:p>
        </w:tc>
        <w:tc>
          <w:tcPr>
            <w:tcW w:w="10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Various</w:t>
            </w:r>
          </w:p>
        </w:tc>
        <w:tc>
          <w:tcPr>
            <w:tcW w:w="1420" w:type="dxa"/>
            <w:vAlign w:val="bottom"/>
          </w:tcPr>
          <w:p>
            <w:pPr>
              <w:jc w:val="center"/>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jc w:val="right"/>
              <w:ind w:right="34"/>
              <w:spacing w:after="0"/>
              <w:rPr>
                <w:sz w:val="20"/>
                <w:szCs w:val="20"/>
                <w:color w:val="auto"/>
              </w:rPr>
            </w:pPr>
            <w:r>
              <w:rPr>
                <w:rFonts w:ascii="Arial" w:cs="Arial" w:eastAsia="Arial" w:hAnsi="Arial"/>
                <w:sz w:val="18"/>
                <w:szCs w:val="18"/>
                <w:color w:val="auto"/>
              </w:rPr>
              <w:t>1,724,821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107 million</w:t>
            </w:r>
          </w:p>
        </w:tc>
        <w:tc>
          <w:tcPr>
            <w:tcW w:w="0" w:type="dxa"/>
            <w:vAlign w:val="bottom"/>
          </w:tcPr>
          <w:p>
            <w:pPr>
              <w:spacing w:after="0"/>
              <w:rPr>
                <w:sz w:val="1"/>
                <w:szCs w:val="1"/>
                <w:color w:val="auto"/>
              </w:rPr>
            </w:pPr>
          </w:p>
        </w:tc>
      </w:tr>
      <w:tr>
        <w:trPr>
          <w:trHeight w:val="270"/>
        </w:trPr>
        <w:tc>
          <w:tcPr>
            <w:tcW w:w="1420" w:type="dxa"/>
            <w:vAlign w:val="bottom"/>
          </w:tcPr>
          <w:p>
            <w:pPr>
              <w:jc w:val="right"/>
              <w:spacing w:after="0"/>
              <w:rPr>
                <w:sz w:val="20"/>
                <w:szCs w:val="20"/>
                <w:color w:val="auto"/>
              </w:rPr>
            </w:pPr>
            <w:r>
              <w:rPr>
                <w:rFonts w:ascii="Arial" w:cs="Arial" w:eastAsia="Arial" w:hAnsi="Arial"/>
                <w:sz w:val="18"/>
                <w:szCs w:val="18"/>
                <w:color w:val="auto"/>
              </w:rPr>
              <w:t>(1,689,895)</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73 million</w:t>
            </w:r>
          </w:p>
        </w:tc>
        <w:tc>
          <w:tcPr>
            <w:tcW w:w="0" w:type="dxa"/>
            <w:vAlign w:val="bottom"/>
          </w:tcPr>
          <w:p>
            <w:pPr>
              <w:spacing w:after="0"/>
              <w:rPr>
                <w:sz w:val="1"/>
                <w:szCs w:val="1"/>
                <w:color w:val="auto"/>
              </w:rPr>
            </w:pPr>
          </w:p>
        </w:tc>
      </w:tr>
      <w:tr>
        <w:trPr>
          <w:trHeight w:val="277"/>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(319,574)</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5,377,297</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-1593850</wp:posOffset>
            </wp:positionV>
            <wp:extent cx="71323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-1224915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-882015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-539115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-196850</wp:posOffset>
            </wp:positionV>
            <wp:extent cx="71323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960" w:space="720"/>
            <w:col w:w="6560"/>
          </w:cols>
          <w:pgMar w:left="320" w:top="355" w:right="339" w:bottom="1440" w:gutter="0" w:footer="0" w:header="0"/>
          <w:type w:val="continuous"/>
        </w:sect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less than $1 million in the three months and $3 million in the six months ended June 30, 2020.</w:t>
      </w:r>
    </w:p>
    <w:p>
      <w:pPr>
        <w:ind w:left="340" w:right="40" w:hanging="332"/>
        <w:spacing w:after="0" w:line="247"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2020, we had repurchased $ 16.5 billion of Common Stock pursuant to this authorization. During the six months ended June 30, 2020, we repurchased approximately 12.9 million shares of Common Stock at an average cost of $54.25 per share, or an aggregate cost of approximately $0.7 billion, all of which was paid during the period. All share repurchases were funded through available cash and commercial paper issuances. As of June 30, 2020, we have $2.5 billion in remaining share repurchase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5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1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w:t>
      </w:r>
    </w:p>
    <w:p>
      <w:pPr>
        <w:spacing w:after="0" w:line="1" w:lineRule="exact"/>
        <w:rPr>
          <w:sz w:val="20"/>
          <w:szCs w:val="20"/>
          <w:color w:val="auto"/>
        </w:rPr>
      </w:pPr>
    </w:p>
    <w:p>
      <w:pPr>
        <w:ind w:right="20" w:firstLine="8"/>
        <w:spacing w:after="0" w:line="251"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w:t>
      </w:r>
      <w:r>
        <w:rPr>
          <w:rFonts w:ascii="Arial" w:cs="Arial" w:eastAsia="Arial" w:hAnsi="Arial"/>
          <w:sz w:val="18"/>
          <w:szCs w:val="18"/>
          <w:color w:val="212529"/>
        </w:rPr>
        <w:t>but indicated that it would rule on pending motions in due course</w:t>
      </w:r>
      <w:r>
        <w:rPr>
          <w:rFonts w:ascii="Arial" w:cs="Arial" w:eastAsia="Arial" w:hAnsi="Arial"/>
          <w:sz w:val="18"/>
          <w:szCs w:val="18"/>
          <w:color w:val="auto"/>
        </w:rPr>
        <w: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District Court. On January 3, 2020, the District Court granted plantiffs'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We are cooperating with the investigation and expect to engage further with the European Commission as their investigation proceeds. It is not possible to predict how long the investigation will take or the ultimate outcome of this matter.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5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June 30, 2020, we had no material third-party guarantees recorded on our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35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15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$62 million in the second quarter of 2020 and $59 million in the second quarter of 2019 and $166 million in the first six months of 2020 and $88 million in the first six months of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252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r>
      <w:tr>
        <w:trPr>
          <w:trHeight w:val="264"/>
        </w:trPr>
        <w:tc>
          <w:tcPr>
            <w:tcW w:w="4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248"/>
        </w:trPr>
        <w:tc>
          <w:tcPr>
            <w:tcW w:w="4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8"/>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Currency Translation Adjustments: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Balance at beginning of period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(9,686)</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(8,458)</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(8,622)</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Currency translation adjustments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Reclassification to earnings related to:</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Equity method investment transactions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 (expense)/benefit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r>
      <w:tr>
        <w:trPr>
          <w:trHeight w:val="25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earnings/(losses)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r>
      <w:tr>
        <w:trPr>
          <w:trHeight w:val="194"/>
        </w:trPr>
        <w:tc>
          <w:tcPr>
            <w:tcW w:w="4980" w:type="dxa"/>
            <w:vAlign w:val="bottom"/>
          </w:tcPr>
          <w:p>
            <w:pPr>
              <w:ind w:left="180"/>
              <w:spacing w:after="0"/>
              <w:rPr>
                <w:sz w:val="20"/>
                <w:szCs w:val="20"/>
                <w:color w:val="auto"/>
              </w:rPr>
            </w:pPr>
            <w:r>
              <w:rPr>
                <w:rFonts w:ascii="Arial" w:cs="Arial" w:eastAsia="Arial" w:hAnsi="Arial"/>
                <w:sz w:val="14"/>
                <w:szCs w:val="14"/>
                <w:color w:val="auto"/>
              </w:rPr>
              <w:t>Less: other comprehensive (earnings)/loss attributable to</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8"/>
        </w:trPr>
        <w:tc>
          <w:tcPr>
            <w:tcW w:w="49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at end of period</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(9,609)</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(8,430)</w:t>
            </w:r>
          </w:p>
        </w:tc>
      </w:tr>
      <w:tr>
        <w:trPr>
          <w:trHeight w:val="257"/>
        </w:trPr>
        <w:tc>
          <w:tcPr>
            <w:tcW w:w="4980" w:type="dxa"/>
            <w:vAlign w:val="bottom"/>
          </w:tcPr>
          <w:p>
            <w:pPr>
              <w:ind w:left="40"/>
              <w:spacing w:after="0"/>
              <w:rPr>
                <w:sz w:val="20"/>
                <w:szCs w:val="20"/>
                <w:color w:val="auto"/>
              </w:rPr>
            </w:pPr>
            <w:r>
              <w:rPr>
                <w:rFonts w:ascii="Arial" w:cs="Arial" w:eastAsia="Arial" w:hAnsi="Arial"/>
                <w:sz w:val="14"/>
                <w:szCs w:val="14"/>
                <w:b w:val="1"/>
                <w:bCs w:val="1"/>
                <w:color w:val="auto"/>
              </w:rPr>
              <w:t>Pension and Other Benefit Plans: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at beginning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Net actuarial gain/(loss) arising during period</w:t>
            </w:r>
          </w:p>
        </w:tc>
        <w:tc>
          <w:tcPr>
            <w:tcW w:w="32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(expense)/benefit on net actuarial gain/(loss)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Losses/(gains) reclassified into net earnings: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195"/>
        </w:trPr>
        <w:tc>
          <w:tcPr>
            <w:tcW w:w="4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experience losses</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4980" w:type="dxa"/>
            <w:vAlign w:val="bottom"/>
            <w:shd w:val="clear" w:color="auto" w:fill="CCEEFF"/>
          </w:tcPr>
          <w:p>
            <w:pPr>
              <w:ind w:left="500"/>
              <w:spacing w:after="0" w:line="189" w:lineRule="exact"/>
              <w:rPr>
                <w:sz w:val="20"/>
                <w:szCs w:val="20"/>
                <w:color w:val="auto"/>
              </w:rPr>
            </w:pPr>
            <w:r>
              <w:rPr>
                <w:rFonts w:ascii="Arial" w:cs="Arial" w:eastAsia="Arial" w:hAnsi="Arial"/>
                <w:sz w:val="14"/>
                <w:szCs w:val="14"/>
                <w:color w:val="auto"/>
              </w:rPr>
              <w:t xml:space="preserve">and prior service costs </w:t>
            </w:r>
            <w:r>
              <w:rPr>
                <w:rFonts w:ascii="Arial" w:cs="Arial" w:eastAsia="Arial" w:hAnsi="Arial"/>
                <w:sz w:val="17"/>
                <w:szCs w:val="17"/>
                <w:color w:val="auto"/>
                <w:vertAlign w:val="superscript"/>
              </w:rPr>
              <w:t>(2)</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270"/>
        </w:trPr>
        <w:tc>
          <w:tcPr>
            <w:tcW w:w="4980" w:type="dxa"/>
            <w:vAlign w:val="bottom"/>
          </w:tcPr>
          <w:p>
            <w:pPr>
              <w:ind w:left="380"/>
              <w:spacing w:after="0"/>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17"/>
                <w:szCs w:val="17"/>
                <w:color w:val="auto"/>
                <w:vertAlign w:val="superscript"/>
              </w:rPr>
              <w:t>(1)</w:t>
            </w: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0"/>
        </w:trPr>
        <w:tc>
          <w:tcPr>
            <w:tcW w:w="4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7"/>
                <w:szCs w:val="17"/>
                <w:color w:val="auto"/>
                <w:vertAlign w:val="superscript"/>
              </w:rPr>
              <w:t>(3)</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Currency impact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earnings/(losses)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50"/>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Balance at end of period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w:t>
            </w: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 Cash Flow Hedges: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Balance at beginning of period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derivative gains/(losses)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Tax (expense)/benefit on net derivative gain/(loss)</w:t>
            </w: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Losses/(gains) reclassified into net earnings: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4980" w:type="dxa"/>
            <w:vAlign w:val="bottom"/>
          </w:tcPr>
          <w:p>
            <w:pPr>
              <w:ind w:left="380"/>
              <w:spacing w:after="0"/>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7"/>
                <w:szCs w:val="17"/>
                <w:color w:val="auto"/>
                <w:vertAlign w:val="superscript"/>
              </w:rPr>
              <w:t>(1) (4)</w:t>
            </w: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0"/>
        </w:trPr>
        <w:tc>
          <w:tcPr>
            <w:tcW w:w="4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7"/>
                <w:szCs w:val="17"/>
                <w:color w:val="auto"/>
                <w:vertAlign w:val="superscript"/>
              </w:rPr>
              <w:t>(3)</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Currency impact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earnings/(losses)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250"/>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Balance at end of period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r>
      <w:tr>
        <w:trPr>
          <w:trHeight w:val="162"/>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Accumulated other comprehensive income</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2"/>
        </w:trPr>
        <w:tc>
          <w:tcPr>
            <w:tcW w:w="49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attributable to Mondelēz International:</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Balance at beginning of period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(11,502)</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(10,528)</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(10,254)</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(10,644)</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comprehensive earnings/(losses)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r>
      <w:tr>
        <w:trPr>
          <w:trHeight w:val="194"/>
        </w:trPr>
        <w:tc>
          <w:tcPr>
            <w:tcW w:w="4980" w:type="dxa"/>
            <w:vAlign w:val="bottom"/>
          </w:tcPr>
          <w:p>
            <w:pPr>
              <w:ind w:left="180"/>
              <w:spacing w:after="0"/>
              <w:rPr>
                <w:sz w:val="20"/>
                <w:szCs w:val="20"/>
                <w:color w:val="auto"/>
              </w:rPr>
            </w:pPr>
            <w:r>
              <w:rPr>
                <w:rFonts w:ascii="Arial" w:cs="Arial" w:eastAsia="Arial" w:hAnsi="Arial"/>
                <w:sz w:val="14"/>
                <w:szCs w:val="14"/>
                <w:color w:val="auto"/>
              </w:rPr>
              <w:t>Less: other comprehensive (earnings)/loss attributable to</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8"/>
        </w:trPr>
        <w:tc>
          <w:tcPr>
            <w:tcW w:w="49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earnings/(losses) attributable to</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8"/>
        </w:trPr>
        <w:tc>
          <w:tcPr>
            <w:tcW w:w="4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Mondelēz International</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r>
      <w:tr>
        <w:trPr>
          <w:trHeight w:val="243"/>
        </w:trPr>
        <w:tc>
          <w:tcPr>
            <w:tcW w:w="4980" w:type="dxa"/>
            <w:vAlign w:val="bottom"/>
          </w:tcPr>
          <w:p>
            <w:pPr>
              <w:ind w:left="180"/>
              <w:spacing w:after="0"/>
              <w:rPr>
                <w:sz w:val="20"/>
                <w:szCs w:val="20"/>
                <w:color w:val="auto"/>
              </w:rPr>
            </w:pPr>
            <w:r>
              <w:rPr>
                <w:rFonts w:ascii="Arial" w:cs="Arial" w:eastAsia="Arial" w:hAnsi="Arial"/>
                <w:sz w:val="14"/>
                <w:szCs w:val="14"/>
                <w:color w:val="auto"/>
              </w:rPr>
              <w:t>Balance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(11,419)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(10,524)</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These amounts include equity method investment transactions recorded within gain/(loss) on equity method investment transactions.</w:t>
      </w: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These reclassified losses are included in net periodic benefit costs disclosed in Note 10, </w:t>
      </w:r>
      <w:r>
        <w:rPr>
          <w:rFonts w:ascii="Arial" w:cs="Arial" w:eastAsia="Arial" w:hAnsi="Arial"/>
          <w:sz w:val="13"/>
          <w:szCs w:val="13"/>
          <w:i w:val="1"/>
          <w:iCs w:val="1"/>
          <w:color w:val="auto"/>
        </w:rPr>
        <w:t>Benefit Plans</w:t>
      </w:r>
      <w:r>
        <w:rPr>
          <w:rFonts w:ascii="Arial" w:cs="Arial" w:eastAsia="Arial" w:hAnsi="Arial"/>
          <w:sz w:val="13"/>
          <w:szCs w:val="13"/>
          <w:color w:val="auto"/>
        </w:rPr>
        <w:t>.</w:t>
      </w: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Taxes reclassified to earnings are recorded within the provision for income taxes.</w:t>
      </w: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These reclassified gains or losses are recorded within interest and other expense, net.</w:t>
      </w:r>
    </w:p>
    <w:p>
      <w:pPr>
        <w:sectPr>
          <w:pgSz w:w="11900" w:h="16838" w:orient="portrait"/>
          <w:cols w:equalWidth="0" w:num="1">
            <w:col w:w="11020"/>
          </w:cols>
          <w:pgMar w:left="320" w:top="355" w:right="559" w:bottom="1440" w:gutter="0" w:footer="0" w:header="0"/>
        </w:sect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020"/>
          </w:cols>
          <w:pgMar w:left="320" w:top="355" w:right="5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the second quarter of 2020, our estimated annual effective tax rate, which excludes discrete tax impacts, was 27.5%.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2020 second quarter effective tax rate of 51.7% was unusually high due to a $261 million tax expense incurred in connection with the JDE Peet's transaction (the related gains are reported separately in our statement of earnings and thus not included in earnings before income taxes). Excluding this impact, our second quarter effective tax rate was 12.1% reflecting a discrete net tax benefit of $72 million. The discrete net tax benefit primarily consisted of a $70 million net benefit from the release of a valuation allowance in China as we now expect to utilize prior-year carryforward tax benefits to offset future taxable income. Our effective tax rate for the six months ended June 30, 2020 of 36.0% was also unusually high due to the $261 million net tax expense incurred in connection with the JDE Peet's transaction. Excluding this impact, our effective tax rate for the six months ended June 30, 2020 was 16.8%, which was favorably impacted by discrete net tax benefits of $100 million, primarily driven by the $70 million net benefit from the release of the China valuation allowance and a $24 million net benefit from the release of liabilities for uncertain tax positions due to expirations of statutes of limitations and audit settlements in several jurisdictions.</w:t>
      </w: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of the second quarter of 2019, our estimated annual effective tax rate, which excluded discrete tax impacts, was 25.5%.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2019 second quarter effective tax rate of 23.1% was impacted by a discrete net tax benefit of $8 million. The discrete net tax benefit primarily consisted of a $ 24 million net benefit from the release of uncertain tax positions due to the expirations of statutes of limitations and audit settlements in several jurisdictions, partially offset by $15 million expense from U.S. state legislative changes. Our effective tax rate for the six months ended June 30, 2019 of 21.2% was favorably impacted by discrete net tax benefits of $71 million, primarily driven by $84 million of benefit from the release of liabilities for uncertain tax positions due to expirations of statutes of limitations and audit settlements in various jurisdictions.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7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 attributable to</w:t>
            </w:r>
          </w:p>
        </w:tc>
        <w:tc>
          <w:tcPr>
            <w:tcW w:w="92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tcPr>
          <w:p>
            <w:pPr>
              <w:ind w:left="40"/>
              <w:spacing w:after="0"/>
              <w:rPr>
                <w:sz w:val="20"/>
                <w:szCs w:val="20"/>
                <w:color w:val="auto"/>
              </w:rPr>
            </w:pPr>
            <w:r>
              <w:rPr>
                <w:rFonts w:ascii="Arial" w:cs="Arial" w:eastAsia="Arial" w:hAnsi="Arial"/>
                <w:sz w:val="18"/>
                <w:szCs w:val="18"/>
                <w:color w:val="auto"/>
              </w:rPr>
              <w:t>Weighted-average shares for basic EPS</w:t>
            </w:r>
          </w:p>
        </w:tc>
        <w:tc>
          <w:tcPr>
            <w:tcW w:w="920" w:type="dxa"/>
            <w:vAlign w:val="bottom"/>
          </w:tcPr>
          <w:p>
            <w:pPr>
              <w:spacing w:after="0"/>
              <w:rPr>
                <w:sz w:val="20"/>
                <w:szCs w:val="20"/>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1,431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5"/>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1,439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92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20" w:type="dxa"/>
            <w:vAlign w:val="bottom"/>
            <w:vMerge w:val="continue"/>
          </w:tcPr>
          <w:p>
            <w:pPr>
              <w:spacing w:after="0"/>
              <w:rPr>
                <w:sz w:val="15"/>
                <w:szCs w:val="15"/>
                <w:color w:val="auto"/>
              </w:rPr>
            </w:pPr>
          </w:p>
        </w:tc>
        <w:tc>
          <w:tcPr>
            <w:tcW w:w="920" w:type="dxa"/>
            <w:vAlign w:val="bottom"/>
            <w:vMerge w:val="restart"/>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ind w:right="1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5"/>
                <w:szCs w:val="15"/>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5"/>
                <w:szCs w:val="15"/>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5"/>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5"/>
                <w:szCs w:val="15"/>
                <w:color w:val="auto"/>
              </w:rPr>
            </w:pP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2"/>
        </w:trPr>
        <w:tc>
          <w:tcPr>
            <w:tcW w:w="502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5.6 million in the second quarter of 2020 and 4.2 million in the second quarter of 2019 and 4.8 million in the first six months of 2020 and 7.3 million in the first six months of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5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35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5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0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1,537</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1,237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2,893</w:t>
            </w: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Europe</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2,138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4,798</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2,025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3,920</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r>
      <w:tr>
        <w:trPr>
          <w:trHeight w:val="28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5,911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12,618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12,600</w:t>
            </w:r>
          </w:p>
        </w:tc>
      </w:tr>
      <w:tr>
        <w:trPr>
          <w:trHeight w:val="41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AMEA</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447</w:t>
            </w:r>
          </w:p>
        </w:tc>
      </w:tr>
      <w:tr>
        <w:trPr>
          <w:trHeight w:val="277"/>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726</w:t>
            </w:r>
          </w:p>
        </w:tc>
      </w:tr>
      <w:tr>
        <w:trPr>
          <w:trHeight w:val="235"/>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(losses)/gains on hedging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7"/>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Net gain on divestiture</w:t>
            </w:r>
          </w:p>
        </w:tc>
        <w:tc>
          <w:tcPr>
            <w:tcW w:w="9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7"/>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2,061</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63"/>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5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For the Three Months Ended June 30, 2020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North</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3,110</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1,520</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5,911</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5"/>
        </w:trPr>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For the Three Months Ended June 30, 2019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5"/>
        </w:trPr>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North</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2,809</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1,643</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847</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297</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6,062</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5"/>
        </w:trPr>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For the Six Months Ended June 30, 2020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5"/>
        </w:trPr>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North</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6,136</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3,676</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1,316</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565</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925</w:t>
            </w:r>
          </w:p>
        </w:tc>
      </w:tr>
      <w:tr>
        <w:trPr>
          <w:trHeight w:val="244"/>
        </w:trPr>
        <w:tc>
          <w:tcPr>
            <w:tcW w:w="34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12,618</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5"/>
        </w:trPr>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For the Six Months Ended June 30, 2019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5"/>
        </w:trPr>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North</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5,546</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3,849</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1,660</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618</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r>
      <w:tr>
        <w:trPr>
          <w:trHeight w:val="244"/>
        </w:trPr>
        <w:tc>
          <w:tcPr>
            <w:tcW w:w="34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12,600</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51"/>
        </w:trPr>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approximately 80 countries and sell our products in over 150 countries.</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our leveraging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have been actively monitoring the outbreak of COVID -19 and its impact globally. Our highest priorities continue to be the safety of our employees and working with our employees and network of suppliers and customers to help maintain the global food supply chain.</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first quarter of 2020, we experienced a significant increase in demand and revenue growth in developed markets as consumers increased their food purchases for in-home consumption. Results were particularly strong in modern trade (such as large grocery supermarkets and retail chains) and e-commerce, especially for some categories like biscuits. Other parts of our business were negatively affected by mandated lockdowns and other related restrictions including some of our emerging markets with a greater concentration of traditional trade (such as small family-run stores) as well as our world travel retail (such as international duty-free stores) and foodservice businesses. During the second quarter, we continued to see elevated demand in modern trade, particularly the biscuits category in the North America region due to higher at-home consumption. Lockdowns and other related restrictions continued to have a negative impact on emerging markets with a greater concentration of traditional trade due to store closures (particularly in our Latin America region as well as parts of our AMEA region) as well as in categories like gum and candy, which are more traditionally purchased and consumed out of home. A sharp reduction in global travel continued to negatively impact our world travel retail business, and lower out-of-home consumption continued to negatively impact our foodservice business. We also experienced temporary disruptions in operations in some of our emerging markets that were not material to our consolidated results for the first half of 2020. We discuss these and other impacts of COVID-19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are working remotely whenever possible. For employees who are unable to work remotely, we have adopted a number of heightened protocols, consistent with those prescribed by the World Health Organization, related to social distancing (including staggering lunchtimes and shifts where possible and restricting in-person gatherings and non-essential travel) and enhanced hygiene and workplace sanitation. At a local level, we have also provided additional flexibility and support to employees in our manufacturing facilities, distribution and logistics operations and sales organization.</w:t>
      </w:r>
    </w:p>
    <w:p>
      <w:pPr>
        <w:spacing w:after="0" w:line="2"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been hiring frontline employees in the U.S. and other locations to meet additional marketplace demand and promote uninterrupted functioning of our manufacturing, distribution and sales network.</w:t>
      </w:r>
    </w:p>
    <w:p>
      <w:pPr>
        <w:ind w:left="660" w:right="2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increased our $15 million global commitment to assist those most impacted by COVID-19 to over $25 million to date. We have been supporting local and global organizations that are responding to food instability and providing emergency relief.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5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during the pandemic is to maintain the availability of our products to meet the needs of our consumers. In response to increased demand, we have increased production and, to date, we have not experienced material disruptions in our supply chain or operations:</w:t>
      </w:r>
    </w:p>
    <w:p>
      <w:pPr>
        <w:spacing w:after="0" w:line="1" w:lineRule="exact"/>
        <w:rPr>
          <w:sz w:val="20"/>
          <w:szCs w:val="20"/>
          <w:color w:val="auto"/>
        </w:rPr>
      </w:pPr>
    </w:p>
    <w:p>
      <w:pPr>
        <w:ind w:left="660" w:right="1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were able to leverage learnings from our timely response to the initial outbreak in China, and we put in place procedures across our supply chain to help mitigate the risk that our manufacturing sites will experience material closures or disruptions.</w:t>
      </w:r>
    </w:p>
    <w:p>
      <w:pPr>
        <w:ind w:left="660" w:right="4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been able to continue to source raw ingredients, packaging, energy and transportation and deliver our products to our customers.</w:t>
      </w:r>
    </w:p>
    <w:p>
      <w:pPr>
        <w:ind w:left="660" w:right="3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not experienced material disruptions in our workforce; however, mandatory and voluntary stay-at-home restrictions have resulted in increased levels of absenteeism.</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Commodity costs have become more volatile due to the COVID-19 outbreak. Although we monitor our exposure to commodity prices and hedge against input price increases, we cannot fully hedge against changes in commodity costs, and our hedging strategies may not protect us from increases in specific raw material costs. We anticipate continued commodity cost volatility as the pandemic continues.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experienced temporary disruptions in operations in some of our emerging markets. The disruptions were not material to our consolidated results for the first half of 2020. In the future, the ongoing COVID-19 outbreak could disrupt our global supply chain, operations and routes to market or those of our suppliers, their suppliers, or our co-manufacturers or distributors. These disruptions or our failure to effectively respond to them could increase product or distribution costs, prices and potentially affect the availability of our products.</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first half of 2020 net revenue and net earnings in U.S. dollars were negatively affected by currency translation losses from a generally stronger U.S. dollar relative to other currencies in the countries in which we operate.</w:t>
      </w:r>
    </w:p>
    <w:p>
      <w:pPr>
        <w:ind w:left="660" w:right="100" w:hanging="328"/>
        <w:spacing w:after="0" w:line="25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incurred higher operating costs in the second quarter of 2020 primarily for labor, customer service and logistics, security, personal protective equipment and cleaning. Most other aspects of our global supply chain and operations did not change materially during the first half of 2020. We do not know whether or how our supply chain or operations may be negatively affected if the pandemic persists for an extended period or worsens. As we respond to this evolving situation, we intend to continue to execute on our strategic operating plans. However, disruptions, higher operating costs or uncertainties like those noted above could result in delays or modifications to our plans and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over the last several years and months have strengthened our ability to operate through current conditions:</w:t>
      </w:r>
    </w:p>
    <w:p>
      <w:pPr>
        <w:spacing w:after="0" w:line="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2019, we generated $4.0 billion of cash from operations, or $3.0 billion after deducting capital expenditures.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During the first half of 2020, we generated $1,558 million of cash from operations, or $1,113 million after capital expenditures and as of June 30, 2020, we had $1.6 billion of cash and cash equivalents on hand. Due to the significant uncertainty in the global markets resulting from the COVID-19 outbreak, we have increased our available borrowing capacity under our credit facilities to $6.95 billion as of the date of this filing, and we issued both short-term and long-term debt, in part to fund the second quarter 2020 acquisition of Give &amp; Go and refinance expected debt maturities. We also received cash of €350 million ($394 million) from our participation in the JDE Peet's initial and secondary public offerings and $185 million from our participation in the KDP secondary offering (see additional information below and in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As a cautionary measure, in March, we suspended our share repurchase program. In connection with various legislatively authorized tax payment deferral mechanisms available for income tax, indirect tax (such as value-added tax) and payroll tax in a number of jurisdictions, we were able to defer certain of these tax payments, which provided a cash benefit that will reverse when the cash tax payments become due. The benefits associated with the deferral of these tax payments are not material to our financial statements. We continue to have our undrawn credit facilities and other forms of short-term and long-term financing options available (refer to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w:t>
      </w:r>
    </w:p>
    <w:p>
      <w:pPr>
        <w:spacing w:after="0" w:line="4"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our current access to cash and financing, we do not anticipate any issue in funding our next long-term debt maturities of approximately $140 million in October 2020 and approximately $760 million in January 2021.</w:t>
      </w:r>
    </w:p>
    <w:p>
      <w:pPr>
        <w:ind w:left="660" w:right="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 commercial paper market experienced a significantly increased level of volatility in March, it has stabilized significantly since the beginning of April and in recent months, we have been able to raise short-term financing from these markets with favorable terms. We have also been able to draw on our available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5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spacing w:after="0" w:line="250" w:lineRule="auto"/>
        <w:rPr>
          <w:sz w:val="20"/>
          <w:szCs w:val="20"/>
          <w:color w:val="auto"/>
        </w:rPr>
      </w:pPr>
      <w:r>
        <w:rPr>
          <w:rFonts w:ascii="Arial" w:cs="Arial" w:eastAsia="Arial" w:hAnsi="Arial"/>
          <w:sz w:val="18"/>
          <w:szCs w:val="18"/>
          <w:color w:val="auto"/>
        </w:rPr>
        <w:t>credit facilities and access funds through existing lines of credit and intercompany loans. We have issued and may issue additional long-term debt this year. We have been, and we expect to continue to be, in compliance with our debt covenants.</w:t>
      </w:r>
    </w:p>
    <w:p>
      <w:pPr>
        <w:spacing w:after="0" w:line="1" w:lineRule="exact"/>
        <w:rPr>
          <w:sz w:val="20"/>
          <w:szCs w:val="20"/>
          <w:color w:val="auto"/>
        </w:rPr>
      </w:pPr>
    </w:p>
    <w:p>
      <w:pPr>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of a broader global economic or credit crisis, credit availability and our ability to raise capital when needed could become impaired. A disruption in the financial markets may also have a negative effect on our derivative counterparties and could impair our banking or other business partners, on whom we rely for access to capital and as counterparties for a number of our derivative contracts. Any of these or other developments we may not be able to fully predict or respond to could materially harm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7" w:lineRule="exact"/>
        <w:rPr>
          <w:sz w:val="20"/>
          <w:szCs w:val="20"/>
          <w:color w:val="auto"/>
        </w:rPr>
      </w:pPr>
    </w:p>
    <w:p>
      <w:pPr>
        <w:ind w:left="660" w:right="1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evaluated the realizability of our assets and whether there are any impairment indicators. We reviewed our receivables, inventory, right-of-use lease assets, long-lived assets, equity method and other long-term investments, deferred tax assets, goodwill and intangible assets.</w:t>
      </w:r>
    </w:p>
    <w:p>
      <w:pPr>
        <w:spacing w:after="0" w:line="2" w:lineRule="exact"/>
        <w:rPr>
          <w:rFonts w:ascii="Arial" w:cs="Arial" w:eastAsia="Arial" w:hAnsi="Arial"/>
          <w:sz w:val="18"/>
          <w:szCs w:val="18"/>
          <w:color w:val="auto"/>
        </w:rPr>
      </w:pPr>
    </w:p>
    <w:p>
      <w:pPr>
        <w:ind w:left="660" w:right="140" w:hanging="328"/>
        <w:spacing w:after="0" w:line="27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I</w:t>
      </w:r>
      <w:r>
        <w:rPr>
          <w:rFonts w:ascii="Arial" w:cs="Arial" w:eastAsia="Arial" w:hAnsi="Arial"/>
          <w:sz w:val="17"/>
          <w:szCs w:val="17"/>
          <w:color w:val="auto"/>
        </w:rPr>
        <w:t>n connection with the ongoing pandemic, during the second quarter of 2020, we identified a decline in demand for certain of our</w:t>
      </w:r>
      <w:r>
        <w:rPr>
          <w:rFonts w:ascii="Arial" w:cs="Arial" w:eastAsia="Arial" w:hAnsi="Arial"/>
          <w:sz w:val="20"/>
          <w:szCs w:val="20"/>
          <w:color w:val="auto"/>
        </w:rPr>
        <w:t xml:space="preserve"> </w:t>
      </w:r>
      <w:r>
        <w:rPr>
          <w:rFonts w:ascii="Arial" w:cs="Arial" w:eastAsia="Arial" w:hAnsi="Arial"/>
          <w:sz w:val="17"/>
          <w:szCs w:val="17"/>
          <w:color w:val="auto"/>
        </w:rPr>
        <w:t xml:space="preserve">brands, primarily in the gum category, that prompted additional evaluation of our indefinite-life intangible assets. We concluded that six brands were impaired and we recorded $90 million of impairment charges. While we did not identify impairment triggers for our other brands, there is significant uncertainty due to the current pandemic. If brand earnings expectations are not met or specific valuation factors outside of our control, such as discount rates, change significantly, then a brand or brands could become impaired in the future. Refer to Note 5,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for additional details on our intangible asset impairment evaluation.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and implementation activities were in line with our Simplify to Grow Program strategic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equity investments in JDE Peet's and KDP give us additional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continue to monitor the quality of our assets and our overall financial position over coming quarters.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 to maintain oversight over our core process controls through our centralized shared service model, and our key controls are operating as designed.</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business and economic environment continues to be volatile and additional impacts may arise that we cannot currently anticipate, particularly as infection rates are still rising. While there is still significant uncertainty about the ongoing impacts of the COVID-19 outbreak on the global economy and on our business, barring material business disruptions or other negative developments, we expect to continue to meet the demand of consumers for our snacks, food and beverage products. However, the elevated consumer demand we experienced primarily in some of our developed market countries in the first half of 2020 may not continue. We are unable to predict how long this sustained demand will last or how significant it will be. We expect the COVID-19 outbreak to result in lower revenues primarily in some of our emerging market countries that have a higher concentration of traditional trade outlets (such as small family-run stores), our gum and candy categories (which are more instant consumption in nature), as well as our world travel retail (such as international duty-free stores) and foodservice businesses. As we continue to proactively manage our business in response to the evolving impacts of the pandemic, we continue to communicate with and support our employees and customers; monitor and take steps to further safeguard our supply chain, operations, technology and assets; protect our liquidity and financial position; work toward our strategic priorities and monitor our financial performance as we seek to position the Company to withstand the current uncertainty related to this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JDE Peet's and KDP Equity Method Investment Transactions</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During the second quarter of 2020, in connection with the JDE Peet's offering of its ordinary shares, we exchanged our 26.4% ownership interest in JDE for a 26.5% equity interest in JDE Peet’s. On May 29, 2020, we participated in the JDE Peet's offering and, with the subsequent exercise of the over-allotment option, we sold a total of approximately 11.1 million shares during the second quarter, retaining a 22.9% ownership interest in JDE Peet's. We received €350 million ($394 million) of total proceeds from the sales of JDE Peet's shares and we recorded a pre-tax gain of $121 million during the second quarter. We also incurred a $261 million tax expense that is payable in 2020 and 2021. Consistent with our accounting for KDP, in connection with JDE Peet's becoming a public company, we changed our accounting principle to reflect our share of JDE historical results and JDE Peet's ongoing results on a one-quarter lag basis while we continue to record dividends when cash is received. We determined a lag was preferable as it enables us to continue to report our quarterly and annual results on a timely basis and to record our share of JDE Peet's ongoing results once JDE Peet's has publicly reported its results. This change was applied retrospectively to all periods presented.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Income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35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for additional information.</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On March 4, 2020, we participated in a secondary offering of KDP shares and sold approximately 6.8 million shares, which reduced our ownership interest by 0.5% to 13.1% of the total outstanding shares. During the first quarter of 2020, we received $185 million of proceeds and recorded a pre-tax gain of $71 million (or $54 million after-tax).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640" w:right="20" w:hanging="322"/>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revenues decreased 2.5% to $5.9 billion in the second quarter of 2020 and increased 0.1% to $12.6 billion in the first six months of 2020 as compared to the same periods in the prior year. During the second quarter and the first six months of 2020, net revenues were significantly impacted by the COVID-19 outbreak and response. In developed markets, particularly North America, demand for our products grew significantly as consumers increased their food purchases for in-home consumption. In some of our emerging markets, where we have a greater concentration of traditional trade, as well as in our gum and candy, world travel retail and foodservice businesses, where we sell products that are typically consumed away from home, net revenues were negatively affected by mandated lockdowns and other related restrictions.</w:t>
      </w:r>
    </w:p>
    <w:p>
      <w:pPr>
        <w:spacing w:after="0" w:line="2" w:lineRule="exact"/>
        <w:rPr>
          <w:rFonts w:ascii="Arial" w:cs="Arial" w:eastAsia="Arial" w:hAnsi="Arial"/>
          <w:sz w:val="18"/>
          <w:szCs w:val="18"/>
          <w:color w:val="auto"/>
        </w:rPr>
      </w:pPr>
    </w:p>
    <w:p>
      <w:pPr>
        <w:ind w:left="980" w:hanging="324"/>
        <w:spacing w:after="0" w:line="250" w:lineRule="auto"/>
        <w:rPr>
          <w:rFonts w:ascii="Arial" w:cs="Arial" w:eastAsia="Arial" w:hAnsi="Arial"/>
          <w:sz w:val="18"/>
          <w:szCs w:val="18"/>
          <w:color w:val="auto"/>
        </w:rPr>
      </w:pPr>
      <w:r>
        <w:rPr>
          <w:rFonts w:ascii="Arial" w:cs="Arial" w:eastAsia="Arial" w:hAnsi="Arial"/>
          <w:sz w:val="18"/>
          <w:szCs w:val="18"/>
          <w:color w:val="auto"/>
        </w:rPr>
        <w:t>– Net revenue decreased in the second quarter of 2020, driven by the significant impact of unfavorable currency translation, as the U.S. dollar strengthened against most currencies in which we operate compared to exchange rates in the prior year, unfavorable volume/mix, and the May 28, 2019 divestiture of most of our cheese business in the Middle East and Africa. These items were partially offset by higher net pricing and incremental net revenues from our April 1, 2020 acquisition of Give &amp; Go and our July 16, 2019 acquisition of Perfect Snacks.</w:t>
      </w:r>
    </w:p>
    <w:p>
      <w:pPr>
        <w:spacing w:after="0" w:line="1" w:lineRule="exact"/>
        <w:rPr>
          <w:rFonts w:ascii="Arial" w:cs="Arial" w:eastAsia="Arial" w:hAnsi="Arial"/>
          <w:sz w:val="18"/>
          <w:szCs w:val="18"/>
          <w:color w:val="auto"/>
        </w:rPr>
      </w:pPr>
    </w:p>
    <w:p>
      <w:pPr>
        <w:ind w:left="980" w:right="280" w:hanging="324"/>
        <w:spacing w:after="0" w:line="254" w:lineRule="auto"/>
        <w:rPr>
          <w:rFonts w:ascii="Arial" w:cs="Arial" w:eastAsia="Arial" w:hAnsi="Arial"/>
          <w:sz w:val="18"/>
          <w:szCs w:val="18"/>
          <w:color w:val="auto"/>
        </w:rPr>
      </w:pPr>
      <w:r>
        <w:rPr>
          <w:rFonts w:ascii="Arial" w:cs="Arial" w:eastAsia="Arial" w:hAnsi="Arial"/>
          <w:sz w:val="18"/>
          <w:szCs w:val="18"/>
          <w:color w:val="auto"/>
        </w:rPr>
        <w:t>– Net revenue increased in the first six months of 2020, driven by higher net pricing, favorable volume/mix, and incremental net revenues from our acquisitions of Give &amp; Go and Perfect Snacks. These items were mostly offset by the significant impact of unfavorable currency translation, as the U.S. dollar strengthened against most currencies in which we operate compared to exchange rates in the prior year, and the prior-year divestiture of most of our cheese business in the Middle East and Africa.</w:t>
      </w:r>
    </w:p>
    <w:p>
      <w:pPr>
        <w:spacing w:after="0" w:line="217" w:lineRule="exact"/>
        <w:rPr>
          <w:rFonts w:ascii="Arial" w:cs="Arial" w:eastAsia="Arial" w:hAnsi="Arial"/>
          <w:sz w:val="18"/>
          <w:szCs w:val="18"/>
          <w:color w:val="auto"/>
        </w:rPr>
      </w:pPr>
    </w:p>
    <w:p>
      <w:pPr>
        <w:ind w:left="640" w:right="240" w:hanging="322"/>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Organic Net Revenue, a non-GAAP financial measure, increased 0.7% to $6.1 billion in the second quarter of 2020 and increased 3.7% to $13.0 billion in the first six months of 2020 as compared to same periods in the prior year.</w:t>
      </w:r>
    </w:p>
    <w:p>
      <w:pPr>
        <w:ind w:left="980" w:right="800" w:hanging="324"/>
        <w:spacing w:after="0" w:line="250" w:lineRule="auto"/>
        <w:rPr>
          <w:rFonts w:ascii="Arial" w:cs="Arial" w:eastAsia="Arial" w:hAnsi="Arial"/>
          <w:sz w:val="18"/>
          <w:szCs w:val="18"/>
          <w:color w:val="auto"/>
        </w:rPr>
      </w:pPr>
      <w:r>
        <w:rPr>
          <w:rFonts w:ascii="Arial" w:cs="Arial" w:eastAsia="Arial" w:hAnsi="Arial"/>
          <w:sz w:val="18"/>
          <w:szCs w:val="18"/>
          <w:color w:val="auto"/>
        </w:rPr>
        <w:t>– Organic Net Revenue increased in the second quarter of 2020, due to higher net pricing, partially offset by unfavorable volume/mix.</w:t>
      </w:r>
    </w:p>
    <w:p>
      <w:pPr>
        <w:ind w:left="660"/>
        <w:spacing w:after="0"/>
        <w:rPr>
          <w:rFonts w:ascii="Arial" w:cs="Arial" w:eastAsia="Arial" w:hAnsi="Arial"/>
          <w:sz w:val="18"/>
          <w:szCs w:val="18"/>
          <w:color w:val="auto"/>
        </w:rPr>
      </w:pPr>
      <w:r>
        <w:rPr>
          <w:rFonts w:ascii="Arial" w:cs="Arial" w:eastAsia="Arial" w:hAnsi="Arial"/>
          <w:sz w:val="18"/>
          <w:szCs w:val="18"/>
          <w:color w:val="auto"/>
        </w:rPr>
        <w:t>–   Organic Net Revenue increased in the first six months of 2020, due to higher net pricing and favorable volume/mix.</w:t>
      </w:r>
    </w:p>
    <w:p>
      <w:pPr>
        <w:spacing w:after="0" w:line="9" w:lineRule="exact"/>
        <w:rPr>
          <w:sz w:val="20"/>
          <w:szCs w:val="20"/>
          <w:color w:val="auto"/>
        </w:rPr>
      </w:pPr>
    </w:p>
    <w:p>
      <w:pPr>
        <w:ind w:left="640" w:right="120"/>
        <w:spacing w:after="0" w:line="253" w:lineRule="auto"/>
        <w:rPr>
          <w:sz w:val="20"/>
          <w:szCs w:val="20"/>
          <w:color w:val="auto"/>
        </w:rPr>
      </w:pPr>
      <w:r>
        <w:rPr>
          <w:rFonts w:ascii="Arial" w:cs="Arial" w:eastAsia="Arial" w:hAnsi="Arial"/>
          <w:sz w:val="18"/>
          <w:szCs w:val="18"/>
          <w:color w:val="auto"/>
        </w:rPr>
        <w:t xml:space="preserve">Refer to our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above and </w:t>
      </w:r>
      <w:r>
        <w:rPr>
          <w:rFonts w:ascii="Arial" w:cs="Arial" w:eastAsia="Arial" w:hAnsi="Arial"/>
          <w:sz w:val="18"/>
          <w:szCs w:val="18"/>
          <w:i w:val="1"/>
          <w:iCs w:val="1"/>
          <w:color w:val="auto"/>
        </w:rPr>
        <w:t>Discussion and Analysis of Historical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w:t>
      </w:r>
      <w:r>
        <w:rPr>
          <w:rFonts w:ascii="Arial" w:cs="Arial" w:eastAsia="Arial" w:hAnsi="Arial"/>
          <w:sz w:val="18"/>
          <w:szCs w:val="18"/>
          <w:color w:val="auto"/>
        </w:rPr>
        <w:t>below</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w:t>
      </w:r>
      <w:r>
        <w:rPr>
          <w:rFonts w:ascii="Arial" w:cs="Arial" w:eastAsia="Arial" w:hAnsi="Arial"/>
          <w:sz w:val="18"/>
          <w:szCs w:val="18"/>
          <w:i w:val="1"/>
          <w:iCs w:val="1"/>
          <w:color w:val="auto"/>
        </w:rPr>
        <w:t xml:space="preserve"> Results of Operations by Reportable Segment, </w:t>
      </w:r>
      <w:r>
        <w:rPr>
          <w:rFonts w:ascii="Arial" w:cs="Arial" w:eastAsia="Arial" w:hAnsi="Arial"/>
          <w:sz w:val="18"/>
          <w:szCs w:val="18"/>
          <w:color w:val="auto"/>
        </w:rPr>
        <w:t>for additional information. Organic Net Revenue is on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19" w:lineRule="exact"/>
        <w:rPr>
          <w:sz w:val="20"/>
          <w:szCs w:val="20"/>
          <w:color w:val="auto"/>
        </w:rPr>
      </w:pPr>
    </w:p>
    <w:p>
      <w:pPr>
        <w:ind w:left="640" w:right="40" w:hanging="322"/>
        <w:spacing w:after="0" w:line="25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decreased 30.9% to $0.38 in the second quarter of 2020 and decreased 26.4% to $0.89 in the first six months of 2020 as compared to the same periods in the prior year.</w:t>
      </w:r>
    </w:p>
    <w:p>
      <w:pPr>
        <w:ind w:left="980" w:right="120" w:hanging="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 Diluted EPS decreased in the second quarter of 2020, primarily driven by costs associated with the JDE Peet's transaction, intangible asset impairment charges, lapping a prior-year net gain on divestiture, lapping prior-year impact from pension participation changes, unfavorable year-over-year mark-to-market impacts from currency and commodity derivatives, a decline from operating activities as a result of COVID-19 related impacts and unfavorable currency translation. These factors were partially offset by a gain on an equity method investment transaction and lower taxes primarily due to non-recurring discrete tax items (refer to Note 14,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980" w:right="80" w:hanging="324"/>
        <w:spacing w:after="0" w:line="254" w:lineRule="auto"/>
        <w:rPr>
          <w:rFonts w:ascii="Arial" w:cs="Arial" w:eastAsia="Arial" w:hAnsi="Arial"/>
          <w:sz w:val="18"/>
          <w:szCs w:val="18"/>
          <w:color w:val="auto"/>
        </w:rPr>
      </w:pPr>
      <w:r>
        <w:rPr>
          <w:rFonts w:ascii="Arial" w:cs="Arial" w:eastAsia="Arial" w:hAnsi="Arial"/>
          <w:sz w:val="18"/>
          <w:szCs w:val="18"/>
          <w:color w:val="auto"/>
        </w:rPr>
        <w:t>– Diluted EPS decreased during the first six months of 2020, primarily driven by costs associated with the JDE Peet's transaction, unfavorable year-over-year mark-to-market impacts from currency and commodity derivatives, a loss related to an interest rate swap, intangible asset impairment charges, unfavorable currency translation, lapping a prior-year gain on divestiture, lapping a prior-year impact from pension participation changes and a decrease in equity method investment earnings. These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355"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right="160"/>
        <w:spacing w:after="0" w:line="256" w:lineRule="auto"/>
        <w:rPr>
          <w:sz w:val="20"/>
          <w:szCs w:val="20"/>
          <w:color w:val="auto"/>
        </w:rPr>
      </w:pPr>
      <w:r>
        <w:rPr>
          <w:rFonts w:ascii="Arial" w:cs="Arial" w:eastAsia="Arial" w:hAnsi="Arial"/>
          <w:sz w:val="18"/>
          <w:szCs w:val="18"/>
          <w:color w:val="auto"/>
        </w:rPr>
        <w:t>factors were partially offset by gains on equity method investment transactions, lower taxes associated with operating activities, an increase in benefit plan non-service income, fewer shares outstanding and an increase from operating activities, which were tempered by COVID-19 related impacts.</w:t>
      </w:r>
    </w:p>
    <w:p>
      <w:pPr>
        <w:spacing w:after="0" w:line="215" w:lineRule="exact"/>
        <w:rPr>
          <w:sz w:val="20"/>
          <w:szCs w:val="20"/>
          <w:color w:val="auto"/>
        </w:rPr>
      </w:pPr>
    </w:p>
    <w:p>
      <w:pPr>
        <w:ind w:left="640" w:right="40" w:hanging="322"/>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EPS, a non-GAAP financial measure, increased 12.5% to $0.63 in the second quarter of 2020 and increased 4.0% to $1.30 in the first six months of 2020 as compared to the same periods in the prior year. On a constant currency basis, Adjusted EPS increased 16.1% to $0.65 in the second quarter of 2020 and increased 8.0% to $1.35 in the first six months of 2020 as compared to the same periods in the prior year.</w:t>
      </w:r>
    </w:p>
    <w:p>
      <w:pPr>
        <w:spacing w:after="0" w:line="1" w:lineRule="exact"/>
        <w:rPr>
          <w:rFonts w:ascii="Arial" w:cs="Arial" w:eastAsia="Arial" w:hAnsi="Arial"/>
          <w:sz w:val="18"/>
          <w:szCs w:val="18"/>
          <w:color w:val="auto"/>
        </w:rPr>
      </w:pPr>
    </w:p>
    <w:p>
      <w:pPr>
        <w:ind w:left="980" w:right="240" w:hanging="324"/>
        <w:spacing w:after="0" w:line="250" w:lineRule="auto"/>
        <w:rPr>
          <w:rFonts w:ascii="Arial" w:cs="Arial" w:eastAsia="Arial" w:hAnsi="Arial"/>
          <w:sz w:val="18"/>
          <w:szCs w:val="18"/>
          <w:color w:val="auto"/>
        </w:rPr>
      </w:pPr>
      <w:r>
        <w:rPr>
          <w:rFonts w:ascii="Arial" w:cs="Arial" w:eastAsia="Arial" w:hAnsi="Arial"/>
          <w:sz w:val="18"/>
          <w:szCs w:val="18"/>
          <w:color w:val="auto"/>
        </w:rPr>
        <w:t>– Adjusted EPS increased in the second quarter of 2020, driven by lower taxes primarily due to non-recurring discrete tax items, an increase in equity method investment earnings, an increase in benefit plan non-service income, lower interest and other expense, net, and lower shares outstanding, partially offset by a decline from operating activities and unfavorable currency.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Adjusted EPS increased in the first six months of 2020, driven by lower taxes, an increase in benefit plan non-service income</w:t>
      </w:r>
    </w:p>
    <w:p>
      <w:pPr>
        <w:spacing w:after="0" w:line="9" w:lineRule="exact"/>
        <w:rPr>
          <w:sz w:val="20"/>
          <w:szCs w:val="20"/>
          <w:color w:val="auto"/>
        </w:rPr>
      </w:pPr>
    </w:p>
    <w:p>
      <w:pPr>
        <w:ind w:left="640" w:right="200" w:firstLine="338"/>
        <w:spacing w:after="0" w:line="254" w:lineRule="auto"/>
        <w:rPr>
          <w:sz w:val="20"/>
          <w:szCs w:val="20"/>
          <w:color w:val="auto"/>
        </w:rPr>
      </w:pPr>
      <w:r>
        <w:rPr>
          <w:rFonts w:ascii="Arial" w:cs="Arial" w:eastAsia="Arial" w:hAnsi="Arial"/>
          <w:sz w:val="18"/>
          <w:szCs w:val="18"/>
          <w:color w:val="auto"/>
        </w:rPr>
        <w:t xml:space="preserve">and fewer shares outstanding, partially offset by unfavorable currency and a decrease in equity method investment earnings.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5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11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2019 and discussed in the footnotes to our financial statements.</w:t>
      </w:r>
    </w:p>
    <w:p>
      <w:pPr>
        <w:spacing w:after="0" w:line="1" w:lineRule="exact"/>
        <w:rPr>
          <w:sz w:val="20"/>
          <w:szCs w:val="20"/>
          <w:color w:val="auto"/>
        </w:rPr>
      </w:pPr>
    </w:p>
    <w:p>
      <w:pPr>
        <w:ind w:left="660" w:hanging="328"/>
        <w:spacing w:after="0" w:line="26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Market conditions. </w:t>
      </w:r>
      <w:r>
        <w:rPr>
          <w:rFonts w:ascii="Arial" w:cs="Arial" w:eastAsia="Arial" w:hAnsi="Arial"/>
          <w:sz w:val="17"/>
          <w:szCs w:val="17"/>
          <w:color w:val="auto"/>
        </w:rPr>
        <w:t>Snack categories continued to grow in the first half of 2020, in part due to increased consumer demand for snacks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purchases for in-home consumption during the COVID-19 outbreak. As further discussed below and in Item 3,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Qualitative Disclosures about Market Risks</w:t>
      </w:r>
      <w:r>
        <w:rPr>
          <w:rFonts w:ascii="Arial" w:cs="Arial" w:eastAsia="Arial" w:hAnsi="Arial"/>
          <w:sz w:val="17"/>
          <w:szCs w:val="17"/>
          <w:color w:val="auto"/>
        </w:rPr>
        <w:t>, volatility in global consumer, commodity, currency and capital markets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significantly during the first six months of 2020 and is expected to continue while and until the COVID-19 outbreak is largely resolved.</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We have been monitoring the COVID-19 outbreak. While its full impact is not yet known, it has had a material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 on the economy and could have a material negative effect on our business and results in 2020, particularly if there are significant adverse changes to consumer demand or significant disruptions to the supply, production or distribution of our products or the credit or financial stability of our customers and other business partners. An economic or credit crisis could occur and impair credit availability and our ability to raise capital when needed. A disruption in the financial markets may also have a negative effect on our derivative counterparties and could also impair our banking or other business partners, on whom we rely for access to capital and as counterparties for a number of our derivative contracts. Any of these and other developments could materially harm our business, results of operations and financial condition. We will continue to prioritize the safety of our employees and consumers. As we manage operations during the pandemic, we may continue to incur increased labor, customer service, logistics and other costs. As consumer demand for our products evolves, we could continue to see a shift in product mix that could have a negative impact on results. As discussed in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we are working to mitigate any negative impacts to our business from the COVID-19 outbreak, but we may not be able to fully predict or respond to all impacts on a timely basis to prevent near- and long-term adverse impacts to our results.</w:t>
      </w:r>
    </w:p>
    <w:p>
      <w:pPr>
        <w:spacing w:after="0" w:line="5"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On January 31, 2020, the United Kingdom began the withdrawal process from the European Union under the European and</w:t>
      </w:r>
      <w:r>
        <w:rPr>
          <w:rFonts w:ascii="Arial" w:cs="Arial" w:eastAsia="Arial" w:hAnsi="Arial"/>
          <w:sz w:val="18"/>
          <w:szCs w:val="18"/>
          <w:i w:val="1"/>
          <w:iCs w:val="1"/>
          <w:color w:val="auto"/>
        </w:rPr>
        <w:t xml:space="preserve"> </w:t>
      </w:r>
      <w:r>
        <w:rPr>
          <w:rFonts w:ascii="Arial" w:cs="Arial" w:eastAsia="Arial" w:hAnsi="Arial"/>
          <w:sz w:val="18"/>
          <w:szCs w:val="18"/>
          <w:color w:val="auto"/>
        </w:rPr>
        <w:t>U.K. Parliament approved Withdrawal Agreement. During a transition period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5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scheduled to end on December 31, 2020, the United Kingdom will effectively remain in the E.U.’s customs union and single market while a trade deal with the European Union is negotiated. The deadline for extending the transition period was June 30, 2020 and the United Kingdom did not seek an extension. As a result, on December 31, 2020, the United Kingdom will either exit the European Union and begin a new trade relationship with the European Union or will exit without a trade deal. During the transition period, we continue to take protective measures in response to the potential impacts on our results of operations and financial condition. Our exposure to disruptions to our supply chain, the imposition of tariffs and currency devaluation in the United Kingdom could result in a material impact to our consolidated revenue, earnings and cash flow. In the six months ended June 30, 2020, we generated 8.8% of our consolidated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and other markets is expected to continue as the United Kingdom executes its exit from the European Union. If the U.K.'s membership in the European Union terminates without trade and other cross-border operating agreements, there could be increased costs from re-imposition of tariffs on trade between the United Kingdom and other countries, including those in the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impact to our results of operations and financial condition could be material. We are taking measures to increase our resources in customer service &amp; logistics together with increasing our inventory levels of imported raw materials, packaging and finished goods in the United Kingdom to help us manage through the Brexit transition and the inherent risks. Resulting impacts and market volatility can vary significantly depending on the final terms of the U.K.’s exit from the European Union.</w:t>
      </w:r>
    </w:p>
    <w:p>
      <w:pPr>
        <w:spacing w:after="0" w:line="8" w:lineRule="exact"/>
        <w:rPr>
          <w:sz w:val="20"/>
          <w:szCs w:val="20"/>
          <w:color w:val="auto"/>
        </w:rPr>
      </w:pPr>
    </w:p>
    <w:p>
      <w:pPr>
        <w:ind w:left="660" w:right="40" w:hanging="328"/>
        <w:spacing w:after="0" w:line="250" w:lineRule="auto"/>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During the third quarter of 2019, we recorded the impact of Swiss tax reform, and we continue to monitor for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interpretative guidance that could result in changes to the amounts we have recorded. In the United States, while the 2017 U.S. tax reform reduced the U.S. corporate tax rate and included some beneficial provisions, other provisions have, and in the future will have, an adverse effect on our results. We continue to evaluate the impacts as additional guidance on implementing the legislation becomes available. While additional guidance has been issued by the IRS and the U.S. Treasury Department, there are still some areas that may not be clarified for some time. Also, a number of U.S. states have not updated their laws to take into account the new federal legislation. As a result, there may be additional impacts of the new laws on our future results of operations and financial condition. It is possible that U.S. or Swiss tax reform or related interpretations could change and have an adverse effect on us that could be material. Refer to our Annual Report on Form 10-K for the year ended December 31, 2019 for more information on Swiss and U.S. tax reform.</w:t>
      </w:r>
    </w:p>
    <w:p>
      <w:pPr>
        <w:spacing w:after="0" w:line="3" w:lineRule="exact"/>
        <w:rPr>
          <w:rFonts w:ascii="Arial" w:cs="Arial" w:eastAsia="Arial" w:hAnsi="Arial"/>
          <w:sz w:val="18"/>
          <w:szCs w:val="18"/>
          <w:i w:val="1"/>
          <w:iCs w:val="1"/>
          <w:color w:val="auto"/>
        </w:rPr>
      </w:pPr>
    </w:p>
    <w:p>
      <w:pPr>
        <w:ind w:left="660" w:right="80" w:hanging="328"/>
        <w:spacing w:after="0" w:line="25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apply highly inflationary accounting for our Argentinian subsidiaries, and during the six months ended June 30, 2020, we recorded a remeasurement loss of $5 million within selling, general and administrative expenses related to the revaluation of our Argentinian peso denominated net monetary position. The mix of monetary assets and liabilities and the exchange rate to convert Argentinian pesos to U.S. dollars could change over time, so it is difficult to predict the overall impact of the Argentina highly inflationary accounting on future net earnings.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35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240" w:type="dxa"/>
            <w:vAlign w:val="bottom"/>
            <w:gridSpan w:val="3"/>
          </w:tcPr>
          <w:p>
            <w:pPr>
              <w:jc w:val="center"/>
              <w:ind w:right="13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left="533"/>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264"/>
        </w:trPr>
        <w:tc>
          <w:tcPr>
            <w:tcW w:w="4740" w:type="dxa"/>
            <w:vAlign w:val="bottom"/>
          </w:tcPr>
          <w:p>
            <w:pPr>
              <w:spacing w:after="0"/>
              <w:rPr>
                <w:sz w:val="22"/>
                <w:szCs w:val="22"/>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See Note</w:t>
            </w: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2"/>
                <w:szCs w:val="22"/>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2"/>
                <w:szCs w:val="22"/>
                <w:color w:val="auto"/>
              </w:rPr>
            </w:pPr>
          </w:p>
        </w:tc>
        <w:tc>
          <w:tcPr>
            <w:tcW w:w="8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50"/>
        </w:trPr>
        <w:tc>
          <w:tcPr>
            <w:tcW w:w="474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(in millions, except percentages)</w:t>
            </w:r>
          </w:p>
        </w:tc>
        <w:tc>
          <w:tcPr>
            <w:tcW w:w="4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76"/>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7</w:t>
            </w: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3"/>
        </w:trPr>
        <w:tc>
          <w:tcPr>
            <w:tcW w:w="47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(40)</w:t>
            </w:r>
          </w:p>
        </w:tc>
      </w:tr>
      <w:tr>
        <w:trPr>
          <w:trHeight w:val="277"/>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Implementation charges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r>
      <w:tr>
        <w:trPr>
          <w:trHeight w:val="26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Intangible asset impairment charges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Mark-to-market (losses)/gains from derivatives </w:t>
            </w:r>
            <w:r>
              <w:rPr>
                <w:rFonts w:ascii="Arial" w:cs="Arial" w:eastAsia="Arial" w:hAnsi="Arial"/>
                <w:sz w:val="21"/>
                <w:szCs w:val="21"/>
                <w:b w:val="1"/>
                <w:bCs w:val="1"/>
                <w:color w:val="auto"/>
                <w:vertAlign w:val="superscript"/>
              </w:rPr>
              <w:t>(1)</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9</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r>
      <w:tr>
        <w:trPr>
          <w:trHeight w:val="26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integration costs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tcPr>
          <w:p>
            <w:pPr>
              <w:ind w:left="180"/>
              <w:spacing w:after="0"/>
              <w:rPr>
                <w:sz w:val="20"/>
                <w:szCs w:val="20"/>
                <w:color w:val="auto"/>
              </w:rPr>
            </w:pPr>
            <w:r>
              <w:rPr>
                <w:rFonts w:ascii="Arial" w:cs="Arial" w:eastAsia="Arial" w:hAnsi="Arial"/>
                <w:sz w:val="18"/>
                <w:szCs w:val="18"/>
                <w:color w:val="auto"/>
              </w:rPr>
              <w:t>Acquisition-related costs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7"/>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costs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63"/>
        </w:trPr>
        <w:tc>
          <w:tcPr>
            <w:tcW w:w="4740" w:type="dxa"/>
            <w:vAlign w:val="bottom"/>
          </w:tcPr>
          <w:p>
            <w:pPr>
              <w:ind w:left="180"/>
              <w:spacing w:after="0"/>
              <w:rPr>
                <w:sz w:val="20"/>
                <w:szCs w:val="20"/>
                <w:color w:val="auto"/>
              </w:rPr>
            </w:pPr>
            <w:r>
              <w:rPr>
                <w:rFonts w:ascii="Arial" w:cs="Arial" w:eastAsia="Arial" w:hAnsi="Arial"/>
                <w:sz w:val="18"/>
                <w:szCs w:val="18"/>
                <w:color w:val="auto"/>
              </w:rPr>
              <w:t>Net gain on divestiture</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associated with JDE Peet's transaction</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6</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Remeasurement of net monetary position</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1</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2"/>
                <w:szCs w:val="22"/>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1"/>
                <w:szCs w:val="21"/>
                <w:b w:val="1"/>
                <w:bCs w:val="1"/>
                <w:color w:val="auto"/>
                <w:vertAlign w:val="superscript"/>
              </w:rPr>
              <w:t>(1)</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rPr>
              <w:t>Note 10</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(2)</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related to interest rate swaps</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8"/>
              </w:rPr>
              <w:t>Note 8 &amp; 9</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0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Gain/(loss) on equity method investment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2"/>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21"/>
                <w:szCs w:val="21"/>
                <w:b w:val="1"/>
                <w:bCs w:val="1"/>
                <w:color w:val="auto"/>
                <w:vertAlign w:val="superscript"/>
              </w:rPr>
              <w:t>(3)</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6</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0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Equity method investee acquisition-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52"/>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related or other (charges)/benefits, net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r>
      <w:tr>
        <w:trPr>
          <w:trHeight w:val="31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 xml:space="preserve">Effective tax rate </w:t>
            </w:r>
            <w:r>
              <w:rPr>
                <w:rFonts w:ascii="Arial" w:cs="Arial" w:eastAsia="Arial" w:hAnsi="Arial"/>
                <w:sz w:val="21"/>
                <w:szCs w:val="21"/>
                <w:b w:val="1"/>
                <w:bCs w:val="1"/>
                <w:color w:val="auto"/>
                <w:vertAlign w:val="superscript"/>
              </w:rPr>
              <w:t>(4)</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rPr>
              <w:t>Note 14</w:t>
            </w: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12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impacts recorded in operating income and interest expense and other, net.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Gain/(loss) on equity method investment transactions is recorded outside pre-tax operating results on the condensed consolidated statement of earnings.</w:t>
      </w:r>
    </w:p>
    <w:p>
      <w:pPr>
        <w:spacing w:after="0" w:line="1" w:lineRule="exact"/>
        <w:rPr>
          <w:rFonts w:ascii="Arial" w:cs="Arial" w:eastAsia="Arial" w:hAnsi="Arial"/>
          <w:sz w:val="14"/>
          <w:szCs w:val="14"/>
          <w:color w:val="auto"/>
        </w:rPr>
      </w:pPr>
    </w:p>
    <w:p>
      <w:pPr>
        <w:ind w:left="340" w:right="320" w:hanging="332"/>
        <w:spacing w:after="0" w:line="25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our effective tax rate and to our Annual Report on Form 10-K for the year ended December 31, 2019 for more information on the impact of Swiss and U.S. tax reform.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5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181" w:lineRule="exact"/>
        <w:rPr>
          <w:sz w:val="20"/>
          <w:szCs w:val="20"/>
          <w:color w:val="auto"/>
        </w:rPr>
      </w:pPr>
    </w:p>
    <w:p>
      <w:pPr>
        <w:jc w:val="center"/>
        <w:ind w:left="16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1920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6"/>
        </w:trPr>
        <w:tc>
          <w:tcPr>
            <w:tcW w:w="4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5,911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6,062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4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713</w:t>
            </w:r>
          </w:p>
        </w:tc>
        <w:tc>
          <w:tcPr>
            <w:tcW w:w="4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1,025</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5"/>
        </w:trPr>
        <w:tc>
          <w:tcPr>
            <w:tcW w:w="494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99"/>
              </w:rPr>
              <w:t>Net earnings attributable to</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4940" w:type="dxa"/>
            <w:vAlign w:val="bottom"/>
            <w:shd w:val="clear" w:color="auto" w:fill="CCEEFF"/>
          </w:tcPr>
          <w:p>
            <w:pPr>
              <w:jc w:val="center"/>
              <w:ind w:right="1590"/>
              <w:spacing w:after="0"/>
              <w:rPr>
                <w:sz w:val="20"/>
                <w:szCs w:val="20"/>
                <w:color w:val="auto"/>
              </w:rPr>
            </w:pPr>
            <w:r>
              <w:rPr>
                <w:rFonts w:ascii="Arial" w:cs="Arial" w:eastAsia="Arial" w:hAnsi="Arial"/>
                <w:sz w:val="18"/>
                <w:szCs w:val="18"/>
                <w:color w:val="auto"/>
                <w:w w:val="99"/>
              </w:rPr>
              <w:t>Mondelēz International</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544</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803</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494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7"/>
        </w:trPr>
        <w:tc>
          <w:tcPr>
            <w:tcW w:w="4940" w:type="dxa"/>
            <w:vAlign w:val="bottom"/>
          </w:tcPr>
          <w:p>
            <w:pPr>
              <w:jc w:val="center"/>
              <w:ind w:right="1590"/>
              <w:spacing w:after="0"/>
              <w:rPr>
                <w:sz w:val="20"/>
                <w:szCs w:val="20"/>
                <w:color w:val="auto"/>
              </w:rPr>
            </w:pPr>
            <w:r>
              <w:rPr>
                <w:rFonts w:ascii="Arial" w:cs="Arial" w:eastAsia="Arial" w:hAnsi="Arial"/>
                <w:sz w:val="18"/>
                <w:szCs w:val="18"/>
                <w:color w:val="auto"/>
                <w:w w:val="99"/>
              </w:rPr>
              <w:t>Mondelēz International</w:t>
            </w:r>
          </w:p>
        </w:tc>
        <w:tc>
          <w:tcPr>
            <w:tcW w:w="90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0.55</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$151 million (2.5%) to $5,911 million in the second quarter of 2020, and Organic Net Revenue</w:t>
      </w:r>
    </w:p>
    <w:p>
      <w:pPr>
        <w:spacing w:after="0" w:line="27" w:lineRule="exact"/>
        <w:rPr>
          <w:sz w:val="20"/>
          <w:szCs w:val="20"/>
          <w:color w:val="auto"/>
        </w:rPr>
      </w:pPr>
    </w:p>
    <w:p>
      <w:pPr>
        <w:jc w:val="both"/>
        <w:ind w:right="260" w:firstLine="8"/>
        <w:spacing w:after="0" w:line="259" w:lineRule="auto"/>
        <w:tabs>
          <w:tab w:leader="none" w:pos="182" w:val="left"/>
        </w:tabs>
        <w:numPr>
          <w:ilvl w:val="0"/>
          <w:numId w:val="26"/>
        </w:numPr>
        <w:rPr>
          <w:rFonts w:ascii="Arial" w:cs="Arial" w:eastAsia="Arial" w:hAnsi="Arial"/>
          <w:sz w:val="21"/>
          <w:szCs w:val="21"/>
          <w:color w:val="auto"/>
          <w:vertAlign w:val="superscript"/>
        </w:rPr>
      </w:pPr>
      <w:r>
        <w:rPr>
          <w:rFonts w:ascii="Arial" w:cs="Arial" w:eastAsia="Arial" w:hAnsi="Arial"/>
          <w:sz w:val="17"/>
          <w:szCs w:val="17"/>
          <w:color w:val="auto"/>
        </w:rPr>
        <w:t xml:space="preserve">increased $40 million (0.7%) to $6,080 million. Developed markets net revenue increased 5.4% and developed markets Organic Net Revenue increased 4.1%. Emerging markets net revenues decreased 15.6%, including an unfavorable currency impact, and emerging markets Organic Net Revenue decreased 5.1% </w:t>
      </w:r>
      <w:r>
        <w:rPr>
          <w:rFonts w:ascii="Arial" w:cs="Arial" w:eastAsia="Arial" w:hAnsi="Arial"/>
          <w:sz w:val="20"/>
          <w:szCs w:val="20"/>
          <w:color w:val="auto"/>
          <w:vertAlign w:val="superscript"/>
        </w:rPr>
        <w:t>(1)</w:t>
      </w:r>
      <w:r>
        <w:rPr>
          <w:rFonts w:ascii="Arial" w:cs="Arial" w:eastAsia="Arial" w:hAnsi="Arial"/>
          <w:sz w:val="17"/>
          <w:szCs w:val="17"/>
          <w:color w:val="auto"/>
        </w:rPr>
        <w:t>. The underlying changes in net revenues and Organic Net Revenue are detailed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4.6 pp</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pp</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(1.8)pp</w:t>
            </w: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0.7 %</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0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 pp</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revenue decrease of 2.5% was driven by unfavorable currency and the impact of a prior-year divestiture, partially offset by the impact of acquisitions and our underlying Organic Net Revenue growth of 0.7%. Overall, for the second quarter of 2020, net revenues were higher in developed markets, particularly North America, where due to the COVID-19 outbreak and response, demand for our products grew significantly as consumers increased their food purchases for in-home consumption. In some of our emerging markets, where we have a greater concentration of traditional trade, as well as in our gum and candy, world travel retail and foodservice businesses, revenues were negatively affected by mandated lockdowns and other related restrictions.</w:t>
      </w:r>
    </w:p>
    <w:p>
      <w:pPr>
        <w:spacing w:after="0" w:line="20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Unfavorable currency impacts decreased net revenues by $283 million, due primarily to the strength of the U.S. dollar relative to most currencies, including the Brazilian real, Argentinian peso, Mexican peso, euro, Russian ruble, British pound sterling dollar and Indian rupee. The impact of the May 28, 2019 divestiture of most of our cheese business in the Middle East and Africa resulted in a year-over-year decline in net revenues of $22 million. The April 1, 2020 acquisition of Give &amp; Go added incremental net revenues of $91 million and the July 16, 2019 acquisition of a majority interest in Perfect Snacks added incremental net revenues of $23 million in the second quarter of 2020.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Organic Net Revenue growth was driven by higher net pricing, partially offset by unfavorable volume/mix. Higher net pricing was reflected in all regions except Europe. Net pricing was up, due to the benefit of carryover pricing from 2019 as well as the effects of input cost-driven pricing actions taken during the first six months of 2020. Unfavorable volume/mix, driven by unfavorable product mix as volume gains were tempered by the net negative volume impact from the COVID-19 outbreak, was reflected in all regions except North America.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35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$312 million (30.4%) to $713 million in the second quarter of 2020.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decreased $66 million (6.5%) to $942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decreased $38 million (3.8%) to $970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tcPr>
          <w:p>
            <w:pPr>
              <w:spacing w:after="0"/>
              <w:rPr>
                <w:sz w:val="14"/>
                <w:szCs w:val="14"/>
                <w:color w:val="auto"/>
              </w:rPr>
            </w:pPr>
          </w:p>
        </w:tc>
      </w:tr>
      <w:tr>
        <w:trPr>
          <w:trHeight w:val="196"/>
        </w:trPr>
        <w:tc>
          <w:tcPr>
            <w:tcW w:w="8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Change</w:t>
            </w:r>
          </w:p>
        </w:tc>
      </w:tr>
      <w:tr>
        <w:trPr>
          <w:trHeight w:val="263"/>
        </w:trPr>
        <w:tc>
          <w:tcPr>
            <w:tcW w:w="8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2"/>
                <w:szCs w:val="22"/>
                <w:color w:val="auto"/>
              </w:rPr>
            </w:pPr>
          </w:p>
        </w:tc>
      </w:tr>
      <w:tr>
        <w:trPr>
          <w:trHeight w:val="276"/>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1,025</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r>
      <w:tr>
        <w:trPr>
          <w:trHeight w:val="187"/>
        </w:trPr>
        <w:tc>
          <w:tcPr>
            <w:tcW w:w="806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52"/>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June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1,008</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63"/>
        </w:trPr>
        <w:tc>
          <w:tcPr>
            <w:tcW w:w="8060" w:type="dxa"/>
            <w:vAlign w:val="bottom"/>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8060" w:type="dxa"/>
            <w:vAlign w:val="bottom"/>
          </w:tcPr>
          <w:p>
            <w:pPr>
              <w:ind w:left="860"/>
              <w:spacing w:after="0"/>
              <w:rPr>
                <w:sz w:val="20"/>
                <w:szCs w:val="20"/>
                <w:color w:val="auto"/>
              </w:rPr>
            </w:pPr>
            <w:r>
              <w:rPr>
                <w:rFonts w:ascii="Arial" w:cs="Arial" w:eastAsia="Arial" w:hAnsi="Arial"/>
                <w:sz w:val="18"/>
                <w:szCs w:val="18"/>
                <w:color w:val="auto"/>
              </w:rPr>
              <w:t>Unfavorable volume/mix</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Lower selling, general and administrative expenses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Prior-year VAT-related settlement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4"/>
        </w:trPr>
        <w:tc>
          <w:tcPr>
            <w:tcW w:w="806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6"/>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63"/>
        </w:trPr>
        <w:tc>
          <w:tcPr>
            <w:tcW w:w="80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Unfavorable currency translation</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7"/>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r>
      <w:tr>
        <w:trPr>
          <w:trHeight w:val="187"/>
        </w:trPr>
        <w:tc>
          <w:tcPr>
            <w:tcW w:w="806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6"/>
        </w:trPr>
        <w:tc>
          <w:tcPr>
            <w:tcW w:w="806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June 30, 2020</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942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1"/>
                <w:szCs w:val="21"/>
                <w:color w:val="auto"/>
                <w:vertAlign w:val="superscript"/>
              </w:rPr>
              <w:t>(8)</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r>
      <w:tr>
        <w:trPr>
          <w:trHeight w:val="243"/>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52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right="58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40" w:right="34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ectPr>
          <w:pgSz w:w="11900" w:h="16838" w:orient="portrait"/>
          <w:cols w:equalWidth="0" w:num="1">
            <w:col w:w="11220"/>
          </w:cols>
          <w:pgMar w:left="320" w:top="355" w:right="35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20"/>
          </w:cols>
          <w:pgMar w:left="320" w:top="355"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second quarter of 2020, we realized higher net pricing, which was mostly offset by increased input costs. Higher net pricing, which included the carryover impact of pricing actions taken in 2019 as well as the effects of input cost-driven pricing actions taken during the first six months of 2020, was reflected across all regions except Europe. The increase in input costs was driven by higher raw material costs, as manufacturing costs were essentially flat as productivity was offset by incremental COVID-19 related costs. Higher raw material costs were in part due to higher currency exchange transaction costs on imported materials, as well as higher dairy, cocoa, sugar, oils, nuts and other ingredients costs, partially offset by lower costs for grains and packaging. Unfavorable volume/mix, primarily due to unfavorable mix as overall volume increased despite the negative volume impact from the COVID-19 outbreak, was driven by Latin America, AMEA and Europe, which was partially offset by favorable volume/mix in North America.</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Total selling, general and administrative expenses increased $26 million from the second quarter of 2019, due to a number of factors noted in the table above, including in part, costs associated with the JDE Peet's transaction, lapping the benefit from prior-year pension participation changes, the impact of acquisitions and higher acquisition-related costs, which were partially offset by a favorable currency impact related to expenses, lower divestiture-related costs, lower implementation costs incurred for the Simplify to Grow Program, lapping prior-year CEO transition remuneration, lapping the prior-year divestiture and lapping a prior-year VAT-related settlement. Excluding these factors, selling, general and administrative expenses decreased $13 million from the second quarter of 2019. The decrease was driven primarily by lower advertising and consumer promotion costs. Overhead costs were flat as productivity efforts offset incremental COVID-19 related costs.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recorded an expense of $2 million from a VAT-related settlement in Latin America in the second quarter of 2019. Unfavorable currency changes decreased operating income by $28 million due primarily to the strength of the U.S. dollar relative to most currencies, including the Brazilian real, euro, British pound sterling, Russian ruble, Indian rupee, Chinese yuan and South African rand.</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margin decreased from 16.9% in the second quarter of 2019 to 12.1% in the second quarter of 2020. The decrease in operating income margin was driven primarily by intangible asset impairment charges, costs associated with the JDE Peet's transaction, lower Adjusted Operating Income margin reflecting COVID-19 related impacts, lapping prior-year gain on a divestiture, lapping the benefit from prior-year pension participation changes and the year-over-year unfavorable change in mark-to-market gains/(losses) from currency and commodity hedging activities. Adjusted Operating Income margin decreased from 16.7% for the second quarter of 2019 to 15.9% for the second quarter of 2020. The decrease in Adjusted Operating Income margin was driven primarily by COVID-19 related costs, higher raw material costs, the impact of acquisitions and unfavorable volume/mix, partially offset by higher pricing, productivity and lower advertising and promotion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5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$544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$259 million (32.3%) in the second quarter of 2020. Diluted EPS attributable to Mondelēz International was $0.38 in the second quarter of 2020, down $0.17 (30.9%) from the second quarter of 2019.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$0.63 in the second quarter of 2020, up $0.07 (12.5%) from the second quarter of 2019.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$0.65 in the second quarter of 2020, up $0.09 (16.1%) from the second quarter of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21"/>
        </w:trPr>
        <w:tc>
          <w:tcPr>
            <w:tcW w:w="9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97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June 30, 2019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0.55</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Net gain on divestitures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Net loss on equity method investment transactions </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Equity method investee acquisition-related or other charges/(benefits), net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76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0.56</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Decrease in operations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3"/>
        </w:trPr>
        <w:tc>
          <w:tcPr>
            <w:tcW w:w="9760" w:type="dxa"/>
            <w:vAlign w:val="bottom"/>
          </w:tcPr>
          <w:p>
            <w:pPr>
              <w:ind w:left="820"/>
              <w:spacing w:after="0"/>
              <w:rPr>
                <w:sz w:val="20"/>
                <w:szCs w:val="20"/>
                <w:color w:val="auto"/>
              </w:rPr>
            </w:pPr>
            <w:r>
              <w:rPr>
                <w:rFonts w:ascii="Arial" w:cs="Arial" w:eastAsia="Arial" w:hAnsi="Arial"/>
                <w:sz w:val="16"/>
                <w:szCs w:val="16"/>
                <w:color w:val="auto"/>
              </w:rPr>
              <w:t>Increase in equity method investment net earnings</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9760" w:type="dxa"/>
            <w:vAlign w:val="bottom"/>
          </w:tcPr>
          <w:p>
            <w:pPr>
              <w:ind w:left="820"/>
              <w:spacing w:after="0"/>
              <w:rPr>
                <w:sz w:val="20"/>
                <w:szCs w:val="20"/>
                <w:color w:val="auto"/>
              </w:rPr>
            </w:pPr>
            <w:r>
              <w:rPr>
                <w:rFonts w:ascii="Arial" w:cs="Arial" w:eastAsia="Arial" w:hAnsi="Arial"/>
                <w:sz w:val="16"/>
                <w:szCs w:val="16"/>
                <w:color w:val="auto"/>
              </w:rPr>
              <w:t>Changes in benefit plan non-service income</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5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(6)</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(7)</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6"/>
        </w:trPr>
        <w:tc>
          <w:tcPr>
            <w:tcW w:w="976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0.65</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6"/>
        </w:trPr>
        <w:tc>
          <w:tcPr>
            <w:tcW w:w="976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0.63</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Costs associated with JDE Peet's transaction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43"/>
        </w:trPr>
        <w:tc>
          <w:tcPr>
            <w:tcW w:w="97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or other (charges)/benefits, net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78"/>
        </w:trPr>
        <w:tc>
          <w:tcPr>
            <w:tcW w:w="9760" w:type="dxa"/>
            <w:vAlign w:val="bottom"/>
            <w:shd w:val="clear" w:color="auto" w:fill="CCEEFF"/>
          </w:tcPr>
          <w:p>
            <w:pPr>
              <w:ind w:left="680"/>
              <w:spacing w:after="0" w:line="178"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0.38</w:t>
            </w:r>
          </w:p>
        </w:tc>
        <w:tc>
          <w:tcPr>
            <w:tcW w:w="0" w:type="dxa"/>
            <w:vAlign w:val="bottom"/>
          </w:tcPr>
          <w:p>
            <w:pPr>
              <w:spacing w:after="0"/>
              <w:rPr>
                <w:sz w:val="1"/>
                <w:szCs w:val="1"/>
                <w:color w:val="auto"/>
              </w:rPr>
            </w:pPr>
          </w:p>
        </w:tc>
      </w:tr>
      <w:tr>
        <w:trPr>
          <w:trHeight w:val="218"/>
        </w:trPr>
        <w:tc>
          <w:tcPr>
            <w:tcW w:w="9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June 30, 2020</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right="120" w:hanging="332"/>
        <w:spacing w:after="0" w:line="24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 (refer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w:t>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gain/(loss) on equity method investment transactions.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KDP equity method investees.</w:t>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80" w:hanging="332"/>
        <w:spacing w:after="0" w:line="258"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35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12,618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12,600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63"/>
        </w:trPr>
        <w:tc>
          <w:tcPr>
            <w:tcW w:w="496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1,569</w:t>
            </w:r>
          </w:p>
        </w:tc>
        <w:tc>
          <w:tcPr>
            <w:tcW w:w="4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2,061</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5"/>
        </w:trPr>
        <w:tc>
          <w:tcPr>
            <w:tcW w:w="496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9"/>
              </w:rPr>
              <w:t>Net earnings attributable to</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496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1,280</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1,770</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496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7"/>
        </w:trPr>
        <w:tc>
          <w:tcPr>
            <w:tcW w:w="4960" w:type="dxa"/>
            <w:vAlign w:val="bottom"/>
          </w:tcPr>
          <w:p>
            <w:pPr>
              <w:jc w:val="center"/>
              <w:ind w:right="161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0.89</w:t>
            </w:r>
          </w:p>
        </w:tc>
        <w:tc>
          <w:tcPr>
            <w:tcW w:w="4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$18 million (0.1%) to $12,618 million in the first six months of 2020, and Organic Net Revenue</w:t>
      </w:r>
    </w:p>
    <w:p>
      <w:pPr>
        <w:spacing w:after="0" w:line="27" w:lineRule="exact"/>
        <w:rPr>
          <w:sz w:val="20"/>
          <w:szCs w:val="20"/>
          <w:color w:val="auto"/>
        </w:rPr>
      </w:pPr>
    </w:p>
    <w:p>
      <w:pPr>
        <w:ind w:right="280" w:firstLine="8"/>
        <w:spacing w:after="0" w:line="259" w:lineRule="auto"/>
        <w:tabs>
          <w:tab w:leader="none" w:pos="182" w:val="left"/>
        </w:tabs>
        <w:numPr>
          <w:ilvl w:val="0"/>
          <w:numId w:val="30"/>
        </w:numPr>
        <w:rPr>
          <w:rFonts w:ascii="Arial" w:cs="Arial" w:eastAsia="Arial" w:hAnsi="Arial"/>
          <w:sz w:val="21"/>
          <w:szCs w:val="21"/>
          <w:color w:val="auto"/>
          <w:vertAlign w:val="superscript"/>
        </w:rPr>
      </w:pPr>
      <w:r>
        <w:rPr>
          <w:rFonts w:ascii="Arial" w:cs="Arial" w:eastAsia="Arial" w:hAnsi="Arial"/>
          <w:sz w:val="17"/>
          <w:szCs w:val="17"/>
          <w:color w:val="auto"/>
        </w:rPr>
        <w:t xml:space="preserve">increased $459 million (3.7%) to $13,004 million. Developed markets net revenue increased 5.9% and developed markets Organic Net Revenue increased 5.9%. Emerging markets net revenues decreased 9.2%, including an unfavorable currency impact, and emerging markets Organic Net Revenue decreased 0.1% </w:t>
      </w:r>
      <w:r>
        <w:rPr>
          <w:rFonts w:ascii="Arial" w:cs="Arial" w:eastAsia="Arial" w:hAnsi="Arial"/>
          <w:sz w:val="20"/>
          <w:szCs w:val="20"/>
          <w:color w:val="auto"/>
          <w:vertAlign w:val="superscript"/>
        </w:rPr>
        <w:t>(1)</w:t>
      </w:r>
      <w:r>
        <w:rPr>
          <w:rFonts w:ascii="Arial" w:cs="Arial" w:eastAsia="Arial" w:hAnsi="Arial"/>
          <w:sz w:val="17"/>
          <w:szCs w:val="17"/>
          <w:color w:val="auto"/>
        </w:rPr>
        <w:t>. The underlying changes in net revenues and Organic Net Revenue are detailed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0.1 %</w:t>
            </w: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4.2 pp</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pp</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(1.1)pp</w:t>
            </w:r>
          </w:p>
        </w:tc>
        <w:tc>
          <w:tcPr>
            <w:tcW w:w="0" w:type="dxa"/>
            <w:vAlign w:val="bottom"/>
          </w:tcPr>
          <w:p>
            <w:pPr>
              <w:spacing w:after="0"/>
              <w:rPr>
                <w:sz w:val="1"/>
                <w:szCs w:val="1"/>
                <w:color w:val="auto"/>
              </w:rPr>
            </w:pPr>
          </w:p>
        </w:tc>
      </w:tr>
      <w:tr>
        <w:trPr>
          <w:trHeight w:val="256"/>
        </w:trPr>
        <w:tc>
          <w:tcPr>
            <w:tcW w:w="96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0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 increase of 0.1% was driven by our underlying Organic Net Revenue growth of 3.7% and the impact of acquisitions, mostly offset by unfavorable currency and the impact of a prior-year divestiture. Overall, net revenues were higher in developed markets, particularly North America, where due to the COVID-19 outbreak and response, demand for our products grew significantly as consumers increased their food purchases for in-home consumption. In some of our emerging markets, where we have a greater concentration of traditional trade, as well as in our gum and candy, world travel retail and foodservice businesses, revenues were negatively affected by mandated lockdowns and other related restrictions.</w:t>
      </w:r>
    </w:p>
    <w:p>
      <w:pPr>
        <w:spacing w:after="0" w:line="20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Organic Net Revenue growth was driven by both higher net pricing and favorable volume/mix. Net pricing was up, which includes the benefit of carryover pricing from 2019 as well as the effects of input cost-driven pricing actions taken during the first six months of 2020. Higher net pricing was reflected in all regions except Europe. Favorable volume/mix, reflecting overall volume gains despite being tempered by the net negative impact from the COVID-19 outbreak, was reflected in North America and Europe, partially offset by unfavorable volume/mix in Latin America and AMEA. The April 1, 2020 acquisition of Give &amp; Go added incremental net revenues of $91 million and the July 16, 2019 acquisition of a majority interest in Perfect Snacks added incremental net revenues of $ 55 million in the first six months of 2020. Unfavorable currency impacts decreased net revenues by $532 million, due primarily to the strength of the U.S. dollar relative to most currencies, including the Brazilian real, Argentinian peso, euro, Australian dollar, British pound sterling, Mexican peso, Russian ruble and Indian rupee. The impact of the May 28, 2019 divestiture of most of our cheese business in the Middle East and Africa resulted in a year-over-year decline in net revenues of $55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5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$492 million (23.9%) to $1,569 million in the first six months of 2020.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decreased $50 million (2.4%) to $2,048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$24 million (1.1%) to $2,122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tcPr>
          <w:p>
            <w:pPr>
              <w:spacing w:after="0"/>
              <w:rPr>
                <w:sz w:val="14"/>
                <w:szCs w:val="14"/>
                <w:color w:val="auto"/>
              </w:rPr>
            </w:pPr>
          </w:p>
        </w:tc>
      </w:tr>
      <w:tr>
        <w:trPr>
          <w:trHeight w:val="196"/>
        </w:trPr>
        <w:tc>
          <w:tcPr>
            <w:tcW w:w="8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Change</w:t>
            </w:r>
          </w:p>
        </w:tc>
      </w:tr>
      <w:tr>
        <w:trPr>
          <w:trHeight w:val="263"/>
        </w:trPr>
        <w:tc>
          <w:tcPr>
            <w:tcW w:w="8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2"/>
                <w:szCs w:val="22"/>
                <w:color w:val="auto"/>
              </w:rPr>
            </w:pPr>
          </w:p>
        </w:tc>
      </w:tr>
      <w:tr>
        <w:trPr>
          <w:trHeight w:val="276"/>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2,061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r>
      <w:tr>
        <w:trPr>
          <w:trHeight w:val="187"/>
        </w:trPr>
        <w:tc>
          <w:tcPr>
            <w:tcW w:w="806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52"/>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Six Months Ended June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2,098</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63"/>
        </w:trPr>
        <w:tc>
          <w:tcPr>
            <w:tcW w:w="8060" w:type="dxa"/>
            <w:vAlign w:val="bottom"/>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8060" w:type="dxa"/>
            <w:vAlign w:val="bottom"/>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Prior-year VAT-related settlements</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4"/>
        </w:trPr>
        <w:tc>
          <w:tcPr>
            <w:tcW w:w="806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6"/>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r>
      <w:tr>
        <w:trPr>
          <w:trHeight w:val="264"/>
        </w:trPr>
        <w:tc>
          <w:tcPr>
            <w:tcW w:w="80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Unfavorable currency translation</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6"/>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187"/>
        </w:trPr>
        <w:tc>
          <w:tcPr>
            <w:tcW w:w="806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6"/>
        </w:trPr>
        <w:tc>
          <w:tcPr>
            <w:tcW w:w="8060" w:type="dxa"/>
            <w:vAlign w:val="bottom"/>
          </w:tcPr>
          <w:p>
            <w:pPr>
              <w:ind w:left="840"/>
              <w:spacing w:after="0"/>
              <w:rPr>
                <w:sz w:val="20"/>
                <w:szCs w:val="20"/>
                <w:color w:val="auto"/>
              </w:rPr>
            </w:pPr>
            <w:r>
              <w:rPr>
                <w:rFonts w:ascii="Arial" w:cs="Arial" w:eastAsia="Arial" w:hAnsi="Arial"/>
                <w:sz w:val="18"/>
                <w:szCs w:val="18"/>
                <w:b w:val="1"/>
                <w:bCs w:val="1"/>
                <w:color w:val="auto"/>
              </w:rPr>
              <w:t>Six Months Ended June 30, 2020</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2,048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1"/>
                <w:szCs w:val="21"/>
                <w:color w:val="auto"/>
                <w:vertAlign w:val="superscript"/>
              </w:rPr>
              <w:t>(8)</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r>
      <w:tr>
        <w:trPr>
          <w:trHeight w:val="244"/>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52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right="58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40" w:right="34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ectPr>
          <w:pgSz w:w="11900" w:h="16838" w:orient="portrait"/>
          <w:cols w:equalWidth="0" w:num="1">
            <w:col w:w="11220"/>
          </w:cols>
          <w:pgMar w:left="320" w:top="355" w:right="35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20"/>
          </w:cols>
          <w:pgMar w:left="320" w:top="355"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six months of 2020, we realized higher net pricing, which was mostly offset by increased input costs. Higher net pricing, which included the carryover impact of pricing actions taken in 2019 as well as the effects of input cost-driven pricing actions taken during the first six months of 2020, was reflected in all regions except Europe. The increase in input costs was driven by higher raw material costs, as manufacturing costs were essentially flat as productivity was offset by incremental COVID-19 related costs. Higher raw material costs were in part due to higher currency exchange transaction costs on imported materials, as well as higher dairy, energy, cocoa, oil, nuts, sugar and other ingredients costs, partially offset by lower costs for grains. Favorable volume/mix was driven by North America and Europe, which was partially offset by unfavorable volume/mix in Latin America and AMEA.</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selling, general and administrative expenses increased $70 million from the first six months of 2019, due to a number of factors noted in the table above, including in part, costs associated with the JDE Peet's transaction, the impact of acquisitions, lapping the benefit from prior-year pension participation changes and higher acquisition-related costs, which were more than offset by a favorable currency impact related to expenses, lower implementation costs incurred for the Simplify to Grow Program, lower divestiture-related costs, lapping prior-year VAT-related settlements, lapping prior-year CEO transition remuneration and lapping the prior-year divestiture. Excluding these factors, selling, general and administrative expenses increased $ 72 million from the first six months of 2019. The increase was driven primarily by higher overheads reflecting route-to-market investments as well as incremental COVID-19 related costs and higher advertising and consumer promotion costs.</w:t>
      </w:r>
    </w:p>
    <w:p>
      <w:pPr>
        <w:spacing w:after="0" w:line="20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recorded an expense of $11 million from VAT-related settlements in Latin America in the first six months of 2019. Unfavorable currency changes decreased operating income by $74 million due primarily to the strength of the U.S. dollar relative to most currencies, including the Brazilian real, euro, Argentinian peso, British pound sterling, Australian dollar, Chinese yuan and Russian ruble.</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income margin decreased from 16.4% in the first six months of 2019 to 12.4% in the first six months of 2020. The decrease in operating income margin was driven primarily by the year-over-year unfavorable change in mark-to-market gains/(losses) from currency and commodity hedging activities, intangible asset impairment charges, lower Adjusted Operating Income margin reflecting COVID-19 related impacts, lapping the prior-year gain on a divestiture, costs associated with the JDE Peet's transaction and lapping the benefit from prior-year pension participation changes, partially offset by lower implementation costs for the Simplify to Grow Program. Adjusted Operating Income margin decreased from 16.7% for the first six months of 2019 to 16.2% for first six months of 2020. The decrease in Adjusted Operating Income margin was driven primarily by higher raw material costs, COVID-19 related costs and the impact of acquisitions, partially offset by higher pricing and productivity.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35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$1,280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$490 million (27.7%) in the first six months of 2020. Diluted EPS attributable to Mondelēz International was $0.89 in the first six months of 2020, down $0.32 (26.4%) from the first six months of 2019.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$1.30 in the first six months of 2020, up $0.05 (4.0%) from the first six months of 2019.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$1.35 in the first six months of 2020, up $0.10 (8.0%) from the first six months of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21"/>
        </w:trPr>
        <w:tc>
          <w:tcPr>
            <w:tcW w:w="9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97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Six Months Ended June 30, 2019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Net gain on divestitures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Net loss on equity method investment transactions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or other charges/(benefits), net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9760" w:type="dxa"/>
            <w:vAlign w:val="bottom"/>
            <w:shd w:val="clear" w:color="auto" w:fill="CCEEFF"/>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233"/>
        </w:trPr>
        <w:tc>
          <w:tcPr>
            <w:tcW w:w="9760" w:type="dxa"/>
            <w:vAlign w:val="bottom"/>
          </w:tcPr>
          <w:p>
            <w:pPr>
              <w:ind w:left="820"/>
              <w:spacing w:after="0"/>
              <w:rPr>
                <w:sz w:val="20"/>
                <w:szCs w:val="20"/>
                <w:color w:val="auto"/>
              </w:rPr>
            </w:pPr>
            <w:r>
              <w:rPr>
                <w:rFonts w:ascii="Arial" w:cs="Arial" w:eastAsia="Arial" w:hAnsi="Arial"/>
                <w:sz w:val="16"/>
                <w:szCs w:val="16"/>
                <w:color w:val="auto"/>
              </w:rPr>
              <w:t>Increase in operations</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5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Decrease in equity method investment net earnings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3"/>
        </w:trPr>
        <w:tc>
          <w:tcPr>
            <w:tcW w:w="9760" w:type="dxa"/>
            <w:vAlign w:val="bottom"/>
          </w:tcPr>
          <w:p>
            <w:pPr>
              <w:ind w:left="820"/>
              <w:spacing w:after="0"/>
              <w:rPr>
                <w:sz w:val="20"/>
                <w:szCs w:val="20"/>
                <w:color w:val="auto"/>
              </w:rPr>
            </w:pPr>
            <w:r>
              <w:rPr>
                <w:rFonts w:ascii="Arial" w:cs="Arial" w:eastAsia="Arial" w:hAnsi="Arial"/>
                <w:sz w:val="16"/>
                <w:szCs w:val="16"/>
                <w:color w:val="auto"/>
              </w:rPr>
              <w:t>Changes in benefit plan non-service income</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7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9760" w:type="dxa"/>
            <w:vAlign w:val="bottom"/>
            <w:shd w:val="clear" w:color="auto" w:fill="CCEEFF"/>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2020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1.35</w:t>
            </w:r>
          </w:p>
        </w:tc>
        <w:tc>
          <w:tcPr>
            <w:tcW w:w="0" w:type="dxa"/>
            <w:vAlign w:val="bottom"/>
          </w:tcPr>
          <w:p>
            <w:pPr>
              <w:spacing w:after="0"/>
              <w:rPr>
                <w:sz w:val="1"/>
                <w:szCs w:val="1"/>
                <w:color w:val="auto"/>
              </w:rPr>
            </w:pPr>
          </w:p>
        </w:tc>
      </w:tr>
      <w:tr>
        <w:trPr>
          <w:trHeight w:val="237"/>
        </w:trPr>
        <w:tc>
          <w:tcPr>
            <w:tcW w:w="97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2020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Costs associated with JDE Peet's transaction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Equity method investee acquisition-related or other (charges)/benefits, net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78"/>
        </w:trPr>
        <w:tc>
          <w:tcPr>
            <w:tcW w:w="9760" w:type="dxa"/>
            <w:vAlign w:val="bottom"/>
          </w:tcPr>
          <w:p>
            <w:pPr>
              <w:ind w:left="680"/>
              <w:spacing w:after="0" w:line="178"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0.89</w:t>
            </w:r>
          </w:p>
        </w:tc>
        <w:tc>
          <w:tcPr>
            <w:tcW w:w="0" w:type="dxa"/>
            <w:vAlign w:val="bottom"/>
          </w:tcPr>
          <w:p>
            <w:pPr>
              <w:spacing w:after="0"/>
              <w:rPr>
                <w:sz w:val="1"/>
                <w:szCs w:val="1"/>
                <w:color w:val="auto"/>
              </w:rPr>
            </w:pPr>
          </w:p>
        </w:tc>
      </w:tr>
      <w:tr>
        <w:trPr>
          <w:trHeight w:val="223"/>
        </w:trPr>
        <w:tc>
          <w:tcPr>
            <w:tcW w:w="9760" w:type="dxa"/>
            <w:vAlign w:val="bottom"/>
          </w:tcPr>
          <w:p>
            <w:pPr>
              <w:ind w:left="820"/>
              <w:spacing w:after="0"/>
              <w:rPr>
                <w:sz w:val="20"/>
                <w:szCs w:val="20"/>
                <w:color w:val="auto"/>
              </w:rPr>
            </w:pPr>
            <w:r>
              <w:rPr>
                <w:rFonts w:ascii="Arial" w:cs="Arial" w:eastAsia="Arial" w:hAnsi="Arial"/>
                <w:sz w:val="16"/>
                <w:szCs w:val="16"/>
                <w:b w:val="1"/>
                <w:bCs w:val="1"/>
                <w:color w:val="auto"/>
              </w:rPr>
              <w:t>Six Months Ended June 30, 2020</w:t>
            </w:r>
          </w:p>
        </w:tc>
        <w:tc>
          <w:tcPr>
            <w:tcW w:w="2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right="12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 (refer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gain/(loss) on equity method investment transactions.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KDP equity method investees.</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35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5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3"/>
        </w:trPr>
        <w:tc>
          <w:tcPr>
            <w:tcW w:w="50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09"/>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1,537</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1,237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2,893</w:t>
            </w: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Europe</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2,138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4,798</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2,025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3,920</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r>
      <w:tr>
        <w:trPr>
          <w:trHeight w:val="28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5,911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12,618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12,600</w:t>
            </w:r>
          </w:p>
        </w:tc>
      </w:tr>
      <w:tr>
        <w:trPr>
          <w:trHeight w:val="41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AMEA</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447</w:t>
            </w:r>
          </w:p>
        </w:tc>
      </w:tr>
      <w:tr>
        <w:trPr>
          <w:trHeight w:val="277"/>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726</w:t>
            </w:r>
          </w:p>
        </w:tc>
      </w:tr>
      <w:tr>
        <w:trPr>
          <w:trHeight w:val="235"/>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(losses)/gains on hedging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7"/>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5020" w:type="dxa"/>
            <w:vAlign w:val="bottom"/>
          </w:tcPr>
          <w:p>
            <w:pPr>
              <w:ind w:left="380"/>
              <w:spacing w:after="0"/>
              <w:rPr>
                <w:sz w:val="20"/>
                <w:szCs w:val="20"/>
                <w:color w:val="auto"/>
              </w:rPr>
            </w:pPr>
            <w:r>
              <w:rPr>
                <w:rFonts w:ascii="Arial" w:cs="Arial" w:eastAsia="Arial" w:hAnsi="Arial"/>
                <w:sz w:val="18"/>
                <w:szCs w:val="18"/>
                <w:color w:val="auto"/>
              </w:rPr>
              <w:t>Net gain on divestiture</w:t>
            </w:r>
          </w:p>
        </w:tc>
        <w:tc>
          <w:tcPr>
            <w:tcW w:w="9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7"/>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2,061</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63"/>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5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9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737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513"/>
        </w:trPr>
        <w:tc>
          <w:tcPr>
            <w:tcW w:w="4960" w:type="dxa"/>
            <w:vAlign w:val="bottom"/>
          </w:tcPr>
          <w:p>
            <w:pPr>
              <w:spacing w:after="0"/>
              <w:rPr>
                <w:sz w:val="24"/>
                <w:szCs w:val="24"/>
                <w:color w:val="auto"/>
              </w:rPr>
            </w:pPr>
          </w:p>
        </w:tc>
        <w:tc>
          <w:tcPr>
            <w:tcW w:w="302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49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4"/>
        </w:trPr>
        <w:tc>
          <w:tcPr>
            <w:tcW w:w="49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3"/>
        </w:trPr>
        <w:tc>
          <w:tcPr>
            <w:tcW w:w="49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1,237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1,537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decreased $226 million (30.7%), due to unfavorable currency (19.4 pp) and unfavorable volume/mix (18.8 pp), partially offset by higher net pricing (7.5 pp). Unfavorable currency impacts were due primarily to the strength of the U.S. dollar relative to most currencies in the region including the Brazilian real, Argentinian peso and Mexican peso. Unfavorable volume/mix was due to the negative volume impact from the COVID-19 outbreak as well as the impact of pricing-related elasticity. Unfavorable volume/mix was driven by declines in gum, candy, biscuits, chocolate and refreshment beverages, partially offset by gains in cheese &amp; grocery. Higher net pricing was reflected across all categories, driven primarily by Argentina, Brazil and Mexico.</w:t>
      </w:r>
    </w:p>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income decreased $ 74 million (108.8%), primarily due to unfavorable volume/mix, higher raw material costs and higher other selling, general and administrative expenses (net of lapping the expense of a VAT-related settlement in 2019). These unfavorable items were partially offset by higher net pricing, lower advertising and consumer promotion costs and lower costs incurred for the Simplify to Grow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decreased $300 million (19.5%), due to unfavorable currency (17.7 pp) and unfavorable volume/mix (10.0 pp), partially offset by higher net pricing (8.2 pp). Unfavorable currency impacts were due primarily to the strength of the U.S. dollar relative to most currencies in the region including the Brazilian real, Argentinian peso and Mexican peso. Unfavorable volume/mix was due to the negative volume impact from the COVID-19 outbreak as well as the impact of pricing-related elasticity. Unfavorable volume/mix was driven by declines in gum, candy, chocolate, refreshment beverages and biscuits, partially offset by gains in cheese &amp; grocery. Higher net pricing was reflected across all categories, driven primarily by Argentina, Mexico and Brazil.</w:t>
      </w:r>
    </w:p>
    <w:p>
      <w:pPr>
        <w:spacing w:after="0" w:line="2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Segment operating income decreased $94 million (56.6%), primarily due to unfavorable volume/mix, higher raw material costs, higher other selling, general and administrative expenses (net of lapping the expense of VAT-related settlements in 2019) and unfavorable currency. These unfavorable items were partially offset by higher net pricing, lower advertising and consumer promotion costs, lower costs incurred for the Simplify to Grow Program and lower manufacturing costs (net of incremental COVID-19 related costs).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5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3"/>
        </w:trPr>
        <w:tc>
          <w:tcPr>
            <w:tcW w:w="49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1,237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59"/>
        </w:trPr>
        <w:tc>
          <w:tcPr>
            <w:tcW w:w="4960" w:type="dxa"/>
            <w:vAlign w:val="bottom"/>
          </w:tcPr>
          <w:p>
            <w:pPr>
              <w:spacing w:after="0"/>
              <w:rPr>
                <w:sz w:val="24"/>
                <w:szCs w:val="24"/>
                <w:color w:val="auto"/>
              </w:rPr>
            </w:pPr>
          </w:p>
        </w:tc>
        <w:tc>
          <w:tcPr>
            <w:tcW w:w="302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49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4"/>
        </w:trPr>
        <w:tc>
          <w:tcPr>
            <w:tcW w:w="49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2,739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2,893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decreased $115 million (8.5%), due to unfavorable volume/mix (4.6 pp), unfavorable currency (3.9 pp) and the impact of a divestiture (1.5 pp), partially offset by higher net pricing (1.5 pp). Unfavorable volume/mix was due to the negative impact from COVID-19 related lockdowns impacting our traditional trade markets. Unfavorable volume/mix was driven by declines in chocolate, gum, candy and refreshment beverages, partially offset by gains in biscuits and cheese &amp; grocery. Unfavorable currency impacts were due to the strength of the U.S. dollar relative to several currencies in the region, including the Indian rupee, South African rand, Australian dollar and Chinese yuan. The May 28, 2019 divestiture of most of our cheese business in the Middle East and Africa resulted in a year-over-year decline in net revenues of $22 million. Higher net pricing was driven by chocolate, refreshment beverages, biscuits and cheese &amp; grocery, partially offset by lower net pricing in gum and candy.</w:t>
      </w:r>
    </w:p>
    <w:p>
      <w:pPr>
        <w:spacing w:after="0" w:line="20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Segment operating income decreased $20 million (10.5%), primarily due to unfavorable volume/mix, higher raw material costs, unfavorable currency, intangible asset impairment charges and the impact of the prior-year divestiture. These unfavorable items were partially offset by higher net pricing, lower other selling, general and administrative expenses, lower advertising and consumer promotion costs and lower manufacturing costs (net of incremental COVID-19 related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Net revenues decreased $154 million (5.3%), due to unfavorable currency (3.2 pp), the impact of a divestiture (1.8 pp) and unfavorable volume/mix (1.7 pp), partially offset by higher net pricing (1.4 pp). Unfavorable currency impacts were due to the strength of the U.S. dollar relative to several currencies in the region, including the Australian dollar, Indian rupee, Chinese yuan and South African rand. The May 28, 2019 divestiture of most of our cheese business in the Middle East and Africa resulted in a year-over-year decline in net revenues of $55 million. Unfavorable volume/mix was due to unfavorable product mix as overall higher volume was tempered by the negative volume impact from COVID-19 related lockdowns impacting our traditional trade markets. Unfavorable volume/mix was driven by declines in gum, chocolate, refreshment beverages and candy, partially offset by gains in biscuits and cheese &amp; grocery. Higher net pricing was driven by refreshment beverages, biscuits, chocolate and cheese &amp; grocery, partially offset by lower net pricing in candy and gum.</w:t>
      </w: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Segment operating income decreased $42 million (9.4%), primarily due to higher raw material costs, unfavorable volume/mix, unfavorable currency, the impact of the prior-year divestiture and intangible asset impairment charges. These unfavorable items were partially offset by higher net pricing, lower manufacturing costs (net of incremental COVID-19 related costs), lower costs incurred for the Simplify to Grow Program, lower divestiture-related costs (including the current year reversal of accruals no longer required) and higher other selling, general and administrative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5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9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2,138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2,247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297</w:t>
            </w:r>
          </w:p>
        </w:tc>
        <w:tc>
          <w:tcPr>
            <w:tcW w:w="3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408</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756"/>
        </w:trPr>
        <w:tc>
          <w:tcPr>
            <w:tcW w:w="4960" w:type="dxa"/>
            <w:vAlign w:val="bottom"/>
          </w:tcPr>
          <w:p>
            <w:pPr>
              <w:spacing w:after="0"/>
              <w:rPr>
                <w:sz w:val="24"/>
                <w:szCs w:val="24"/>
                <w:color w:val="auto"/>
              </w:rPr>
            </w:pPr>
          </w:p>
        </w:tc>
        <w:tc>
          <w:tcPr>
            <w:tcW w:w="302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49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3"/>
        </w:trPr>
        <w:tc>
          <w:tcPr>
            <w:tcW w:w="49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4,722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4,798</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769</w:t>
            </w:r>
          </w:p>
        </w:tc>
        <w:tc>
          <w:tcPr>
            <w:tcW w:w="3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908</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decreased $109 million (4.9%), due to unfavorable currency (3.7 pp), lower net pricing (0.8 pp) and unfavorable volume/mix (0.4 pp). Unfavorable currency impacts reflected the strength of the U.S. dollar relative to most currencies in the region, primarily the euro, Russian ruble, British pound sterling, Norwegian krone and Turkish lira. Lower net pricing was driven by chocolate, biscuits and refreshment beverages, partially offset by higher net pricing in cheese &amp; grocery, candy and gum. Unfavorable volume/mix was due to unfavorable product mix, as overall higher volume was tempered by the net negative volume impact from the COVID-19 outbreak as increased food purchases for in-home consumption were more than offset by a negative volume impact on our world travel retail and foodservice businesses due to lockdowns and other restrictions. Unfavorable volume/mix was driven by declines in biscuits, gum and candy, mostly offset by gains in chocolate, cheese &amp; grocery and refreshment beverages.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Segment operating income decreased $111 million (27.2%), primarily due to intangible asset impairment charges, unfavorable volume/mix, unfavorable currency, lower net pricing, higher manufacturing costs driven by incremental COVID-19 related costs, higher raw material costs and higher other selling, general and administrative expenses. These unfavorable items were partially offset by lower advertising and consumer promotion costs and lower costs incurred for the Simplify to Grow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decreased $76 million (1.6%), due to unfavorable currency (3.4 pp) and lower net pricing (0.2 pp), partially offset by favorable volume/mix (2.0 pp). Unfavorable currency impacts reflected the strength of the U.S. dollar relative to most currencies in the region, primarily the euro, British pound sterling, Russian ruble, Norwegian krone and Turkish lira. Lower net pricing was driven by chocolate, biscuits and refreshment beverages, partially offset by higher net pricing in cheese &amp; grocery, candy and gum. Favorable volume/mix, despite unfavorable product mix, was tempered by the net impact from the COVID-19 outbreak, as increased food purchases for in-home consumption were more than offset by a negative volume impact on our world travel retail and foodservice businesses due to lockdowns and other restrictions. Favorable volume/mix was driven by gains in chocolate, cheese &amp; grocery and refreshment beverages, partially offset by declines in gum, candy and biscuits.</w:t>
      </w:r>
    </w:p>
    <w:p>
      <w:pPr>
        <w:spacing w:after="0" w:line="20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Segment operating income decreased $139 million (15.3%), primarily due to intangible asset impairment charges, unfavorable currency, higher raw material costs, higher manufacturing costs driven by incremental COVID-19 related costs, higher other selling, general and administrative expenses and lower net pricing. These unfavorable items were partially offset by favorable volume/mix and lower advertising and consumer promotion costs.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5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19284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63"/>
        </w:trPr>
        <w:tc>
          <w:tcPr>
            <w:tcW w:w="49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76"/>
        </w:trPr>
        <w:tc>
          <w:tcPr>
            <w:tcW w:w="4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2,025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1,726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49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4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407</w:t>
            </w:r>
          </w:p>
        </w:tc>
        <w:tc>
          <w:tcPr>
            <w:tcW w:w="40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756"/>
        </w:trPr>
        <w:tc>
          <w:tcPr>
            <w:tcW w:w="4980" w:type="dxa"/>
            <w:vAlign w:val="bottom"/>
          </w:tcPr>
          <w:p>
            <w:pPr>
              <w:spacing w:after="0"/>
              <w:rPr>
                <w:sz w:val="24"/>
                <w:szCs w:val="24"/>
                <w:color w:val="auto"/>
              </w:rPr>
            </w:pPr>
          </w:p>
        </w:tc>
        <w:tc>
          <w:tcPr>
            <w:tcW w:w="304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For the Six Months Ended</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4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64"/>
        </w:trPr>
        <w:tc>
          <w:tcPr>
            <w:tcW w:w="49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76"/>
        </w:trPr>
        <w:tc>
          <w:tcPr>
            <w:tcW w:w="4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3,920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3,372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49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805</w:t>
            </w:r>
          </w:p>
        </w:tc>
        <w:tc>
          <w:tcPr>
            <w:tcW w:w="4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726</w:t>
            </w:r>
          </w:p>
        </w:tc>
        <w:tc>
          <w:tcPr>
            <w:tcW w:w="40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increased $299 million (17.3%), due to favorable volume/mix (7.4 pp), the impact of acquisitions (6.6 pp) and higher net pricing (3.6 pp), partially offset by unfavorable currency (0.3 pp). Favorable volume/mix, in part due to the positive volume impact from COVID-19 as consumers increased their food purchases for in-home consumption, was driven by gains in biscuits, partially offset by declines in gum, candy and chocolate. The April 1, 2020 acquisition of Give &amp; Go added incremental net revenues of $91 million and the July 16, 2019 acquisition of a majority interest in Perfect Snacks added net revenues of $23 million in the second quarter of 2020. Higher net pricing was reflected across all categories except candy. Unfavorable currency impact was due to the strength of the U.S. dollar relative to the Canadian dollar.</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income increased $ 17 million (4.2%), primarily due to favorable volume/mix and higher net pricing. These favorable items were partially offset by intangible asset impairment charges, lapping the benefit from prior-year pension participation changes, higher advertising and consumer promotion costs, higher other selling, general and administrative expenses (including incremental COVID-19 related costs) and higher raw material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increased $548 million (16.3%), due to favorable volume/mix (9.8 pp), the impact of acquisitions (4.3 pp) and higher net pricing (2.4 pp), partially offset by unfavorable currency (0.2 pp). Favorable volume/mix, in part due to the positive volume impact from COVID-19 as consumers increased their food purchases for in-home consumption, was driven by gains in biscuits and candy, partially offset by declines in gum and chocolate. The April 1, 2020 acquisition of Give &amp; Go added incremental net revenues of $91 million and the July 16, 2019 acquisition of a majority interest in Perfect Snacks added net revenues of $ 55 million in the first six months of 2020. Higher net pricing was driven by biscuits and chocolate, partially offset by lower net pricing in gum and candy. Unfavorable currency impact was due to the strength of the U.S. dollar relative to the Canadian dollar.</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Segment operating income increased $79 million (10.9%), primarily due to favorable volume/mix and higher net pricing. These favorable items were partially offset by higher advertising and consumer promotion costs, intangible asset impairment charges, lapping the benefit from prior-year pension participation changes, higher other selling, general and administrative expenses (including incremental COVID-19 related costs), higher raw material costs and higher manufacturing costs driven by incremental COVID-19 related costs.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5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In light of the current uncertainty in the global markets related to the COVID-19 outbreak, however, an economic or credit crisis could occur and impair credit availability and our ability to raise capital when needed. A disruption in the financial markets could also impair our banking and other business partners, on whom we rely for access to capital and as counterparties for a number of our derivative contracts. Any of these and other developments could materially harm our access to capital or financial condition. As a precautionary measure and to preserve financial flexibility, we increased our credit facility borrowing capacity in the first half of 2020. Refer to </w:t>
      </w:r>
      <w:r>
        <w:rPr>
          <w:rFonts w:ascii="Arial" w:cs="Arial" w:eastAsia="Arial" w:hAnsi="Arial"/>
          <w:sz w:val="18"/>
          <w:szCs w:val="18"/>
          <w:i w:val="1"/>
          <w:iCs w:val="1"/>
          <w:color w:val="auto"/>
        </w:rPr>
        <w:t>Recent Developments and Significant Items Affecting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Comparability </w:t>
      </w:r>
      <w:r>
        <w:rPr>
          <w:rFonts w:ascii="Arial" w:cs="Arial" w:eastAsia="Arial" w:hAnsi="Arial"/>
          <w:sz w:val="18"/>
          <w:szCs w:val="18"/>
          <w:color w:val="auto"/>
        </w:rPr>
        <w:t>and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for additional details. We also continue to utilize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international credit lines, and we recently secured and continue to evaluate long-term debt issuances to meet our short- and longer-term funding requirements. We also use intercompany loans with our international subsidiaries to improve financial flexibility. In connection with various legislatively authorized tax payment deferral mechanisms available for income tax, indirect tax (such as value-added tax) and payroll tax in a number of jurisdictions, we were able to defer certain of these tax payments, which provided a cash benefit that will reverse when the cash tax payments become due. Overall, we do not expect any negative effects to our funding sources that would have a material effect on our liquidity; however, if a serious economic or credit market crisis ensues, it could have a material adverse effect on our liquidity,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provided by operating activities was $ 1,558 million in the first six months of 2020 and $1,046 million in the first six months of 2019. The increase in net cash provided by operating activities was due primarily to lower cash tax payments and lower working capital requirements, partially offset by payments of interest rate swap cash settlements and payments for several indirect tax matters that were resolved during the fourth quarter of 2019 under a tax amnesty program in India.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cash used in investing activities was $1,037 million in the first six months of 2020 and $267 million in the first six months of 2019. The increase in net cash used in investing activities was due primarily to cash paid to acquire a majority interest in Give &amp; Go, the payment of interest rate swaps for which the planned tenor of the related forecasted debt was changed and lower cash receipts from the settlement and replacement of net investment hedge derivative contracts, partially offset by cash received from the sale of shares in the JDE Peet's and KDP offerings and lower capital expenditures. We continue to make capital expenditures primarily to modernize manufacturing facilities and support new product and productivity initiatives. During the first quarter of 2020 and due to the ongoing COVID-19 situation, we reduced our expected 2020 capital expenditures from up to $0.9 billion to up to $0.8 billion, including capital expenditures in connection with our Simplify to Grow Program. We expect to continue to fund these expenditures with cash from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cash used in financing activities was $181 million in the first six months of 2020 and $639 million in the first six months of 2019. The decrease in cash used in financing activities was primarily due to higher net debt issuances and lower share repurchases, partially offset by higher dividends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six months of 2020.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70.6% (or $8.9 billion) of the $12.6 billion of consolidated net revenue in the six months ended June 30, 2020. The operations held by MIHN represented approximately 90.4% (or $23.6 billion) of the $26.1 billion of net assets as of June 30, 2020 and 87.2% (or $23.9 billion) of the $27.3 billion of net assets as of December 31, 2019.</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355" w:right="3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During February 2020, our Board of Directors approved a new $8.0 billion long-term financing authority to replace the prior $5.0 billion authority. As of June 30, 2020, we had $5.5 billion of long-term financing authority remaining.</w:t>
      </w:r>
    </w:p>
    <w:p>
      <w:pPr>
        <w:spacing w:after="0" w:line="13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the 12 months subsequent to June 30, 2020, approximately $0.9 billion of long-term debt will mature as follows: $143 million in October 2020 and $763 million in January 2021. We expect to fund these repayments with a combination of cash from operations, short-term borrowings, including issuance of commercial paper, and long-term debt.</w:t>
      </w:r>
    </w:p>
    <w:p>
      <w:pPr>
        <w:spacing w:after="0" w:line="13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 xml:space="preserve">Our total debt was $19.7 billion at June 30, 2020 and $18.4 billion at December 31, 2019. Our debt-to-capitalization ratio was 0.43 at June 30, 2020 and 0.40 at December 31, 2019. At June 30, 2020, the weighted-average term of our outstanding long-term debt was 6.0 years. Our average daily commercial paper borrowings outstanding were $3.6 billion in the first six months of 2020 and $4.2 billion in the first six months of 2019. We had commercial paper outstanding totaling $2.7 billion as of June 30, 2020 and $2.6 billion as of December 31, 2019. We expect to continue to use commercial paper to finance various short-term financing needs. We continue to comply with our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six months of 2020, the primary drivers of the increase in our aggregate commodity costs were higher currency exchange transaction costs on imported materials, as well as increased costs for dairy, energy, cocoa, oils, nuts, sugar and other ingredients, partially offset by lower costs for grains.</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number of external factors such as the current COVID-19 global pandemic,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expect price volatility and a higher aggregate cost environment to continue in the remainder of 2020.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information on debt transactions during 2020.There were no other material developments or changes to our off-balance sheet arrangements and aggregate contractual obligations disclosed in our Annual Report on Form 10-K for the year ended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six months ended June 30, 2020.</w:t>
      </w:r>
    </w:p>
    <w:p>
      <w:pPr>
        <w:spacing w:after="0" w:line="19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repurchased shares at an aggregate cost of $17.2 billion, at a weighted-average cost of $40.09 per share, through June 30, 2020 ($0.7 billion in the first six months of 2020, $1.5 billion in 2019, $2.0 billion in 2018, $2.2 billion in 2017, $2.6 billion in 2016, $3.6 billion in 2015, $1.9 billion in 2014 and $2.7 billion in 2013). The number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35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paid dividends of $ 819 million in the first six months of 2020 and $756 million in the first six months of 2019. The second quarter 2020 dividend of $0.285 per share, declared on May 13, 2020 for shareholders of record as of June 30, 2020, was paid on July 14, 2020. On July 28, 2020, the Finance Committee, with authorization delegated from our Board of Directors, declared a quarterly cash dividend of $0.315 per share of Class A Common Stock, an increase of 11 percent. This dividend is payable on October 14, 2020, to shareholders of record as of September 30, 2020.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anticipate that the 2020 distributions will be characterized as dividends under U.S. federal income tax rules. The final determination will be made on an IRS Form 1099–DIV issued in early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2019.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2019.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the impact of new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“likely,” “estimate,” “anticipate,” “objective,” “predict,” “project,” “position,” “seek,” “aim,” “potential,” “outlook” and similar expressions are intended to identify our forward-looking statements, including but not limited to statements about: the impact of the COVID-19 outbreak on consumer demand, costs, product mix, the availability of our products, our strategic initiatives, our and our partners’ global supply chains, operations and routes to market, and our financial results; our future performance, including our future revenue and earnings growth; our strategy to accelerate consumer-centric growth, drive operational excellence and create a winning growth culture; volatility in global consumer, commodity, currency and capital markets; price volatility and pricing actions; the cost environment and measures to address increased costs; our ability to meet demand for our products; our tax rate, tax positions, tax proceedings and the impact of U.S. and Swiss tax reform on our results; the United Kingdom’s withdrawal from the European Union and its impact on our results, including the consequences of any trade or other cross-border operating agreements, or failure to reach agreements, following the United Kingdom’s withdrawal from the European Union; the costs of, timing of expenditures under and completion of our restructuring program; commodity prices and supply; our investments including in JDE Peet's and KDP; political, business and economic conditions and volatility; currency exchange rates, controls and restrictions and the effect of currency translation on our results of operations; the application of highly inflationary accounting for our Argentinian subsidiaries and the potential for and impacts from currency devaluation in other countries; the outcome and effects on us of legal proceedings and government investigations;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35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liquidity, funding sources and uses of funding, including debt issuances and our use of commercial paper; steps we have taken to enhance our capital structure and liquidity, credit availability and our ability to raise capital, and the impact of market disruptions on counterparties and business partners; the planned phase out of London Interbank Offered Rates; our risk management program, including the use of financial instruments and the impacts and effectiveness of our hedging activities; working capital; capital expenditures and funding; funding of debt maturities; share repurchases; dividends; long-term value for our shareholders; the characterization of 2020 distributions as dividends; compliance with our debt covenants; and our contractual and other obligations.</w:t>
      </w:r>
    </w:p>
    <w:p>
      <w:pPr>
        <w:spacing w:after="0" w:line="1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These forward-looking statements involve risks and uncertainties, many of which are beyond our control, and many of these risks and uncertainties are currently amplified by and may continue to be amplified by the COVID-19 outbreak. Important factors that could cause actual results to differ materially from those described in our forward-looking statements include, but are not limited to, uncertainty about the magnitude, duration, geographic reach, impact on the global economy and related current and potential travel restrictions of the COVID-19 outbreak; the current, and uncertain future, impact of the COVID-19 outbreak on our business, growth, reputation, prospects, financial condition, operating results (including components of our financial results), cash flows and liquidity;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global or regional health pandemics or epidemics, including COVID-19;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w:t>
      </w:r>
      <w:r>
        <w:rPr>
          <w:rFonts w:ascii="Arial" w:cs="Arial" w:eastAsia="Arial" w:hAnsi="Arial"/>
          <w:sz w:val="18"/>
          <w:szCs w:val="18"/>
          <w:color w:val="212529"/>
        </w:rPr>
        <w:t>the impact of climate change on our supply chain and operations;</w:t>
      </w:r>
      <w:r>
        <w:rPr>
          <w:rFonts w:ascii="Arial" w:cs="Arial" w:eastAsia="Arial" w:hAnsi="Arial"/>
          <w:sz w:val="18"/>
          <w:szCs w:val="18"/>
          <w:color w:val="auto"/>
        </w:rPr>
        <w:t xml:space="preserve">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11"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35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left="640" w:hanging="322"/>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and currency rate fluctuations</w:t>
      </w:r>
    </w:p>
    <w:p>
      <w:pPr>
        <w:ind w:left="640" w:right="200" w:firstLine="2"/>
        <w:spacing w:after="0" w:line="241" w:lineRule="auto"/>
        <w:tabs>
          <w:tab w:leader="none" w:pos="872"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color w:val="auto"/>
        </w:rPr>
        <w:t>We also evaluate Organic Net Revenue growth from emerging markets and developed markets. Our emerging markets include our Latin America region in its entirety; the AMEA region, excluding Australia, New Zealand and Japan; and the following countries from the Europe region: Russia, Ukraine, Turkey, Kazakhstan,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216" w:lineRule="exact"/>
        <w:rPr>
          <w:rFonts w:ascii="Arial" w:cs="Arial" w:eastAsia="Arial" w:hAnsi="Arial"/>
          <w:sz w:val="22"/>
          <w:szCs w:val="22"/>
          <w:color w:val="auto"/>
          <w:vertAlign w:val="superscript"/>
        </w:rPr>
      </w:pPr>
    </w:p>
    <w:p>
      <w:pPr>
        <w:ind w:left="640" w:right="200" w:hanging="322"/>
        <w:spacing w:after="0" w:line="225"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“Adjusted Operating Income” is defined as operating income excluding the impacts of the Simplify to Grow Program </w:t>
      </w:r>
      <w:r>
        <w:rPr>
          <w:rFonts w:ascii="Arial" w:cs="Arial" w:eastAsia="Arial" w:hAnsi="Arial"/>
          <w:sz w:val="20"/>
          <w:szCs w:val="20"/>
          <w:color w:val="auto"/>
          <w:vertAlign w:val="superscript"/>
        </w:rPr>
        <w:t>(4)</w:t>
      </w:r>
      <w:r>
        <w:rPr>
          <w:rFonts w:ascii="Arial" w:cs="Arial" w:eastAsia="Arial" w:hAnsi="Arial"/>
          <w:sz w:val="17"/>
          <w:szCs w:val="17"/>
          <w:color w:val="auto"/>
        </w:rPr>
        <w:t xml:space="preserve">; gains or losses (including non-cash impairment charges) on goodwill and intangible assets; divestiture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or acquisition gains or losses and related divestiture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acquisition and integration costs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the operating results of divestitures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remeasurement of net monetary position </w:t>
      </w:r>
      <w:r>
        <w:rPr>
          <w:rFonts w:ascii="Arial" w:cs="Arial" w:eastAsia="Arial" w:hAnsi="Arial"/>
          <w:sz w:val="20"/>
          <w:szCs w:val="20"/>
          <w:color w:val="auto"/>
          <w:vertAlign w:val="superscript"/>
        </w:rPr>
        <w:t>(5)</w:t>
      </w:r>
      <w:r>
        <w:rPr>
          <w:rFonts w:ascii="Arial" w:cs="Arial" w:eastAsia="Arial" w:hAnsi="Arial"/>
          <w:sz w:val="17"/>
          <w:szCs w:val="17"/>
          <w:color w:val="auto"/>
        </w:rPr>
        <w:t xml:space="preserve">; mark-to-market impacts from commodity and forecasted currency transaction derivative contracts </w:t>
      </w:r>
      <w:r>
        <w:rPr>
          <w:rFonts w:ascii="Arial" w:cs="Arial" w:eastAsia="Arial" w:hAnsi="Arial"/>
          <w:sz w:val="20"/>
          <w:szCs w:val="20"/>
          <w:color w:val="auto"/>
          <w:vertAlign w:val="superscript"/>
        </w:rPr>
        <w:t>(6)</w:t>
      </w:r>
      <w:r>
        <w:rPr>
          <w:rFonts w:ascii="Arial" w:cs="Arial" w:eastAsia="Arial" w:hAnsi="Arial"/>
          <w:sz w:val="17"/>
          <w:szCs w:val="17"/>
          <w:color w:val="auto"/>
        </w:rPr>
        <w:t xml:space="preserve">; impact from resolution of tax matters </w:t>
      </w:r>
      <w:r>
        <w:rPr>
          <w:rFonts w:ascii="Arial" w:cs="Arial" w:eastAsia="Arial" w:hAnsi="Arial"/>
          <w:sz w:val="20"/>
          <w:szCs w:val="20"/>
          <w:color w:val="auto"/>
          <w:vertAlign w:val="superscript"/>
        </w:rPr>
        <w:t>(7)</w:t>
      </w:r>
      <w:r>
        <w:rPr>
          <w:rFonts w:ascii="Arial" w:cs="Arial" w:eastAsia="Arial" w:hAnsi="Arial"/>
          <w:sz w:val="17"/>
          <w:szCs w:val="17"/>
          <w:color w:val="auto"/>
        </w:rPr>
        <w:t xml:space="preserve">; CEO transition remuneration </w:t>
      </w:r>
      <w:r>
        <w:rPr>
          <w:rFonts w:ascii="Arial" w:cs="Arial" w:eastAsia="Arial" w:hAnsi="Arial"/>
          <w:sz w:val="20"/>
          <w:szCs w:val="20"/>
          <w:color w:val="auto"/>
          <w:vertAlign w:val="superscript"/>
        </w:rPr>
        <w:t>(8)</w:t>
      </w:r>
      <w:r>
        <w:rPr>
          <w:rFonts w:ascii="Arial" w:cs="Arial" w:eastAsia="Arial" w:hAnsi="Arial"/>
          <w:sz w:val="17"/>
          <w:szCs w:val="17"/>
          <w:color w:val="auto"/>
        </w:rPr>
        <w:t xml:space="preserve">; impact from pension participation changes </w:t>
      </w:r>
      <w:r>
        <w:rPr>
          <w:rFonts w:ascii="Arial" w:cs="Arial" w:eastAsia="Arial" w:hAnsi="Arial"/>
          <w:sz w:val="20"/>
          <w:szCs w:val="20"/>
          <w:color w:val="auto"/>
          <w:vertAlign w:val="superscript"/>
        </w:rPr>
        <w:t>(9)</w:t>
      </w:r>
      <w:r>
        <w:rPr>
          <w:rFonts w:ascii="Arial" w:cs="Arial" w:eastAsia="Arial" w:hAnsi="Arial"/>
          <w:sz w:val="17"/>
          <w:szCs w:val="17"/>
          <w:color w:val="auto"/>
        </w:rPr>
        <w:t>; Swiss tax reform impacts</w:t>
      </w:r>
    </w:p>
    <w:p>
      <w:pPr>
        <w:spacing w:after="0" w:line="4" w:lineRule="exact"/>
        <w:rPr>
          <w:rFonts w:ascii="Arial" w:cs="Arial" w:eastAsia="Arial" w:hAnsi="Arial"/>
          <w:sz w:val="17"/>
          <w:szCs w:val="17"/>
          <w:color w:val="auto"/>
        </w:rPr>
      </w:pPr>
    </w:p>
    <w:p>
      <w:pPr>
        <w:ind w:left="640"/>
        <w:spacing w:after="0" w:line="247" w:lineRule="auto"/>
        <w:rPr>
          <w:rFonts w:ascii="Arial" w:cs="Arial" w:eastAsia="Arial" w:hAnsi="Arial"/>
          <w:sz w:val="17"/>
          <w:szCs w:val="17"/>
          <w:color w:val="auto"/>
        </w:rPr>
      </w:pPr>
      <w:r>
        <w:rPr>
          <w:rFonts w:ascii="Arial" w:cs="Arial" w:eastAsia="Arial" w:hAnsi="Arial"/>
          <w:sz w:val="21"/>
          <w:szCs w:val="21"/>
          <w:color w:val="auto"/>
          <w:vertAlign w:val="superscript"/>
        </w:rPr>
        <w:t>(10)</w:t>
      </w:r>
      <w:r>
        <w:rPr>
          <w:rFonts w:ascii="Arial" w:cs="Arial" w:eastAsia="Arial" w:hAnsi="Arial"/>
          <w:sz w:val="18"/>
          <w:szCs w:val="18"/>
          <w:color w:val="auto"/>
        </w:rPr>
        <w:t xml:space="preserve">; and costs associated with the JDE Peet's transaction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53" w:lineRule="exact"/>
        <w:rPr>
          <w:rFonts w:ascii="Arial" w:cs="Arial" w:eastAsia="Arial" w:hAnsi="Arial"/>
          <w:sz w:val="17"/>
          <w:szCs w:val="17"/>
          <w:color w:val="auto"/>
        </w:rPr>
      </w:pPr>
    </w:p>
    <w:p>
      <w:pPr>
        <w:ind w:left="640" w:right="40" w:hanging="322"/>
        <w:spacing w:after="0" w:line="24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and Swiss tax reform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980" w:right="200" w:hanging="324"/>
        <w:spacing w:after="0" w:line="241"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 xml:space="preserve">When items no longer impact our current or future presentation of non-GAAP operating results, we remove these items from our non-GAAP definitions. During the second quarter of 2020, we added to the non-GAAP definitions the exclusion of costs associated with the JDE Peet's transaction. Refer to Note 6, </w:t>
      </w:r>
      <w:r>
        <w:rPr>
          <w:rFonts w:ascii="Arial" w:cs="Arial" w:eastAsia="Arial" w:hAnsi="Arial"/>
          <w:sz w:val="14"/>
          <w:szCs w:val="14"/>
          <w:i w:val="1"/>
          <w:iCs w:val="1"/>
          <w:color w:val="auto"/>
        </w:rPr>
        <w:t>Equity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Method Investments </w:t>
      </w:r>
      <w:r>
        <w:rPr>
          <w:rFonts w:ascii="Arial" w:cs="Arial" w:eastAsia="Arial" w:hAnsi="Arial"/>
          <w:sz w:val="14"/>
          <w:szCs w:val="14"/>
          <w:color w:val="auto"/>
        </w:rPr>
        <w:t>and Note 14,</w:t>
      </w:r>
      <w:r>
        <w:rPr>
          <w:rFonts w:ascii="Arial" w:cs="Arial" w:eastAsia="Arial" w:hAnsi="Arial"/>
          <w:sz w:val="14"/>
          <w:szCs w:val="14"/>
          <w:i w:val="1"/>
          <w:iCs w:val="1"/>
          <w:color w:val="auto"/>
        </w:rPr>
        <w:t xml:space="preserve"> Income Taxes</w:t>
      </w:r>
      <w:r>
        <w:rPr>
          <w:rFonts w:ascii="Arial" w:cs="Arial" w:eastAsia="Arial" w:hAnsi="Arial"/>
          <w:sz w:val="14"/>
          <w:szCs w:val="14"/>
          <w:color w:val="auto"/>
        </w:rPr>
        <w:t>, for more information on the JDE Peet's transaction.</w:t>
      </w:r>
    </w:p>
    <w:p>
      <w:pPr>
        <w:spacing w:after="0" w:line="1" w:lineRule="exact"/>
        <w:rPr>
          <w:rFonts w:ascii="Arial" w:cs="Arial" w:eastAsia="Arial" w:hAnsi="Arial"/>
          <w:sz w:val="14"/>
          <w:szCs w:val="14"/>
          <w:color w:val="auto"/>
        </w:rPr>
      </w:pPr>
    </w:p>
    <w:p>
      <w:pPr>
        <w:ind w:left="980" w:right="520" w:hanging="324"/>
        <w:spacing w:after="0" w:line="241"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(including the partial or full sale of an equity method investment) and exits of major product lines upon completion of a sale or licensing agreement.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information on acquisitions and divestitures impacting the comparability of our results.</w:t>
      </w:r>
    </w:p>
    <w:p>
      <w:pPr>
        <w:spacing w:after="0" w:line="1" w:lineRule="exact"/>
        <w:rPr>
          <w:rFonts w:ascii="Arial" w:cs="Arial" w:eastAsia="Arial" w:hAnsi="Arial"/>
          <w:sz w:val="14"/>
          <w:szCs w:val="14"/>
          <w:color w:val="auto"/>
        </w:rPr>
      </w:pPr>
    </w:p>
    <w:p>
      <w:pPr>
        <w:jc w:val="both"/>
        <w:ind w:left="980" w:right="160" w:hanging="324"/>
        <w:spacing w:after="0" w:line="241"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60" w:hanging="324"/>
        <w:spacing w:after="0" w:line="241"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100" w:hanging="324"/>
        <w:spacing w:after="0" w:line="241"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80" w:hanging="324"/>
        <w:spacing w:after="0" w:line="241"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540" w:hanging="324"/>
        <w:spacing w:after="0" w:line="241"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2018 for additional information.</w:t>
      </w:r>
    </w:p>
    <w:p>
      <w:pPr>
        <w:ind w:left="980" w:right="20" w:hanging="324"/>
        <w:spacing w:after="0" w:line="243" w:lineRule="auto"/>
        <w:tabs>
          <w:tab w:leader="none" w:pos="9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5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ind w:left="980" w:right="280"/>
        <w:spacing w:after="0" w:line="308" w:lineRule="auto"/>
        <w:rPr>
          <w:sz w:val="20"/>
          <w:szCs w:val="20"/>
          <w:color w:val="auto"/>
        </w:rPr>
      </w:pPr>
      <w:r>
        <w:rPr>
          <w:rFonts w:ascii="Arial" w:cs="Arial" w:eastAsia="Arial" w:hAnsi="Arial"/>
          <w:sz w:val="14"/>
          <w:szCs w:val="14"/>
          <w:color w:val="auto"/>
        </w:rPr>
        <w:t>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 During the first quarter of 2020, Mr. Van de Put's equity grants became fully vested.</w:t>
      </w:r>
    </w:p>
    <w:p>
      <w:pPr>
        <w:spacing w:after="0" w:line="1" w:lineRule="exact"/>
        <w:rPr>
          <w:sz w:val="20"/>
          <w:szCs w:val="20"/>
          <w:color w:val="auto"/>
        </w:rPr>
      </w:pPr>
    </w:p>
    <w:p>
      <w:pPr>
        <w:jc w:val="both"/>
        <w:ind w:left="980" w:right="20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hanging="324"/>
        <w:spacing w:after="0" w:line="242"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exclude the impact of the 2019 Swiss tax reform and 2017 U.S. tax reform. During the third quarter of 2019, Swiss Federal and Zurich Cantonal tax events drove our recognition of a Swiss tax reform net benefit to our results of operations. On December 22, 2017, the United States enacted tax reform legislation that included a broad range of business tax provisions. We exclude these tax reform impacts from our Adjusted EPS as they do not reflect our ongoing tax obligations under the new tax reforms. Refer to our Annual Report on Form 10-K for the year ended December 31, 2019 for more information on the impact of Swiss and U.S. tax reform.</w:t>
      </w:r>
    </w:p>
    <w:p>
      <w:pPr>
        <w:spacing w:after="0" w:line="160" w:lineRule="exact"/>
        <w:rPr>
          <w:rFonts w:ascii="Arial" w:cs="Arial" w:eastAsia="Arial" w:hAnsi="Arial"/>
          <w:sz w:val="14"/>
          <w:szCs w:val="14"/>
          <w:color w:val="auto"/>
        </w:rPr>
      </w:pPr>
    </w:p>
    <w:p>
      <w:pPr>
        <w:ind w:left="980" w:right="340" w:hanging="324"/>
        <w:spacing w:after="0" w:line="244"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4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35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 acquisition and a divestiture.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780" w:type="dxa"/>
            <w:vAlign w:val="bottom"/>
          </w:tcPr>
          <w:p>
            <w:pPr>
              <w:spacing w:after="0"/>
              <w:rPr>
                <w:sz w:val="20"/>
                <w:szCs w:val="20"/>
                <w:color w:val="auto"/>
              </w:rPr>
            </w:pPr>
            <w:r>
              <w:rPr>
                <w:rFonts w:ascii="Arial" w:cs="Arial" w:eastAsia="Arial" w:hAnsi="Arial"/>
                <w:sz w:val="16"/>
                <w:szCs w:val="16"/>
                <w:b w:val="1"/>
                <w:bCs w:val="1"/>
                <w:color w:val="auto"/>
              </w:rPr>
              <w:t>Net Revenue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178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220" w:type="dxa"/>
            <w:vAlign w:val="bottom"/>
          </w:tcPr>
          <w:p>
            <w:pPr>
              <w:spacing w:after="0"/>
              <w:rPr>
                <w:sz w:val="21"/>
                <w:szCs w:val="21"/>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acquisition</w:t>
            </w:r>
          </w:p>
        </w:tc>
        <w:tc>
          <w:tcPr>
            <w:tcW w:w="220" w:type="dxa"/>
            <w:vAlign w:val="bottom"/>
          </w:tcPr>
          <w:p>
            <w:pPr>
              <w:spacing w:after="0"/>
              <w:rPr>
                <w:sz w:val="23"/>
                <w:szCs w:val="23"/>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divestiture</w:t>
            </w:r>
          </w:p>
        </w:tc>
        <w:tc>
          <w:tcPr>
            <w:tcW w:w="220" w:type="dxa"/>
            <w:vAlign w:val="bottom"/>
          </w:tcPr>
          <w:p>
            <w:pPr>
              <w:spacing w:after="0"/>
              <w:rPr>
                <w:sz w:val="23"/>
                <w:szCs w:val="23"/>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780" w:type="dxa"/>
            <w:vAlign w:val="bottom"/>
          </w:tcPr>
          <w:p>
            <w:pPr>
              <w:spacing w:after="0"/>
              <w:rPr>
                <w:sz w:val="20"/>
                <w:szCs w:val="20"/>
                <w:color w:val="auto"/>
              </w:rPr>
            </w:pPr>
            <w:r>
              <w:rPr>
                <w:rFonts w:ascii="Arial" w:cs="Arial" w:eastAsia="Arial" w:hAnsi="Arial"/>
                <w:sz w:val="16"/>
                <w:szCs w:val="16"/>
                <w:b w:val="1"/>
                <w:bCs w:val="1"/>
                <w:color w:val="auto"/>
              </w:rPr>
              <w:t>Net Revenue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178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220" w:type="dxa"/>
            <w:vAlign w:val="bottom"/>
          </w:tcPr>
          <w:p>
            <w:pPr>
              <w:spacing w:after="0"/>
              <w:rPr>
                <w:sz w:val="21"/>
                <w:szCs w:val="21"/>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acquisition</w:t>
            </w:r>
          </w:p>
        </w:tc>
        <w:tc>
          <w:tcPr>
            <w:tcW w:w="220" w:type="dxa"/>
            <w:vAlign w:val="bottom"/>
          </w:tcPr>
          <w:p>
            <w:pPr>
              <w:spacing w:after="0"/>
              <w:rPr>
                <w:sz w:val="23"/>
                <w:szCs w:val="23"/>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divestiture</w:t>
            </w:r>
          </w:p>
        </w:tc>
        <w:tc>
          <w:tcPr>
            <w:tcW w:w="220" w:type="dxa"/>
            <w:vAlign w:val="bottom"/>
          </w:tcPr>
          <w:p>
            <w:pPr>
              <w:spacing w:after="0"/>
              <w:rPr>
                <w:sz w:val="23"/>
                <w:szCs w:val="23"/>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30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For the Three Months Ended June 30, 2020</w:t>
            </w:r>
          </w:p>
        </w:tc>
        <w:tc>
          <w:tcPr>
            <w:tcW w:w="26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7"/>
          </w:tcPr>
          <w:p>
            <w:pPr>
              <w:jc w:val="center"/>
              <w:ind w:right="141"/>
              <w:spacing w:after="0"/>
              <w:rPr>
                <w:sz w:val="20"/>
                <w:szCs w:val="20"/>
                <w:color w:val="auto"/>
              </w:rPr>
            </w:pPr>
            <w:r>
              <w:rPr>
                <w:rFonts w:ascii="Arial" w:cs="Arial" w:eastAsia="Arial" w:hAnsi="Arial"/>
                <w:sz w:val="14"/>
                <w:szCs w:val="14"/>
                <w:b w:val="1"/>
                <w:bCs w:val="1"/>
                <w:color w:val="auto"/>
              </w:rPr>
              <w:t>For the Three Months Ended June 30, 2019</w:t>
            </w:r>
          </w:p>
        </w:tc>
      </w:tr>
      <w:tr>
        <w:trPr>
          <w:trHeight w:val="175"/>
        </w:trPr>
        <w:tc>
          <w:tcPr>
            <w:tcW w:w="1180" w:type="dxa"/>
            <w:vAlign w:val="bottom"/>
          </w:tcPr>
          <w:p>
            <w:pPr>
              <w:jc w:val="center"/>
              <w:ind w:right="442"/>
              <w:spacing w:after="0"/>
              <w:rPr>
                <w:sz w:val="20"/>
                <w:szCs w:val="20"/>
                <w:color w:val="auto"/>
              </w:rPr>
            </w:pPr>
            <w:r>
              <w:rPr>
                <w:rFonts w:ascii="Arial" w:cs="Arial" w:eastAsia="Arial" w:hAnsi="Arial"/>
                <w:sz w:val="14"/>
                <w:szCs w:val="14"/>
                <w:b w:val="1"/>
                <w:bCs w:val="1"/>
                <w:color w:val="auto"/>
              </w:rPr>
              <w:t>Emerging</w:t>
            </w: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Developed</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Emerging</w:t>
            </w:r>
          </w:p>
        </w:tc>
        <w:tc>
          <w:tcPr>
            <w:tcW w:w="2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Developed</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180" w:type="dxa"/>
            <w:vAlign w:val="bottom"/>
          </w:tcPr>
          <w:p>
            <w:pPr>
              <w:jc w:val="center"/>
              <w:ind w:right="442"/>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6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Markets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95"/>
              </w:rPr>
              <w:t>Total</w:t>
            </w:r>
          </w:p>
        </w:tc>
      </w:tr>
      <w:tr>
        <w:trPr>
          <w:trHeight w:val="244"/>
        </w:trPr>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1,917</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3,994</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5,911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2,272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3,790</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6,062</w:t>
            </w:r>
          </w:p>
        </w:tc>
      </w:tr>
      <w:tr>
        <w:trPr>
          <w:trHeight w:val="270"/>
        </w:trPr>
        <w:tc>
          <w:tcPr>
            <w:tcW w:w="1180" w:type="dxa"/>
            <w:vAlign w:val="bottom"/>
          </w:tcPr>
          <w:p>
            <w:pPr>
              <w:jc w:val="right"/>
              <w:ind w:right="142"/>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11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3"/>
        </w:trPr>
        <w:tc>
          <w:tcPr>
            <w:tcW w:w="11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2,135</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3,945</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6,080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2,250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3,790</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6,040</w:t>
            </w:r>
          </w:p>
        </w:tc>
      </w:tr>
      <w:tr>
        <w:trPr>
          <w:trHeight w:val="20"/>
        </w:trPr>
        <w:tc>
          <w:tcPr>
            <w:tcW w:w="11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48"/>
        </w:trPr>
        <w:tc>
          <w:tcPr>
            <w:tcW w:w="3300" w:type="dxa"/>
            <w:vAlign w:val="bottom"/>
            <w:gridSpan w:val="5"/>
          </w:tcPr>
          <w:p>
            <w:pPr>
              <w:jc w:val="center"/>
              <w:ind w:left="442"/>
              <w:spacing w:after="0"/>
              <w:rPr>
                <w:sz w:val="20"/>
                <w:szCs w:val="20"/>
                <w:color w:val="auto"/>
              </w:rPr>
            </w:pPr>
            <w:r>
              <w:rPr>
                <w:rFonts w:ascii="Arial" w:cs="Arial" w:eastAsia="Arial" w:hAnsi="Arial"/>
                <w:sz w:val="14"/>
                <w:szCs w:val="14"/>
                <w:b w:val="1"/>
                <w:bCs w:val="1"/>
                <w:color w:val="auto"/>
              </w:rPr>
              <w:t>For the Six Months Ended June 30, 2020</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rPr>
              <w:t>For the Six Months Ended June 30, 2019</w:t>
            </w:r>
          </w:p>
        </w:tc>
        <w:tc>
          <w:tcPr>
            <w:tcW w:w="900" w:type="dxa"/>
            <w:vAlign w:val="bottom"/>
            <w:tcBorders>
              <w:bottom w:val="single" w:sz="8" w:color="auto"/>
            </w:tcBorders>
          </w:tcPr>
          <w:p>
            <w:pPr>
              <w:spacing w:after="0"/>
              <w:rPr>
                <w:sz w:val="24"/>
                <w:szCs w:val="24"/>
                <w:color w:val="auto"/>
              </w:rPr>
            </w:pPr>
          </w:p>
        </w:tc>
      </w:tr>
      <w:tr>
        <w:trPr>
          <w:trHeight w:val="175"/>
        </w:trPr>
        <w:tc>
          <w:tcPr>
            <w:tcW w:w="1180" w:type="dxa"/>
            <w:vAlign w:val="bottom"/>
          </w:tcPr>
          <w:p>
            <w:pPr>
              <w:jc w:val="center"/>
              <w:ind w:right="442"/>
              <w:spacing w:after="0"/>
              <w:rPr>
                <w:sz w:val="20"/>
                <w:szCs w:val="20"/>
                <w:color w:val="auto"/>
              </w:rPr>
            </w:pPr>
            <w:r>
              <w:rPr>
                <w:rFonts w:ascii="Arial" w:cs="Arial" w:eastAsia="Arial" w:hAnsi="Arial"/>
                <w:sz w:val="14"/>
                <w:szCs w:val="14"/>
                <w:b w:val="1"/>
                <w:bCs w:val="1"/>
                <w:color w:val="auto"/>
              </w:rPr>
              <w:t>Emerging</w:t>
            </w: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Developed</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Emerging</w:t>
            </w:r>
          </w:p>
        </w:tc>
        <w:tc>
          <w:tcPr>
            <w:tcW w:w="2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Developed</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180" w:type="dxa"/>
            <w:vAlign w:val="bottom"/>
          </w:tcPr>
          <w:p>
            <w:pPr>
              <w:jc w:val="center"/>
              <w:ind w:right="442"/>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6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Markets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95"/>
              </w:rPr>
              <w:t>Total</w:t>
            </w:r>
          </w:p>
        </w:tc>
      </w:tr>
      <w:tr>
        <w:trPr>
          <w:trHeight w:val="244"/>
        </w:trPr>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4,334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8,284</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12,618</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4,774</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7,826</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12,600</w:t>
            </w:r>
          </w:p>
        </w:tc>
      </w:tr>
      <w:tr>
        <w:trPr>
          <w:trHeight w:val="270"/>
        </w:trPr>
        <w:tc>
          <w:tcPr>
            <w:tcW w:w="1180" w:type="dxa"/>
            <w:vAlign w:val="bottom"/>
          </w:tcPr>
          <w:p>
            <w:pPr>
              <w:jc w:val="right"/>
              <w:ind w:right="142"/>
              <w:spacing w:after="0"/>
              <w:rPr>
                <w:sz w:val="20"/>
                <w:szCs w:val="20"/>
                <w:color w:val="auto"/>
              </w:rPr>
            </w:pPr>
            <w:r>
              <w:rPr>
                <w:rFonts w:ascii="Arial" w:cs="Arial" w:eastAsia="Arial" w:hAnsi="Arial"/>
                <w:sz w:val="16"/>
                <w:szCs w:val="16"/>
                <w:color w:val="auto"/>
              </w:rPr>
              <w:t>382</w:t>
            </w:r>
          </w:p>
        </w:tc>
        <w:tc>
          <w:tcPr>
            <w:tcW w:w="22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11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3"/>
        </w:trPr>
        <w:tc>
          <w:tcPr>
            <w:tcW w:w="11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4,716</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8,288</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13,004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4,719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7,826</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12,545</w:t>
            </w:r>
          </w:p>
        </w:tc>
      </w:tr>
      <w:tr>
        <w:trPr>
          <w:trHeight w:val="20"/>
        </w:trPr>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-2528570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-2185670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-1842770</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-2700020</wp:posOffset>
            </wp:positionV>
            <wp:extent cx="29317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-2948305</wp:posOffset>
            </wp:positionV>
            <wp:extent cx="29317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-873760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-530860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-187960</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-1045210</wp:posOffset>
            </wp:positionV>
            <wp:extent cx="29317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-1293495</wp:posOffset>
            </wp:positionV>
            <wp:extent cx="29317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300"/>
            <w:col w:w="8900"/>
          </w:cols>
          <w:pgMar w:left="320" w:top="355" w:right="339" w:bottom="1440"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35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acquisition integration costs; acquisition and divestiture-related costs; operating income from a divestiture; net gain on a divestiture; costs associated with the JDE Peet's transaction; the remeasurement of net monetary position; impact from pension participation changes; and CEO transition remuneration. We also evaluate Adjusted Operating Income on a constant currency basis. We believe these measures provide improved comparability of underlying operating results.</w:t>
      </w:r>
    </w:p>
    <w:p>
      <w:pPr>
        <w:spacing w:after="0" w:line="142" w:lineRule="exact"/>
        <w:rPr>
          <w:sz w:val="20"/>
          <w:szCs w:val="20"/>
          <w:color w:val="auto"/>
        </w:rPr>
      </w:pPr>
    </w:p>
    <w:p>
      <w:pPr>
        <w:jc w:val="center"/>
        <w:ind w:left="16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19113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(3)</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(4)</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1"/>
                <w:szCs w:val="21"/>
                <w:color w:val="auto"/>
                <w:vertAlign w:val="superscript"/>
              </w:rPr>
              <w:t>(5)</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(7)</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920" w:type="dxa"/>
            <w:vAlign w:val="bottom"/>
            <w:tcBorders>
              <w:top w:val="single" w:sz="8" w:color="auto"/>
            </w:tcBorders>
            <w:gridSpan w:val="2"/>
          </w:tcPr>
          <w:p>
            <w:pPr>
              <w:jc w:val="right"/>
              <w:ind w:right="708"/>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21"/>
                <w:szCs w:val="21"/>
                <w:color w:val="auto"/>
              </w:rPr>
            </w:pPr>
          </w:p>
        </w:tc>
      </w:tr>
      <w:tr>
        <w:trPr>
          <w:trHeight w:val="277"/>
        </w:trPr>
        <w:tc>
          <w:tcPr>
            <w:tcW w:w="40" w:type="dxa"/>
            <w:vAlign w:val="bottom"/>
          </w:tcPr>
          <w:p>
            <w:pPr>
              <w:spacing w:after="0"/>
              <w:rPr>
                <w:sz w:val="24"/>
                <w:szCs w:val="2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Unfavorable currency translation</w:t>
            </w: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920" w:type="dxa"/>
            <w:vAlign w:val="bottom"/>
            <w:tcBorders>
              <w:top w:val="single" w:sz="8" w:color="auto"/>
              <w:bottom w:val="single" w:sz="8" w:color="auto"/>
            </w:tcBorders>
            <w:gridSpan w:val="2"/>
          </w:tcPr>
          <w:p>
            <w:pPr>
              <w:jc w:val="right"/>
              <w:ind w:right="708"/>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9"/>
          </w:tcPr>
          <w:p>
            <w:pPr>
              <w:ind w:left="640"/>
              <w:spacing w:after="0"/>
              <w:rPr>
                <w:sz w:val="20"/>
                <w:szCs w:val="20"/>
                <w:color w:val="auto"/>
              </w:rPr>
            </w:pPr>
            <w:r>
              <w:rPr>
                <w:rFonts w:ascii="Arial" w:cs="Arial" w:eastAsia="Arial" w:hAnsi="Arial"/>
                <w:sz w:val="14"/>
                <w:szCs w:val="14"/>
                <w:b w:val="1"/>
                <w:bCs w:val="1"/>
                <w:color w:val="auto"/>
              </w:rPr>
              <w:t>For the Six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center"/>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291"/>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76"/>
        </w:trPr>
        <w:tc>
          <w:tcPr>
            <w:tcW w:w="4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2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(3)</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(4)</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1"/>
                <w:szCs w:val="21"/>
                <w:color w:val="auto"/>
                <w:vertAlign w:val="superscript"/>
              </w:rPr>
              <w:t>(5)</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(7)</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Adjusted Operating Income</w:t>
            </w:r>
          </w:p>
        </w:tc>
        <w:tc>
          <w:tcPr>
            <w:tcW w:w="920" w:type="dxa"/>
            <w:vAlign w:val="bottom"/>
            <w:gridSpan w:val="2"/>
          </w:tcPr>
          <w:p>
            <w:pPr>
              <w:jc w:val="right"/>
              <w:ind w:right="708"/>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2,048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Pr>
          <w:p>
            <w:pPr>
              <w:spacing w:after="0"/>
              <w:rPr>
                <w:sz w:val="21"/>
                <w:szCs w:val="21"/>
                <w:color w:val="auto"/>
              </w:rPr>
            </w:pPr>
          </w:p>
        </w:tc>
      </w:tr>
      <w:tr>
        <w:trPr>
          <w:trHeight w:val="277"/>
        </w:trPr>
        <w:tc>
          <w:tcPr>
            <w:tcW w:w="40" w:type="dxa"/>
            <w:vAlign w:val="bottom"/>
            <w:shd w:val="clear" w:color="auto" w:fill="CCEEFF"/>
          </w:tcPr>
          <w:p>
            <w:pPr>
              <w:spacing w:after="0"/>
              <w:rPr>
                <w:sz w:val="24"/>
                <w:szCs w:val="24"/>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2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Adjusted Operating Income (constant currency)</w:t>
            </w:r>
          </w:p>
        </w:tc>
        <w:tc>
          <w:tcPr>
            <w:tcW w:w="920" w:type="dxa"/>
            <w:vAlign w:val="bottom"/>
            <w:gridSpan w:val="2"/>
          </w:tcPr>
          <w:p>
            <w:pPr>
              <w:jc w:val="right"/>
              <w:ind w:right="708"/>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2,122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1.1 %</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5" w:right="3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35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right="38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320" w:top="355" w:right="5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a loss related to interest rate swaps; gains or losses on equity method investment transactions; and our proportionate share of unusual or infrequent items recorded by our JDE and KDP equity method investees. We also evaluate Adjusted EPS on a constant currency basis. We believe Adjusted EPS provides improved comparability of underlying operating results.</w:t>
      </w:r>
    </w:p>
    <w:p>
      <w:pPr>
        <w:spacing w:after="0" w:line="149"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1920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0.38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(Gain)/loss on equity method investment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3"/>
        </w:trPr>
        <w:tc>
          <w:tcPr>
            <w:tcW w:w="5060" w:type="dxa"/>
            <w:vAlign w:val="bottom"/>
            <w:shd w:val="clear" w:color="auto" w:fill="CCEEFF"/>
          </w:tcPr>
          <w:p>
            <w:pPr>
              <w:ind w:left="420"/>
              <w:spacing w:after="0" w:line="233"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1"/>
                <w:szCs w:val="21"/>
                <w:color w:val="auto"/>
                <w:vertAlign w:val="superscript"/>
              </w:rPr>
              <w:t>(3)</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6"/>
        </w:trPr>
        <w:tc>
          <w:tcPr>
            <w:tcW w:w="5060" w:type="dxa"/>
            <w:vAlign w:val="bottom"/>
          </w:tcPr>
          <w:p>
            <w:pPr>
              <w:ind w:left="220"/>
              <w:spacing w:after="0"/>
              <w:rPr>
                <w:sz w:val="20"/>
                <w:szCs w:val="20"/>
                <w:color w:val="auto"/>
              </w:rPr>
            </w:pPr>
            <w:r>
              <w:rPr>
                <w:rFonts w:ascii="Arial" w:cs="Arial" w:eastAsia="Arial" w:hAnsi="Arial"/>
                <w:sz w:val="18"/>
                <w:szCs w:val="18"/>
                <w:color w:val="auto"/>
              </w:rPr>
              <w:t>Equity method investee acquisition-related or</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3"/>
        </w:trPr>
        <w:tc>
          <w:tcPr>
            <w:tcW w:w="5060" w:type="dxa"/>
            <w:vAlign w:val="bottom"/>
            <w:tcBorders>
              <w:bottom w:val="single" w:sz="8" w:color="CCEEFF"/>
            </w:tcBorders>
          </w:tcPr>
          <w:p>
            <w:pPr>
              <w:ind w:left="420"/>
              <w:spacing w:after="0" w:line="233" w:lineRule="exact"/>
              <w:rPr>
                <w:sz w:val="20"/>
                <w:szCs w:val="20"/>
                <w:color w:val="auto"/>
              </w:rPr>
            </w:pPr>
            <w:r>
              <w:rPr>
                <w:rFonts w:ascii="Arial" w:cs="Arial" w:eastAsia="Arial" w:hAnsi="Arial"/>
                <w:sz w:val="18"/>
                <w:szCs w:val="18"/>
                <w:color w:val="auto"/>
              </w:rPr>
              <w:t xml:space="preserve">other charges/(benefits), net </w:t>
            </w:r>
            <w:r>
              <w:rPr>
                <w:rFonts w:ascii="Arial" w:cs="Arial" w:eastAsia="Arial" w:hAnsi="Arial"/>
                <w:sz w:val="21"/>
                <w:szCs w:val="21"/>
                <w:color w:val="auto"/>
                <w:vertAlign w:val="superscript"/>
              </w:rPr>
              <w:t>(4)</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r>
      <w:tr>
        <w:trPr>
          <w:trHeight w:val="25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0.63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12.5 %</w:t>
            </w:r>
          </w:p>
        </w:tc>
      </w:tr>
      <w:tr>
        <w:trPr>
          <w:trHeight w:val="263"/>
        </w:trPr>
        <w:tc>
          <w:tcPr>
            <w:tcW w:w="5060" w:type="dxa"/>
            <w:vAlign w:val="bottom"/>
          </w:tcPr>
          <w:p>
            <w:pPr>
              <w:ind w:left="280"/>
              <w:spacing w:after="0"/>
              <w:rPr>
                <w:sz w:val="20"/>
                <w:szCs w:val="20"/>
                <w:color w:val="auto"/>
              </w:rPr>
            </w:pPr>
            <w:r>
              <w:rPr>
                <w:rFonts w:ascii="Arial" w:cs="Arial" w:eastAsia="Arial" w:hAnsi="Arial"/>
                <w:sz w:val="18"/>
                <w:szCs w:val="18"/>
                <w:color w:val="auto"/>
              </w:rPr>
              <w:t>Unfavorable currency translation</w:t>
            </w:r>
          </w:p>
        </w:tc>
        <w:tc>
          <w:tcPr>
            <w:tcW w:w="920" w:type="dxa"/>
            <w:vAlign w:val="bottom"/>
          </w:tcPr>
          <w:p>
            <w:pPr>
              <w:spacing w:after="0"/>
              <w:rPr>
                <w:sz w:val="22"/>
                <w:szCs w:val="22"/>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0.09</w:t>
            </w:r>
          </w:p>
        </w:tc>
        <w:tc>
          <w:tcPr>
            <w:tcW w:w="16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16.1 %</w:t>
            </w: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91"/>
        </w:trPr>
        <w:tc>
          <w:tcPr>
            <w:tcW w:w="506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5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0.89</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(5)</w:t>
            </w:r>
          </w:p>
        </w:tc>
        <w:tc>
          <w:tcPr>
            <w:tcW w:w="92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(Gain)/loss on equity method investment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3"/>
        </w:trPr>
        <w:tc>
          <w:tcPr>
            <w:tcW w:w="5060" w:type="dxa"/>
            <w:vAlign w:val="bottom"/>
            <w:shd w:val="clear" w:color="auto" w:fill="CCEEFF"/>
          </w:tcPr>
          <w:p>
            <w:pPr>
              <w:ind w:left="420"/>
              <w:spacing w:after="0" w:line="233"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1"/>
                <w:szCs w:val="21"/>
                <w:color w:val="auto"/>
                <w:vertAlign w:val="superscript"/>
              </w:rPr>
              <w:t>(3)</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(0.12)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6"/>
        </w:trPr>
        <w:tc>
          <w:tcPr>
            <w:tcW w:w="5060" w:type="dxa"/>
            <w:vAlign w:val="bottom"/>
          </w:tcPr>
          <w:p>
            <w:pPr>
              <w:ind w:left="220"/>
              <w:spacing w:after="0"/>
              <w:rPr>
                <w:sz w:val="20"/>
                <w:szCs w:val="20"/>
                <w:color w:val="auto"/>
              </w:rPr>
            </w:pPr>
            <w:r>
              <w:rPr>
                <w:rFonts w:ascii="Arial" w:cs="Arial" w:eastAsia="Arial" w:hAnsi="Arial"/>
                <w:sz w:val="18"/>
                <w:szCs w:val="18"/>
                <w:color w:val="auto"/>
              </w:rPr>
              <w:t>Equity method investee acquisition-related or</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3"/>
        </w:trPr>
        <w:tc>
          <w:tcPr>
            <w:tcW w:w="5060" w:type="dxa"/>
            <w:vAlign w:val="bottom"/>
            <w:tcBorders>
              <w:bottom w:val="single" w:sz="8" w:color="CCEEFF"/>
            </w:tcBorders>
          </w:tcPr>
          <w:p>
            <w:pPr>
              <w:ind w:left="420"/>
              <w:spacing w:after="0" w:line="233" w:lineRule="exact"/>
              <w:rPr>
                <w:sz w:val="20"/>
                <w:szCs w:val="20"/>
                <w:color w:val="auto"/>
              </w:rPr>
            </w:pPr>
            <w:r>
              <w:rPr>
                <w:rFonts w:ascii="Arial" w:cs="Arial" w:eastAsia="Arial" w:hAnsi="Arial"/>
                <w:sz w:val="18"/>
                <w:szCs w:val="18"/>
                <w:color w:val="auto"/>
              </w:rPr>
              <w:t xml:space="preserve">other charges/(benefits), net </w:t>
            </w:r>
            <w:r>
              <w:rPr>
                <w:rFonts w:ascii="Arial" w:cs="Arial" w:eastAsia="Arial" w:hAnsi="Arial"/>
                <w:sz w:val="21"/>
                <w:szCs w:val="21"/>
                <w:color w:val="auto"/>
                <w:vertAlign w:val="superscript"/>
              </w:rPr>
              <w:t>(4)</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r>
      <w:tr>
        <w:trPr>
          <w:trHeight w:val="25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r>
      <w:tr>
        <w:trPr>
          <w:trHeight w:val="264"/>
        </w:trPr>
        <w:tc>
          <w:tcPr>
            <w:tcW w:w="5060" w:type="dxa"/>
            <w:vAlign w:val="bottom"/>
          </w:tcPr>
          <w:p>
            <w:pPr>
              <w:ind w:left="280"/>
              <w:spacing w:after="0"/>
              <w:rPr>
                <w:sz w:val="20"/>
                <w:szCs w:val="20"/>
                <w:color w:val="auto"/>
              </w:rPr>
            </w:pPr>
            <w:r>
              <w:rPr>
                <w:rFonts w:ascii="Arial" w:cs="Arial" w:eastAsia="Arial" w:hAnsi="Arial"/>
                <w:sz w:val="18"/>
                <w:szCs w:val="18"/>
                <w:color w:val="auto"/>
              </w:rPr>
              <w:t>Unfavorable currency translation</w:t>
            </w:r>
          </w:p>
        </w:tc>
        <w:tc>
          <w:tcPr>
            <w:tcW w:w="920" w:type="dxa"/>
            <w:vAlign w:val="bottom"/>
          </w:tcPr>
          <w:p>
            <w:pPr>
              <w:spacing w:after="0"/>
              <w:rPr>
                <w:sz w:val="22"/>
                <w:szCs w:val="22"/>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0.10</w:t>
            </w:r>
          </w:p>
        </w:tc>
        <w:tc>
          <w:tcPr>
            <w:tcW w:w="16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8.0 %</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5" w:right="3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35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ind w:left="340" w:right="12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hanging="328"/>
        <w:spacing w:after="0" w:line="243" w:lineRule="auto"/>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For the three months ended June 30, 2020, taxes for the: Simplify to Grow Program were $(20) million, intangible asset impairment charges were $(21) million, acquisition-related costs were $(2) million, costs associated with the JDE Peet's transaction were $261 million and equity method investee and other adjustments were $(7) million.</w:t>
      </w:r>
    </w:p>
    <w:p>
      <w:pPr>
        <w:spacing w:after="0" w:line="159" w:lineRule="exact"/>
        <w:rPr>
          <w:rFonts w:ascii="Arial" w:cs="Arial" w:eastAsia="Arial" w:hAnsi="Arial"/>
          <w:sz w:val="14"/>
          <w:szCs w:val="14"/>
          <w:color w:val="auto"/>
        </w:rPr>
      </w:pPr>
    </w:p>
    <w:p>
      <w:pPr>
        <w:jc w:val="both"/>
        <w:ind w:left="660" w:right="500" w:hanging="328"/>
        <w:spacing w:after="0" w:line="241" w:lineRule="auto"/>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For the three months ended June 30, 2019, taxes for the: Simplify to Grow Program were $(19) million, mark-to-market gains from derivatives were $3 million, divestiture-related costs were $(1) million, net gain on divestiture were $3 million, impact from pension participation changes were $9 million, net loss on equity method investment transactions were $2 million and equity method investee and other adjustments were $(3) million.</w:t>
      </w:r>
    </w:p>
    <w:p>
      <w:pPr>
        <w:spacing w:after="0" w:line="1" w:lineRule="exact"/>
        <w:rPr>
          <w:rFonts w:ascii="Arial" w:cs="Arial" w:eastAsia="Arial" w:hAnsi="Arial"/>
          <w:sz w:val="14"/>
          <w:szCs w:val="14"/>
          <w:color w:val="auto"/>
        </w:rPr>
      </w:pPr>
    </w:p>
    <w:p>
      <w:pPr>
        <w:ind w:left="660" w:right="60" w:hanging="328"/>
        <w:spacing w:after="0" w:line="241" w:lineRule="auto"/>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For the six months ended June 30, 2020, taxes for the: Simplify to Grow Program were $(33) million, intangible asset impairment charges were $(21) million, mark-to-market losses from derivatives were $(32) million, acquisition-related costs were $(3) million, costs associated with the JDE Peet's transaction were $261 million, loss related to interest rate swaps were $(24) million, gain on equity method investment transactions were $17 million and equity method investee and other adjustments were $(8) million.</w:t>
      </w:r>
    </w:p>
    <w:p>
      <w:pPr>
        <w:spacing w:after="0" w:line="1" w:lineRule="exact"/>
        <w:rPr>
          <w:rFonts w:ascii="Arial" w:cs="Arial" w:eastAsia="Arial" w:hAnsi="Arial"/>
          <w:sz w:val="14"/>
          <w:szCs w:val="14"/>
          <w:color w:val="auto"/>
        </w:rPr>
      </w:pPr>
    </w:p>
    <w:p>
      <w:pPr>
        <w:ind w:left="660" w:right="60" w:hanging="328"/>
        <w:spacing w:after="0" w:line="241" w:lineRule="auto"/>
        <w:tabs>
          <w:tab w:leader="none" w:pos="6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For the six months ended June 30, 2019, taxes for the: Simplify to Grow Program were $(38) million, mark-to-market gains from derivatives were $6 million, divestiture-related costs were $(1) million, net earnings from divestiture were $1 million, gain on divestiture were $3 million, impact from pension participation changes were $9 million, CEO transition remuneration were zero, net loss on equity method investment transaction were $7 million and equity method investee and other adjustments were $(7)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on equity method investment transactions.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KDP equity method investees.</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5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2020, 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markets, including commodity, currency and capital markets. While some of these markets such as the U.S. and other major stock markets and certain currencies have rebounded significantly in the second quarter of 2020,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are actively working to mitigate these risks and we largely employed existing strategies that are described below to mitigate these market risks related to currency, commodity and interest rate risks.</w:t>
      </w:r>
    </w:p>
    <w:p>
      <w:pPr>
        <w:spacing w:after="0" w:line="193"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1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six months ended June 30, 2020.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w:t>
      </w:r>
    </w:p>
    <w:p>
      <w:pPr>
        <w:spacing w:after="0" w:line="2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such as the current COVID-19 global pandemic.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For more information on our 2020 debt activity, 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320" w:top="355" w:right="3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Due to the current uncertainty in the global markets related to the COVID-19 outbreak, as a precautionary measure and to preserve financial flexibility, we increased our credit facility borrowing capacity.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additional details. As discussed further in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we also continue to utilize other short- and longer-term financing arrangements.</w:t>
      </w:r>
    </w:p>
    <w:p>
      <w:pPr>
        <w:spacing w:after="0" w:line="184"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2020 derivative activity. For additional information on our hedging strategies, policies and practices on an ongoing basis, also refer to our Annual Report on Form 10-K for the year ended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2020. Based on this evaluation, the CEO and CFO concluded that our disclosure controls and procedures were effective as of June 30,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2020. Many of our employees and those of our outsourcing partners and other accounting service providers continued to work remotely as a significant number of our and their offices were closed in response to the COVID-19 outbreak. There were no material changes in our internal controls over financial reporting as we were able to continue to maintain our existing controls and procedures over our financial reporting during the quarter ended June 30, 2020.</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320" w:top="355" w:right="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2019 and our Quarterly Report on Form 10-Q for the quarterly period ended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2020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Issuer Purchases of Equity Securities</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 Paid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2"/>
        </w:trPr>
        <w:tc>
          <w:tcPr>
            <w:tcW w:w="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6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5"/>
              <w:spacing w:after="0" w:line="162" w:lineRule="exact"/>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7"/>
                <w:szCs w:val="17"/>
                <w:b w:val="1"/>
                <w:bCs w:val="1"/>
                <w:color w:val="auto"/>
                <w:w w:val="98"/>
                <w:vertAlign w:val="superscript"/>
              </w:rPr>
              <w:t>(2)(3)</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1-30, 2020</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4,111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51.78</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2,450</w:t>
            </w:r>
          </w:p>
        </w:tc>
      </w:tr>
      <w:tr>
        <w:trPr>
          <w:trHeight w:val="263"/>
        </w:trPr>
        <w:tc>
          <w:tcPr>
            <w:tcW w:w="40" w:type="dxa"/>
            <w:vAlign w:val="bottom"/>
          </w:tcPr>
          <w:p>
            <w:pPr>
              <w:spacing w:after="0"/>
              <w:rPr>
                <w:sz w:val="22"/>
                <w:szCs w:val="22"/>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May 1-31, 2020</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22"/>
                <w:szCs w:val="22"/>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2,450</w:t>
            </w:r>
          </w:p>
        </w:tc>
      </w:tr>
      <w:tr>
        <w:trPr>
          <w:trHeight w:val="270"/>
        </w:trPr>
        <w:tc>
          <w:tcPr>
            <w:tcW w:w="40" w:type="dxa"/>
            <w:vAlign w:val="bottom"/>
            <w:shd w:val="clear" w:color="auto" w:fill="CCEEFF"/>
          </w:tcPr>
          <w:p>
            <w:pPr>
              <w:spacing w:after="0"/>
              <w:rPr>
                <w:sz w:val="23"/>
                <w:szCs w:val="23"/>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1-30, 2020</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14,628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51.14</w:t>
            </w:r>
          </w:p>
        </w:tc>
        <w:tc>
          <w:tcPr>
            <w:tcW w:w="12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2,450</w:t>
            </w:r>
          </w:p>
        </w:tc>
      </w:tr>
      <w:tr>
        <w:trPr>
          <w:trHeight w:val="257"/>
        </w:trPr>
        <w:tc>
          <w:tcPr>
            <w:tcW w:w="40" w:type="dxa"/>
            <w:vAlign w:val="bottom"/>
          </w:tcPr>
          <w:p>
            <w:pPr>
              <w:spacing w:after="0"/>
              <w:rPr>
                <w:sz w:val="22"/>
                <w:szCs w:val="22"/>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For the Quarter Ended June 30, 2020</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25,583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51.16</w:t>
            </w:r>
          </w:p>
        </w:tc>
        <w:tc>
          <w:tcPr>
            <w:tcW w:w="120" w:type="dxa"/>
            <w:vAlign w:val="bottom"/>
          </w:tcPr>
          <w:p>
            <w:pPr>
              <w:spacing w:after="0"/>
              <w:rPr>
                <w:sz w:val="22"/>
                <w:szCs w:val="22"/>
                <w:color w:val="auto"/>
              </w:rPr>
            </w:pPr>
          </w:p>
        </w:tc>
        <w:tc>
          <w:tcPr>
            <w:tcW w:w="16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8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4,111 shares, 6,844 shares and 14,628 shares for the fiscal months of April, May and June 2020, respectively.</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5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320" w:type="dxa"/>
            <w:vAlign w:val="bottom"/>
            <w:gridSpan w:val="11"/>
          </w:tcPr>
          <w:p>
            <w:pPr>
              <w:ind w:left="200"/>
              <w:spacing w:after="0"/>
              <w:rPr>
                <w:sz w:val="20"/>
                <w:szCs w:val="20"/>
                <w:color w:val="auto"/>
              </w:rPr>
            </w:pPr>
            <w:r>
              <w:rPr>
                <w:rFonts w:ascii="Arial" w:cs="Arial" w:eastAsia="Arial" w:hAnsi="Arial"/>
                <w:sz w:val="18"/>
                <w:szCs w:val="18"/>
                <w:color w:val="auto"/>
              </w:rPr>
              <w:t>Description</w:t>
            </w:r>
          </w:p>
        </w:tc>
      </w:tr>
      <w:tr>
        <w:trPr>
          <w:trHeight w:val="229"/>
        </w:trPr>
        <w:tc>
          <w:tcPr>
            <w:tcW w:w="1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32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w:t>
            </w:r>
          </w:p>
        </w:tc>
      </w:tr>
      <w:tr>
        <w:trPr>
          <w:trHeight w:val="203"/>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long-term debt of the Registrant and its consolidated subsidiaries that does not exceed 10 percent of the total assets</w:t>
            </w:r>
          </w:p>
        </w:tc>
      </w:tr>
      <w:tr>
        <w:trPr>
          <w:trHeight w:val="217"/>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auto"/>
              </w:rPr>
              <w:t>of the Registrant and its consolidated subsidiaries.</w:t>
            </w:r>
          </w:p>
        </w:tc>
      </w:tr>
      <w:tr>
        <w:trPr>
          <w:trHeight w:val="216"/>
        </w:trPr>
        <w:tc>
          <w:tcPr>
            <w:tcW w:w="106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20" w:type="dxa"/>
            <w:vAlign w:val="bottom"/>
            <w:tcBorders>
              <w:bottom w:val="single" w:sz="8" w:color="0000FF"/>
            </w:tcBorders>
            <w:gridSpan w:val="12"/>
          </w:tcPr>
          <w:p>
            <w:pPr>
              <w:spacing w:after="0"/>
              <w:rPr>
                <w:rFonts w:ascii="Arial" w:cs="Arial" w:eastAsia="Arial" w:hAnsi="Arial"/>
                <w:sz w:val="18"/>
                <w:szCs w:val="18"/>
                <w:color w:val="0000FF"/>
                <w:w w:val="99"/>
              </w:rPr>
            </w:pPr>
            <w:hyperlink r:id="rId61">
              <w:r>
                <w:rPr>
                  <w:rFonts w:ascii="Arial" w:cs="Arial" w:eastAsia="Arial" w:hAnsi="Arial"/>
                  <w:sz w:val="18"/>
                  <w:szCs w:val="18"/>
                  <w:color w:val="0000FF"/>
                  <w:w w:val="99"/>
                </w:rPr>
                <w:t>Supplemental Indenture No. 2, dated April 13, 2020, between Mondelēz International, Inc. and Deutsche Bank Trust</w:t>
              </w:r>
            </w:hyperlink>
          </w:p>
        </w:tc>
        <w:tc>
          <w:tcPr>
            <w:tcW w:w="100" w:type="dxa"/>
            <w:vAlign w:val="bottom"/>
            <w:gridSpan w:val="4"/>
          </w:tcPr>
          <w:p>
            <w:pPr>
              <w:spacing w:after="0"/>
              <w:rPr>
                <w:sz w:val="18"/>
                <w:szCs w:val="18"/>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320" w:type="dxa"/>
            <w:vAlign w:val="bottom"/>
            <w:gridSpan w:val="16"/>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Company Americas (incorporated by reference to Exhibit 4.3 to the Registrant's Current Report on Form 8-K filed</w:t>
              </w:r>
            </w:hyperlink>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with the SEC on April 13, 2020).</w:t>
              </w:r>
            </w:hyperlink>
          </w:p>
        </w:tc>
        <w:tc>
          <w:tcPr>
            <w:tcW w:w="6420" w:type="dxa"/>
            <w:vAlign w:val="bottom"/>
            <w:tcBorders>
              <w:top w:val="single" w:sz="8" w:color="0000FF"/>
            </w:tcBorders>
            <w:gridSpan w:val="6"/>
          </w:tcPr>
          <w:p>
            <w:pPr>
              <w:spacing w:after="0"/>
              <w:rPr>
                <w:sz w:val="15"/>
                <w:szCs w:val="15"/>
                <w:color w:val="auto"/>
              </w:rPr>
            </w:pPr>
          </w:p>
        </w:tc>
        <w:tc>
          <w:tcPr>
            <w:tcW w:w="340" w:type="dxa"/>
            <w:vAlign w:val="bottom"/>
            <w:gridSpan w:val="6"/>
          </w:tcPr>
          <w:p>
            <w:pPr>
              <w:spacing w:after="0"/>
              <w:rPr>
                <w:sz w:val="15"/>
                <w:szCs w:val="15"/>
                <w:color w:val="auto"/>
              </w:rPr>
            </w:pPr>
          </w:p>
        </w:tc>
      </w:tr>
      <w:tr>
        <w:trPr>
          <w:trHeight w:val="237"/>
        </w:trPr>
        <w:tc>
          <w:tcPr>
            <w:tcW w:w="10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20" w:type="dxa"/>
            <w:vAlign w:val="bottom"/>
            <w:gridSpan w:val="16"/>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First Amendment to Credit Agreement, dated April 1, 2020, among Mondelēz International, Inc., BNP Paribas, as</w:t>
              </w:r>
            </w:hyperlink>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Augmenting Lender and Citibank, N.A., as administrative agent.</w:t>
              </w:r>
            </w:hyperlink>
          </w:p>
        </w:tc>
        <w:tc>
          <w:tcPr>
            <w:tcW w:w="360" w:type="dxa"/>
            <w:vAlign w:val="bottom"/>
            <w:gridSpan w:val="7"/>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0" w:type="dxa"/>
            <w:vAlign w:val="bottom"/>
            <w:tcBorders>
              <w:bottom w:val="single" w:sz="8" w:color="0000FF"/>
            </w:tcBorders>
            <w:gridSpan w:val="11"/>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Investor Rights Agreement between Acorn Holdings B.V., Mondelez Coffee HoldCo B.V. and JDE Peet’s B.V., dated</w:t>
              </w:r>
            </w:hyperlink>
          </w:p>
        </w:tc>
        <w:tc>
          <w:tcPr>
            <w:tcW w:w="120" w:type="dxa"/>
            <w:vAlign w:val="bottom"/>
            <w:gridSpan w:val="5"/>
          </w:tcPr>
          <w:p>
            <w:pPr>
              <w:spacing w:after="0"/>
              <w:rPr>
                <w:sz w:val="20"/>
                <w:szCs w:val="20"/>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30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May 25, 2020 (incorporated by reference to Exhibit 10.1 to the Registrant's Current Report on Form 8-K filed with the</w:t>
              </w:r>
            </w:hyperlink>
          </w:p>
        </w:tc>
        <w:tc>
          <w:tcPr>
            <w:tcW w:w="2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62">
              <w:r>
                <w:rPr>
                  <w:rFonts w:ascii="Arial" w:cs="Arial" w:eastAsia="Arial" w:hAnsi="Arial"/>
                  <w:sz w:val="18"/>
                  <w:szCs w:val="18"/>
                  <w:color w:val="0000FF"/>
                  <w:w w:val="98"/>
                </w:rPr>
                <w:t>SEC on June 2, 2020).</w:t>
              </w:r>
            </w:hyperlink>
          </w:p>
        </w:tc>
        <w:tc>
          <w:tcPr>
            <w:tcW w:w="7500" w:type="dxa"/>
            <w:vAlign w:val="bottom"/>
            <w:gridSpan w:val="13"/>
          </w:tcPr>
          <w:p>
            <w:pPr>
              <w:spacing w:after="0"/>
              <w:rPr>
                <w:sz w:val="15"/>
                <w:szCs w:val="15"/>
                <w:color w:val="auto"/>
              </w:rPr>
            </w:pPr>
          </w:p>
        </w:tc>
      </w:tr>
      <w:tr>
        <w:trPr>
          <w:trHeight w:val="237"/>
        </w:trPr>
        <w:tc>
          <w:tcPr>
            <w:tcW w:w="10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20" w:type="dxa"/>
            <w:vAlign w:val="bottom"/>
            <w:gridSpan w:val="16"/>
          </w:tcPr>
          <w:p>
            <w:pPr>
              <w:spacing w:after="0"/>
              <w:rPr>
                <w:rFonts w:ascii="Arial" w:cs="Arial" w:eastAsia="Arial" w:hAnsi="Arial"/>
                <w:sz w:val="18"/>
                <w:szCs w:val="18"/>
                <w:color w:val="0000FF"/>
              </w:rPr>
            </w:pPr>
            <w:hyperlink r:id="rId63">
              <w:r>
                <w:rPr>
                  <w:rFonts w:ascii="Arial" w:cs="Arial" w:eastAsia="Arial" w:hAnsi="Arial"/>
                  <w:sz w:val="18"/>
                  <w:szCs w:val="18"/>
                  <w:color w:val="0000FF"/>
                </w:rPr>
                <w:t>Letter Agreement between Mondelez Coffee HoldCo B.V., Acorn Holdings B.V., Delta Charger HoldCo B.V., JDE</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320" w:type="dxa"/>
            <w:vAlign w:val="bottom"/>
            <w:gridSpan w:val="16"/>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Minority Holdings B.V. and JACOBS DOUWE EGBERTS B.V., dated May 30, 2020 (incorporated by reference to</w:t>
              </w:r>
            </w:hyperlink>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4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Exhibit 10.2 to the Registrant's Current Report on Form 8-K filed with the SEC on June 2, 2020).</w:t>
              </w:r>
            </w:hyperlink>
          </w:p>
        </w:tc>
        <w:tc>
          <w:tcPr>
            <w:tcW w:w="380" w:type="dxa"/>
            <w:vAlign w:val="bottom"/>
            <w:gridSpan w:val="8"/>
          </w:tcPr>
          <w:p>
            <w:pPr>
              <w:spacing w:after="0"/>
              <w:rPr>
                <w:sz w:val="19"/>
                <w:szCs w:val="19"/>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320" w:type="dxa"/>
            <w:vAlign w:val="bottom"/>
            <w:gridSpan w:val="1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Letter of PricewaterhouseCoopers LLP, dated July 28, 2020, relating to Change in Accounting Principle.</w:t>
              </w:r>
            </w:hyperlink>
          </w:p>
        </w:tc>
      </w:tr>
      <w:tr>
        <w:trPr>
          <w:trHeight w:val="216"/>
        </w:trPr>
        <w:tc>
          <w:tcPr>
            <w:tcW w:w="10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Certification of Chief Executive Officer pursuant to Rule 13a-14(a)/15d-14(a) of the Securities Exchange Act of 1934,</w:t>
              </w:r>
            </w:hyperlink>
          </w:p>
        </w:tc>
        <w:tc>
          <w:tcPr>
            <w:tcW w:w="40" w:type="dxa"/>
            <w:vAlign w:val="bottom"/>
            <w:gridSpan w:val="2"/>
          </w:tcPr>
          <w:p>
            <w:pPr>
              <w:spacing w:after="0"/>
              <w:rPr>
                <w:sz w:val="18"/>
                <w:szCs w:val="18"/>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79">
              <w:r>
                <w:rPr>
                  <w:rFonts w:ascii="Arial" w:cs="Arial" w:eastAsia="Arial" w:hAnsi="Arial"/>
                  <w:sz w:val="18"/>
                  <w:szCs w:val="18"/>
                  <w:color w:val="0000FF"/>
                  <w:w w:val="99"/>
                </w:rPr>
                <w:t>as amended.</w:t>
              </w:r>
            </w:hyperlink>
          </w:p>
        </w:tc>
        <w:tc>
          <w:tcPr>
            <w:tcW w:w="8260" w:type="dxa"/>
            <w:vAlign w:val="bottom"/>
            <w:gridSpan w:val="14"/>
          </w:tcPr>
          <w:p>
            <w:pPr>
              <w:spacing w:after="0"/>
              <w:rPr>
                <w:sz w:val="15"/>
                <w:szCs w:val="15"/>
                <w:color w:val="auto"/>
              </w:rPr>
            </w:pPr>
          </w:p>
        </w:tc>
      </w:tr>
      <w:tr>
        <w:trPr>
          <w:trHeight w:val="237"/>
        </w:trPr>
        <w:tc>
          <w:tcPr>
            <w:tcW w:w="10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80">
              <w:r>
                <w:rPr>
                  <w:rFonts w:ascii="Arial" w:cs="Arial" w:eastAsia="Arial" w:hAnsi="Arial"/>
                  <w:sz w:val="18"/>
                  <w:szCs w:val="18"/>
                  <w:color w:val="0000FF"/>
                  <w:w w:val="99"/>
                </w:rPr>
                <w:t>Certification of Chief Financial Officer pursuant to Rule 13a-14(a)/15d-14(a) of the Securities Exchange Act of 1934,</w:t>
              </w:r>
            </w:hyperlink>
          </w:p>
        </w:tc>
        <w:tc>
          <w:tcPr>
            <w:tcW w:w="120" w:type="dxa"/>
            <w:vAlign w:val="bottom"/>
            <w:gridSpan w:val="5"/>
          </w:tcPr>
          <w:p>
            <w:pPr>
              <w:spacing w:after="0"/>
              <w:rPr>
                <w:sz w:val="20"/>
                <w:szCs w:val="20"/>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80">
              <w:r>
                <w:rPr>
                  <w:rFonts w:ascii="Arial" w:cs="Arial" w:eastAsia="Arial" w:hAnsi="Arial"/>
                  <w:sz w:val="18"/>
                  <w:szCs w:val="18"/>
                  <w:color w:val="0000FF"/>
                  <w:w w:val="97"/>
                </w:rPr>
                <w:t>as amended.</w:t>
              </w:r>
            </w:hyperlink>
          </w:p>
        </w:tc>
        <w:tc>
          <w:tcPr>
            <w:tcW w:w="8280" w:type="dxa"/>
            <w:vAlign w:val="bottom"/>
            <w:gridSpan w:val="15"/>
          </w:tcPr>
          <w:p>
            <w:pPr>
              <w:spacing w:after="0"/>
              <w:rPr>
                <w:sz w:val="15"/>
                <w:szCs w:val="15"/>
                <w:color w:val="auto"/>
              </w:rPr>
            </w:pPr>
          </w:p>
        </w:tc>
      </w:tr>
      <w:tr>
        <w:trPr>
          <w:trHeight w:val="237"/>
        </w:trPr>
        <w:tc>
          <w:tcPr>
            <w:tcW w:w="10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6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Certifications of Chief Executive Officer and Chief Financial Officer pursuant to 18 U.S.C. 1350, as adopted pursuant</w:t>
              </w:r>
            </w:hyperlink>
          </w:p>
        </w:tc>
        <w:tc>
          <w:tcPr>
            <w:tcW w:w="60" w:type="dxa"/>
            <w:vAlign w:val="bottom"/>
            <w:gridSpan w:val="3"/>
          </w:tcPr>
          <w:p>
            <w:pPr>
              <w:spacing w:after="0"/>
              <w:rPr>
                <w:sz w:val="20"/>
                <w:szCs w:val="20"/>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w:anchor="page81">
              <w:r>
                <w:rPr>
                  <w:rFonts w:ascii="Arial" w:cs="Arial" w:eastAsia="Arial" w:hAnsi="Arial"/>
                  <w:sz w:val="18"/>
                  <w:szCs w:val="18"/>
                  <w:color w:val="0000FF"/>
                  <w:w w:val="99"/>
                </w:rPr>
                <w:t>to Section 906 of the Sarbanes-Oxley Act of 2002.</w:t>
              </w:r>
            </w:hyperlink>
          </w:p>
        </w:tc>
        <w:tc>
          <w:tcPr>
            <w:tcW w:w="5320" w:type="dxa"/>
            <w:vAlign w:val="bottom"/>
            <w:gridSpan w:val="11"/>
          </w:tcPr>
          <w:p>
            <w:pPr>
              <w:spacing w:after="0"/>
              <w:rPr>
                <w:sz w:val="15"/>
                <w:szCs w:val="15"/>
                <w:color w:val="auto"/>
              </w:rPr>
            </w:pPr>
          </w:p>
        </w:tc>
      </w:tr>
    </w:tbl>
    <w:p>
      <w:pPr>
        <w:spacing w:after="0" w:line="67" w:lineRule="exact"/>
        <w:rPr>
          <w:sz w:val="20"/>
          <w:szCs w:val="20"/>
          <w:color w:val="auto"/>
        </w:rPr>
      </w:pPr>
    </w:p>
    <w:p>
      <w:pPr>
        <w:ind w:left="1200" w:right="60" w:hanging="1165"/>
        <w:spacing w:after="0" w:line="23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June 30, 2020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43" w:lineRule="exact"/>
        <w:rPr>
          <w:sz w:val="20"/>
          <w:szCs w:val="20"/>
          <w:color w:val="auto"/>
        </w:rPr>
      </w:pPr>
    </w:p>
    <w:p>
      <w:pPr>
        <w:ind w:left="1200" w:right="140" w:hanging="1165"/>
        <w:spacing w:after="0" w:line="246"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June 30, 2020,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520"/>
          </w:cols>
          <w:pgMar w:left="320" w:top="355" w:right="10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3571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July 28, 2020</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355" w:right="45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10.1</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1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FIRST AMENDMENT TO CREDIT AGREEMENT</w:t>
      </w:r>
      <w:r>
        <w:rPr>
          <w:rFonts w:ascii="Arial" w:cs="Arial" w:eastAsia="Arial" w:hAnsi="Arial"/>
          <w:sz w:val="20"/>
          <w:szCs w:val="20"/>
          <w:color w:val="auto"/>
        </w:rPr>
        <w:t>, dated as of April 1, 2020 (this “</w:t>
      </w:r>
      <w:r>
        <w:rPr>
          <w:rFonts w:ascii="Arial" w:cs="Arial" w:eastAsia="Arial" w:hAnsi="Arial"/>
          <w:sz w:val="20"/>
          <w:szCs w:val="20"/>
          <w:u w:val="single" w:color="auto"/>
          <w:color w:val="auto"/>
        </w:rPr>
        <w:t>First Amendment</w:t>
      </w:r>
      <w:r>
        <w:rPr>
          <w:rFonts w:ascii="Arial" w:cs="Arial" w:eastAsia="Arial" w:hAnsi="Arial"/>
          <w:sz w:val="20"/>
          <w:szCs w:val="20"/>
          <w:color w:val="auto"/>
        </w:rPr>
        <w:t xml:space="preserve">”), is made and entered into by and among </w:t>
      </w:r>
      <w:r>
        <w:rPr>
          <w:rFonts w:ascii="Arial" w:cs="Arial" w:eastAsia="Arial" w:hAnsi="Arial"/>
          <w:sz w:val="20"/>
          <w:szCs w:val="20"/>
          <w:b w:val="1"/>
          <w:bCs w:val="1"/>
          <w:color w:val="auto"/>
        </w:rPr>
        <w:t>MONDELĒZ INTERNATIONAL, INC</w:t>
      </w:r>
      <w:r>
        <w:rPr>
          <w:rFonts w:ascii="Arial" w:cs="Arial" w:eastAsia="Arial" w:hAnsi="Arial"/>
          <w:sz w:val="20"/>
          <w:szCs w:val="20"/>
          <w:color w:val="auto"/>
        </w:rPr>
        <w:t>., a Virginia corporation (“</w:t>
      </w:r>
      <w:r>
        <w:rPr>
          <w:rFonts w:ascii="Arial" w:cs="Arial" w:eastAsia="Arial" w:hAnsi="Arial"/>
          <w:sz w:val="20"/>
          <w:szCs w:val="20"/>
          <w:u w:val="single" w:color="auto"/>
          <w:color w:val="auto"/>
        </w:rPr>
        <w:t>Mondelēz International</w:t>
      </w:r>
      <w:r>
        <w:rPr>
          <w:rFonts w:ascii="Arial" w:cs="Arial" w:eastAsia="Arial" w:hAnsi="Arial"/>
          <w:sz w:val="20"/>
          <w:szCs w:val="20"/>
          <w:color w:val="auto"/>
        </w:rPr>
        <w:t xml:space="preserve">”), </w:t>
      </w:r>
      <w:r>
        <w:rPr>
          <w:rFonts w:ascii="Arial" w:cs="Arial" w:eastAsia="Arial" w:hAnsi="Arial"/>
          <w:sz w:val="20"/>
          <w:szCs w:val="20"/>
          <w:b w:val="1"/>
          <w:bCs w:val="1"/>
          <w:color w:val="auto"/>
        </w:rPr>
        <w:t>BNP</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PARIBAS, </w:t>
      </w:r>
      <w:r>
        <w:rPr>
          <w:rFonts w:ascii="Arial" w:cs="Arial" w:eastAsia="Arial" w:hAnsi="Arial"/>
          <w:sz w:val="20"/>
          <w:szCs w:val="20"/>
          <w:color w:val="auto"/>
        </w:rPr>
        <w:t>as Augmenting Lender (the “</w:t>
      </w:r>
      <w:r>
        <w:rPr>
          <w:rFonts w:ascii="Arial" w:cs="Arial" w:eastAsia="Arial" w:hAnsi="Arial"/>
          <w:sz w:val="20"/>
          <w:szCs w:val="20"/>
          <w:u w:val="single" w:color="auto"/>
          <w:color w:val="auto"/>
        </w:rPr>
        <w:t>Augmenting Lender</w:t>
      </w:r>
      <w:r>
        <w:rPr>
          <w:rFonts w:ascii="Arial" w:cs="Arial" w:eastAsia="Arial" w:hAnsi="Arial"/>
          <w:sz w:val="20"/>
          <w:szCs w:val="20"/>
          <w:color w:val="auto"/>
        </w:rPr>
        <w:t>”) and</w:t>
      </w:r>
      <w:r>
        <w:rPr>
          <w:rFonts w:ascii="Arial" w:cs="Arial" w:eastAsia="Arial" w:hAnsi="Arial"/>
          <w:sz w:val="20"/>
          <w:szCs w:val="20"/>
          <w:b w:val="1"/>
          <w:bCs w:val="1"/>
          <w:color w:val="auto"/>
        </w:rPr>
        <w:t xml:space="preserve"> CITIBANK, N.A</w:t>
      </w:r>
      <w:r>
        <w:rPr>
          <w:rFonts w:ascii="Arial" w:cs="Arial" w:eastAsia="Arial" w:hAnsi="Arial"/>
          <w:sz w:val="20"/>
          <w:szCs w:val="20"/>
          <w:color w:val="auto"/>
        </w:rPr>
        <w:t>., as administrative agent (in such capacity,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4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WHEREAS, reference is made to the Credit Agreement dated as of March 24, 2020 (as amended, supplemented or otherwise modified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Mondelēz International, the Lenders from time to time party thereto and the Administrative Agent;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intended that Mondelēz International will obtain the First Amendment Commitment Increase (as defined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0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WHEREAS, subject to the terms and conditions of the Credit Agreement, and pursuant to Section 2.18 of the Credit Agreement, Mondelēz International has requested that (a) the Augmenting Lender provide a Commitment Increase in an aggregate principal amount of $200,000,000, and (b) the Credit Agreement be amended pursuant to Section 2.18 in the manner provided for herein;</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WHEREAS, (x) the Augmenting Lender is willing to provide the First Amendment Commitment Increase to Mondelēz International on the First Amendment Effective Date and (y) the parties hereto wish to amend the Credit Agreement on the terms and subject to the conditions set forth herein and in the Credit Agreement.</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NOW, THEREFORE, in consideration of the mutual agreements herein contained and other good and valuable consideration, the sufficiency and receipt of which are hereby acknowledged, the parties hereto agree as follows:</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i w:val="1"/>
          <w:iCs w:val="1"/>
          <w:color w:val="auto"/>
        </w:rPr>
        <w:t>Defined Terms; Interpretation; Etc</w:t>
      </w:r>
      <w:r>
        <w:rPr>
          <w:rFonts w:ascii="Arial" w:cs="Arial" w:eastAsia="Arial" w:hAnsi="Arial"/>
          <w:sz w:val="20"/>
          <w:szCs w:val="20"/>
          <w:color w:val="auto"/>
        </w:rPr>
        <w:t>. Capitalized terms used and not defined herein shall have the meanings assigned to such terms in the Credit Agreement. This First Amendment constitutes a “Commitment Increase Amendment” as defined in the Credit Agreement.</w:t>
      </w:r>
    </w:p>
    <w:p>
      <w:pPr>
        <w:spacing w:after="0" w:line="294"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6"/>
          <w:szCs w:val="16"/>
          <w:b w:val="1"/>
          <w:bCs w:val="1"/>
          <w:i w:val="1"/>
          <w:iCs w:val="1"/>
          <w:color w:val="auto"/>
        </w:rPr>
        <w:t>First Amendment Commitment Increase</w:t>
      </w:r>
      <w:r>
        <w:rPr>
          <w:rFonts w:ascii="Arial" w:cs="Arial" w:eastAsia="Arial" w:hAnsi="Arial"/>
          <w:sz w:val="16"/>
          <w:szCs w:val="16"/>
          <w:color w:val="auto"/>
        </w:rPr>
        <w:t>.</w:t>
      </w:r>
    </w:p>
    <w:p>
      <w:pPr>
        <w:spacing w:after="0" w:line="216" w:lineRule="exact"/>
        <w:rPr>
          <w:sz w:val="20"/>
          <w:szCs w:val="20"/>
          <w:color w:val="auto"/>
        </w:rPr>
      </w:pPr>
    </w:p>
    <w:p>
      <w:pPr>
        <w:ind w:left="1760" w:hanging="456"/>
        <w:spacing w:after="0"/>
        <w:tabs>
          <w:tab w:leader="none" w:pos="176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First Amendment Commitment Increase.</w:t>
      </w:r>
    </w:p>
    <w:p>
      <w:pPr>
        <w:spacing w:after="0" w:line="215" w:lineRule="exact"/>
        <w:rPr>
          <w:rFonts w:ascii="Arial" w:cs="Arial" w:eastAsia="Arial" w:hAnsi="Arial"/>
          <w:sz w:val="20"/>
          <w:szCs w:val="20"/>
          <w:color w:val="auto"/>
        </w:rPr>
      </w:pPr>
    </w:p>
    <w:p>
      <w:pPr>
        <w:jc w:val="both"/>
        <w:ind w:left="900" w:firstLine="647"/>
        <w:spacing w:after="0" w:line="257" w:lineRule="auto"/>
        <w:tabs>
          <w:tab w:leader="none" w:pos="19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Augmenting Lender hereby agrees to provide a Commitment Increase to Mondelēz International, effective as of the First Amendment Effective Date, in an aggregate principal amount equal to $200,000,000 (the “</w:t>
      </w:r>
      <w:r>
        <w:rPr>
          <w:rFonts w:ascii="Arial" w:cs="Arial" w:eastAsia="Arial" w:hAnsi="Arial"/>
          <w:sz w:val="19"/>
          <w:szCs w:val="19"/>
          <w:u w:val="single" w:color="auto"/>
          <w:color w:val="auto"/>
        </w:rPr>
        <w:t>First Amendment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on the terms set forth herein and in the Credit Agreement (as amended hereby), and subject to the conditions set forth herein. The First Amendment Commitment Increase shall be deemed to be a “Commitment” (as defined in the Credit Agreement (as amended hereby)) for all purposes of the Credit Agreement and the other documents provided thereunder having terms and provisions identical to those applicable to the Commitments outstanding immediately prior to the First Amendment Effective Date (the “</w:t>
      </w:r>
      <w:r>
        <w:rPr>
          <w:rFonts w:ascii="Arial" w:cs="Arial" w:eastAsia="Arial" w:hAnsi="Arial"/>
          <w:sz w:val="19"/>
          <w:szCs w:val="19"/>
          <w:u w:val="single" w:color="auto"/>
          <w:color w:val="auto"/>
        </w:rPr>
        <w:t>Existing Commitments</w:t>
      </w:r>
      <w:r>
        <w:rPr>
          <w:rFonts w:ascii="Arial" w:cs="Arial" w:eastAsia="Arial" w:hAnsi="Arial"/>
          <w:sz w:val="19"/>
          <w:szCs w:val="19"/>
          <w:color w:val="auto"/>
        </w:rPr>
        <w:t>”).</w:t>
      </w:r>
    </w:p>
    <w:p>
      <w:pPr>
        <w:sectPr>
          <w:pgSz w:w="11900" w:h="16838" w:orient="portrait"/>
          <w:cols w:equalWidth="0" w:num="1">
            <w:col w:w="11240"/>
          </w:cols>
          <w:pgMar w:left="320" w:top="562" w:right="339" w:bottom="1440" w:gutter="0" w:footer="0" w:header="0"/>
        </w:sectPr>
      </w:pPr>
    </w:p>
    <w:bookmarkStart w:id="71" w:name="page72"/>
    <w:bookmarkEnd w:id="71"/>
    <w:p>
      <w:pPr>
        <w:jc w:val="both"/>
        <w:ind w:left="900" w:firstLine="647"/>
        <w:spacing w:after="0" w:line="250" w:lineRule="auto"/>
        <w:tabs>
          <w:tab w:leader="none" w:pos="2064"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in the Credit Agreement, from and after the First Amendment Effective Date, the Existing Commitments and the First Amendment Commitment Increase shall constitute a single class of Commitments for all purposes under the Credit Agreement (as amended hereby).</w:t>
      </w:r>
    </w:p>
    <w:p>
      <w:pPr>
        <w:spacing w:after="0" w:line="185" w:lineRule="exact"/>
        <w:rPr>
          <w:rFonts w:ascii="Arial" w:cs="Arial" w:eastAsia="Arial" w:hAnsi="Arial"/>
          <w:sz w:val="20"/>
          <w:szCs w:val="20"/>
          <w:color w:val="auto"/>
        </w:rPr>
      </w:pPr>
    </w:p>
    <w:p>
      <w:pPr>
        <w:jc w:val="both"/>
        <w:ind w:firstLine="1304"/>
        <w:spacing w:after="0" w:line="271" w:lineRule="auto"/>
        <w:tabs>
          <w:tab w:leader="none" w:pos="17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Augmenting Lender (i) confirms that a copy of the Credit Agreement and the other applicable documents provided thereunder, together with such other documents and information as it has deemed appropriate to make its own credit analysis and decision to enter into this First Amendment and provide the First Amendment Commitment Increase have been made available to it; (ii) agrees that it will, independently and without reliance upon any other Lender or agent and based on such documents and information as it shall deem appropriate at the time, continue to make its own credit decisions in taking or not taking action under the Credit Agreement or other documents provided thereunder, including this First Amendment; (iii) appoints and authorizes the Administrative Agent to take such action as agent on its behalf and to exercise such powers under the Credit Agreement and the other documents provided thereunder as are delegated to the Administrative Agent by the terms thereof, together with such powers as are reasonably incidental thereto; and (iv) acknowledges and agrees that upon the First Amendment Effective Date such Augmenting Lender shall be a “Lender” under, and for all purposes of, the Credit Agreement and the other documents provided thereunder, and shall be subject to and bound by the terms thereof, and shall perform all the obligations of and shall have all rights of a Lender thereunder.</w:t>
      </w:r>
    </w:p>
    <w:p>
      <w:pPr>
        <w:spacing w:after="0" w:line="17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b w:val="1"/>
          <w:bCs w:val="1"/>
          <w:i w:val="1"/>
          <w:iCs w:val="1"/>
          <w:color w:val="auto"/>
        </w:rPr>
        <w:t>Amendments to Credit Agreement.</w:t>
      </w:r>
    </w:p>
    <w:p>
      <w:pPr>
        <w:spacing w:after="0" w:line="216" w:lineRule="exact"/>
        <w:rPr>
          <w:sz w:val="20"/>
          <w:szCs w:val="20"/>
          <w:color w:val="auto"/>
        </w:rPr>
      </w:pPr>
    </w:p>
    <w:p>
      <w:pPr>
        <w:ind w:left="1840" w:hanging="536"/>
        <w:spacing w:after="0"/>
        <w:tabs>
          <w:tab w:leader="none" w:pos="1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adding the following definitions in proper alphabetical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sequence:</w:t>
      </w:r>
    </w:p>
    <w:p>
      <w:pPr>
        <w:spacing w:after="0" w:line="200" w:lineRule="exact"/>
        <w:rPr>
          <w:sz w:val="20"/>
          <w:szCs w:val="20"/>
          <w:color w:val="auto"/>
        </w:rPr>
      </w:pPr>
    </w:p>
    <w:p>
      <w:pPr>
        <w:ind w:left="1380" w:hanging="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means, that certain First Amendment to Credit Agreement dated as of April 1, 2020 among Mondelēz International, BNP Paribas and the Administrative Agent.</w:t>
      </w:r>
    </w:p>
    <w:p>
      <w:pPr>
        <w:spacing w:after="0" w:line="177"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the date on which the conditions precedent set forth in Section 4 of the First Amendment were satisfied or waived in accordance therewith.</w:t>
      </w:r>
    </w:p>
    <w:p>
      <w:pPr>
        <w:spacing w:after="0" w:line="177" w:lineRule="exact"/>
        <w:rPr>
          <w:sz w:val="20"/>
          <w:szCs w:val="20"/>
          <w:color w:val="auto"/>
        </w:rPr>
      </w:pPr>
    </w:p>
    <w:p>
      <w:pPr>
        <w:ind w:left="1300"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Commitment Increase</w:t>
      </w:r>
      <w:r>
        <w:rPr>
          <w:rFonts w:ascii="Arial" w:cs="Arial" w:eastAsia="Arial" w:hAnsi="Arial"/>
          <w:sz w:val="20"/>
          <w:szCs w:val="20"/>
          <w:color w:val="auto"/>
        </w:rPr>
        <w:t>” means the Commitment Increase made on the First Amendment Effective Date pursuant to the First Amendment.</w:t>
      </w:r>
    </w:p>
    <w:p>
      <w:pPr>
        <w:spacing w:after="0" w:line="177" w:lineRule="exact"/>
        <w:rPr>
          <w:sz w:val="20"/>
          <w:szCs w:val="20"/>
          <w:color w:val="auto"/>
        </w:rPr>
      </w:pPr>
    </w:p>
    <w:p>
      <w:pPr>
        <w:ind w:left="1840" w:hanging="455"/>
        <w:spacing w:after="0"/>
        <w:tabs>
          <w:tab w:leader="none" w:pos="18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defined term “Lenders” is hereby amended to add the following sentence after the last sentence thereof:</w:t>
      </w:r>
    </w:p>
    <w:p>
      <w:pPr>
        <w:spacing w:after="0" w:line="227"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For the avoidance of doubt, the Augmenting Lender making the First Amendment Commitment Increase pursuant to the First Amendment shall constitute a “Lender” hereunder.</w:t>
      </w:r>
    </w:p>
    <w:p>
      <w:pPr>
        <w:spacing w:after="0" w:line="177" w:lineRule="exact"/>
        <w:rPr>
          <w:sz w:val="20"/>
          <w:szCs w:val="20"/>
          <w:color w:val="auto"/>
        </w:rPr>
      </w:pPr>
    </w:p>
    <w:p>
      <w:pPr>
        <w:ind w:firstLine="1304"/>
        <w:spacing w:after="0" w:line="260" w:lineRule="auto"/>
        <w:tabs>
          <w:tab w:leader="none" w:pos="1745"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Schedule I of the Credit Agreement, the List of Lenders and Commitments, is hereby amended and restated as set forth in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to this First Amendment.</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i w:val="1"/>
          <w:iCs w:val="1"/>
          <w:color w:val="auto"/>
        </w:rPr>
        <w:t>Conditions Precedent to First Amendment Commitment Increase</w:t>
      </w:r>
      <w:r>
        <w:rPr>
          <w:rFonts w:ascii="Arial" w:cs="Arial" w:eastAsia="Arial" w:hAnsi="Arial"/>
          <w:sz w:val="18"/>
          <w:szCs w:val="18"/>
          <w:color w:val="auto"/>
        </w:rPr>
        <w:t>. This First Amendment and the Augmenting Lender’s obligation to provide the First Amendment Commitment Increase pursuant to this First Amendment shall become effective as of the date on which the following conditions precedent are satisfied (such date,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w:t>
      </w:r>
    </w:p>
    <w:p>
      <w:pPr>
        <w:spacing w:after="0" w:line="152" w:lineRule="exact"/>
        <w:rPr>
          <w:sz w:val="20"/>
          <w:szCs w:val="20"/>
          <w:color w:val="auto"/>
        </w:rPr>
      </w:pPr>
    </w:p>
    <w:p>
      <w:pPr>
        <w:jc w:val="both"/>
        <w:ind w:firstLine="1304"/>
        <w:spacing w:after="0" w:line="291" w:lineRule="auto"/>
        <w:tabs>
          <w:tab w:leader="none" w:pos="17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each party hereto either (i) a counterpart of this First Amendment signed on behalf of such party or (ii) written evidence satisfactory to the Administrative Agent (which may include facsimile or electronic transmission of a signed signature page of this Agreement) that such party has signed a counterpart of this First Amendment.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9" w:right="339" w:bottom="1440" w:gutter="0" w:footer="0" w:header="0"/>
        </w:sectPr>
      </w:pPr>
    </w:p>
    <w:bookmarkStart w:id="72" w:name="page73"/>
    <w:bookmarkEnd w:id="72"/>
    <w:p>
      <w:pPr>
        <w:ind w:firstLine="1304"/>
        <w:spacing w:after="0" w:line="260" w:lineRule="auto"/>
        <w:tabs>
          <w:tab w:leader="none" w:pos="1891" w:val="left"/>
        </w:tabs>
        <w:numPr>
          <w:ilvl w:val="0"/>
          <w:numId w:val="50"/>
        </w:numPr>
        <w:rPr>
          <w:rFonts w:ascii="Arial" w:cs="Arial" w:eastAsia="Arial" w:hAnsi="Arial"/>
          <w:sz w:val="20"/>
          <w:szCs w:val="20"/>
          <w:color w:val="auto"/>
        </w:rPr>
      </w:pPr>
      <w:r>
        <w:rPr>
          <w:rFonts w:ascii="Arial" w:cs="Arial" w:eastAsia="Arial" w:hAnsi="Arial"/>
          <w:sz w:val="20"/>
          <w:szCs w:val="20"/>
          <w:color w:val="auto"/>
        </w:rPr>
        <w:t>On the First Amendment Effective Date, the following statements shall be true, and the acceptance by Mondelēz International of the proceeds of such First Amendment shall be a representation by Mondelēz International that:</w:t>
      </w:r>
    </w:p>
    <w:p>
      <w:pPr>
        <w:spacing w:after="0" w:line="176" w:lineRule="exact"/>
        <w:rPr>
          <w:rFonts w:ascii="Arial" w:cs="Arial" w:eastAsia="Arial" w:hAnsi="Arial"/>
          <w:sz w:val="20"/>
          <w:szCs w:val="20"/>
          <w:color w:val="auto"/>
        </w:rPr>
      </w:pPr>
    </w:p>
    <w:p>
      <w:pPr>
        <w:jc w:val="both"/>
        <w:ind w:left="980" w:firstLine="648"/>
        <w:spacing w:after="0" w:line="263" w:lineRule="auto"/>
        <w:tabs>
          <w:tab w:leader="none" w:pos="1876"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 4.01 of the Credit Agreement (except the representations set forth in the last sentence of subsection (e) and in subsection (f) thereof (other than clause (i) thereof)) are correct on and as of the date of the First Amendment Effective Date, before and after giving effect to such First Amendment and to the application of the proceeds therefrom, as though made on and as of such date; and</w:t>
      </w:r>
    </w:p>
    <w:p>
      <w:pPr>
        <w:spacing w:after="0" w:line="176" w:lineRule="exact"/>
        <w:rPr>
          <w:rFonts w:ascii="Arial" w:cs="Arial" w:eastAsia="Arial" w:hAnsi="Arial"/>
          <w:sz w:val="19"/>
          <w:szCs w:val="19"/>
          <w:color w:val="auto"/>
        </w:rPr>
      </w:pPr>
    </w:p>
    <w:p>
      <w:pPr>
        <w:jc w:val="both"/>
        <w:ind w:left="980" w:firstLine="648"/>
        <w:spacing w:after="0" w:line="250" w:lineRule="auto"/>
        <w:tabs>
          <w:tab w:leader="none" w:pos="1941" w:val="left"/>
        </w:tabs>
        <w:numPr>
          <w:ilvl w:val="1"/>
          <w:numId w:val="50"/>
        </w:numPr>
        <w:rPr>
          <w:rFonts w:ascii="Arial" w:cs="Arial" w:eastAsia="Arial" w:hAnsi="Arial"/>
          <w:sz w:val="20"/>
          <w:szCs w:val="20"/>
          <w:color w:val="auto"/>
        </w:rPr>
      </w:pPr>
      <w:r>
        <w:rPr>
          <w:rFonts w:ascii="Arial" w:cs="Arial" w:eastAsia="Arial" w:hAnsi="Arial"/>
          <w:sz w:val="20"/>
          <w:szCs w:val="20"/>
          <w:color w:val="auto"/>
        </w:rPr>
        <w:t>before and after giving effect to the application of the proceeds of the First Amendment on the First Amendment Effective Date (together with any other resources of the Borrowers applied together therewith), no Default or Event of Default has occurred and is continuing or would result from such First Amendment.</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745"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an authorized officer of Mondelēz International, dated the First Amendment Effective Date, certifying that the conditions set forth in Section 3.03 of the Credit Agreement shall be satisfied as of such date.</w:t>
      </w:r>
    </w:p>
    <w:p>
      <w:pPr>
        <w:spacing w:after="0" w:line="186"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The Administrative Agent shall notify the Borrower and the Lenders of the First Amendment Effective Date, and such notice shall be conclusive and binding.</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i w:val="1"/>
          <w:iCs w:val="1"/>
          <w:color w:val="auto"/>
        </w:rPr>
        <w:t>Reaffirmation of Guaranty</w:t>
      </w:r>
      <w:r>
        <w:rPr>
          <w:rFonts w:ascii="Arial" w:cs="Arial" w:eastAsia="Arial" w:hAnsi="Arial"/>
          <w:sz w:val="19"/>
          <w:szCs w:val="19"/>
          <w:color w:val="auto"/>
        </w:rPr>
        <w:t>. Mondelēz International hereby acknowledges its receipt of a copy of this First Amendment and its review of the terms and conditions hereof and consents to the terms and conditions of this First Amendment and the transactions contemplated hereby, including the provision of the First Amendment Commitment Increase. Mondelēz International hereby (a) affirms and confirms its prior guaranty and other undertakings under the Credit Agreement and the other documents provided thereunder, (b) agrees that (i) the Credit Agreement and the other documents provided thereunder shall continue to be in full force and effect and (ii) the prior guaranty and other undertakings thereunder shall continue to be in full force and effect and shall accrue to the benefit of the Lenders, including the Augmenting Lender, and (c) acknowledges that from and after the date hereof, the First Amendment Commitment Increase from time to time outstanding shall be deemed to be Obligations.</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i w:val="1"/>
          <w:iCs w:val="1"/>
          <w:color w:val="auto"/>
        </w:rPr>
        <w:t>Costs and Expenses; Breakage; Indemnification</w:t>
      </w:r>
      <w:r>
        <w:rPr>
          <w:rFonts w:ascii="Arial" w:cs="Arial" w:eastAsia="Arial" w:hAnsi="Arial"/>
          <w:sz w:val="20"/>
          <w:szCs w:val="20"/>
          <w:color w:val="auto"/>
        </w:rPr>
        <w:t xml:space="preserve">. Section 9.04 of the Credit Agreement is hereby incorporated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as if such Section was set forth in full herein.</w:t>
      </w:r>
    </w:p>
    <w:p>
      <w:pPr>
        <w:spacing w:after="0" w:line="17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6"/>
          <w:szCs w:val="16"/>
          <w:b w:val="1"/>
          <w:bCs w:val="1"/>
          <w:i w:val="1"/>
          <w:iCs w:val="1"/>
          <w:color w:val="auto"/>
        </w:rPr>
        <w:t>Miscellaneous</w:t>
      </w:r>
      <w:r>
        <w:rPr>
          <w:rFonts w:ascii="Arial" w:cs="Arial" w:eastAsia="Arial" w:hAnsi="Arial"/>
          <w:sz w:val="16"/>
          <w:szCs w:val="16"/>
          <w:color w:val="auto"/>
        </w:rPr>
        <w:t>.</w:t>
      </w:r>
    </w:p>
    <w:p>
      <w:pPr>
        <w:spacing w:after="0" w:line="216" w:lineRule="exact"/>
        <w:rPr>
          <w:sz w:val="20"/>
          <w:szCs w:val="20"/>
          <w:color w:val="auto"/>
        </w:rPr>
      </w:pPr>
    </w:p>
    <w:p>
      <w:pPr>
        <w:ind w:firstLine="1304"/>
        <w:spacing w:after="0" w:line="260" w:lineRule="auto"/>
        <w:tabs>
          <w:tab w:leader="none" w:pos="1785" w:val="left"/>
        </w:tabs>
        <w:numPr>
          <w:ilvl w:val="0"/>
          <w:numId w:val="51"/>
        </w:numPr>
        <w:rPr>
          <w:rFonts w:ascii="Arial" w:cs="Arial" w:eastAsia="Arial" w:hAnsi="Arial"/>
          <w:sz w:val="20"/>
          <w:szCs w:val="20"/>
          <w:color w:val="auto"/>
        </w:rPr>
      </w:pPr>
      <w:r>
        <w:rPr>
          <w:rFonts w:ascii="Arial" w:cs="Arial" w:eastAsia="Arial" w:hAnsi="Arial"/>
          <w:sz w:val="20"/>
          <w:szCs w:val="20"/>
          <w:b w:val="1"/>
          <w:bCs w:val="1"/>
          <w:i w:val="1"/>
          <w:iCs w:val="1"/>
          <w:color w:val="auto"/>
        </w:rPr>
        <w:t>Amendment, Modification and Waiver</w:t>
      </w:r>
      <w:r>
        <w:rPr>
          <w:rFonts w:ascii="Arial" w:cs="Arial" w:eastAsia="Arial" w:hAnsi="Arial"/>
          <w:sz w:val="20"/>
          <w:szCs w:val="20"/>
          <w:color w:val="auto"/>
        </w:rPr>
        <w:t>. This First Amendment may not be amended and no provision hereof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waived except pursuant to a writing signed by each of the parties hereto.</w:t>
      </w:r>
    </w:p>
    <w:p>
      <w:pPr>
        <w:spacing w:after="0" w:line="176" w:lineRule="exact"/>
        <w:rPr>
          <w:rFonts w:ascii="Arial" w:cs="Arial" w:eastAsia="Arial" w:hAnsi="Arial"/>
          <w:sz w:val="20"/>
          <w:szCs w:val="20"/>
          <w:color w:val="auto"/>
        </w:rPr>
      </w:pPr>
    </w:p>
    <w:p>
      <w:pPr>
        <w:jc w:val="both"/>
        <w:ind w:firstLine="1304"/>
        <w:spacing w:after="0" w:line="269" w:lineRule="auto"/>
        <w:tabs>
          <w:tab w:leader="none" w:pos="1932"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Entire Agreement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First Amendment and the Credit Agreement (as amended hereby) constitute the entire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69" w:lineRule="exact"/>
        <w:rPr>
          <w:rFonts w:ascii="Arial" w:cs="Arial" w:eastAsia="Arial" w:hAnsi="Arial"/>
          <w:sz w:val="19"/>
          <w:szCs w:val="19"/>
          <w:color w:val="auto"/>
        </w:rPr>
      </w:pPr>
    </w:p>
    <w:p>
      <w:pPr>
        <w:ind w:firstLine="1304"/>
        <w:spacing w:after="0" w:line="260" w:lineRule="auto"/>
        <w:tabs>
          <w:tab w:leader="none" w:pos="1961" w:val="left"/>
        </w:tabs>
        <w:numPr>
          <w:ilvl w:val="0"/>
          <w:numId w:val="51"/>
        </w:numPr>
        <w:rPr>
          <w:rFonts w:ascii="Arial" w:cs="Arial" w:eastAsia="Arial" w:hAnsi="Arial"/>
          <w:sz w:val="20"/>
          <w:szCs w:val="20"/>
          <w:color w:val="auto"/>
        </w:rPr>
      </w:pPr>
      <w:r>
        <w:rPr>
          <w:rFonts w:ascii="Arial" w:cs="Arial" w:eastAsia="Arial" w:hAnsi="Arial"/>
          <w:sz w:val="20"/>
          <w:szCs w:val="20"/>
          <w:b w:val="1"/>
          <w:bCs w:val="1"/>
          <w:i w:val="1"/>
          <w:iCs w:val="1"/>
          <w:color w:val="auto"/>
        </w:rPr>
        <w:t>Governing Law; Jurisdiction; Appointment of Process Agent; Waivers</w:t>
      </w:r>
      <w:r>
        <w:rPr>
          <w:rFonts w:ascii="Arial" w:cs="Arial" w:eastAsia="Arial" w:hAnsi="Arial"/>
          <w:sz w:val="20"/>
          <w:szCs w:val="20"/>
          <w:color w:val="auto"/>
        </w:rPr>
        <w:t>. Sections 9.09 and 9.11 of the Credit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Agreement is hereby incorporated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as if such Sections were set forth in full herein.</w:t>
      </w:r>
    </w:p>
    <w:p>
      <w:pPr>
        <w:spacing w:after="0" w:line="176" w:lineRule="exact"/>
        <w:rPr>
          <w:rFonts w:ascii="Arial" w:cs="Arial" w:eastAsia="Arial" w:hAnsi="Arial"/>
          <w:sz w:val="20"/>
          <w:szCs w:val="20"/>
          <w:color w:val="auto"/>
        </w:rPr>
      </w:pPr>
    </w:p>
    <w:p>
      <w:pPr>
        <w:ind w:firstLine="1304"/>
        <w:spacing w:after="0" w:line="260" w:lineRule="auto"/>
        <w:tabs>
          <w:tab w:leader="none" w:pos="1837" w:val="left"/>
        </w:tabs>
        <w:numPr>
          <w:ilvl w:val="0"/>
          <w:numId w:val="51"/>
        </w:numPr>
        <w:rPr>
          <w:rFonts w:ascii="Arial" w:cs="Arial" w:eastAsia="Arial" w:hAnsi="Arial"/>
          <w:sz w:val="20"/>
          <w:szCs w:val="20"/>
          <w:color w:val="auto"/>
        </w:rPr>
      </w:pPr>
      <w:r>
        <w:rPr>
          <w:rFonts w:ascii="Arial" w:cs="Arial" w:eastAsia="Arial" w:hAnsi="Arial"/>
          <w:sz w:val="20"/>
          <w:szCs w:val="20"/>
          <w:b w:val="1"/>
          <w:bCs w:val="1"/>
          <w:i w:val="1"/>
          <w:iCs w:val="1"/>
          <w:color w:val="auto"/>
        </w:rPr>
        <w:t>Confidentiality</w:t>
      </w:r>
      <w:r>
        <w:rPr>
          <w:rFonts w:ascii="Arial" w:cs="Arial" w:eastAsia="Arial" w:hAnsi="Arial"/>
          <w:sz w:val="20"/>
          <w:szCs w:val="20"/>
          <w:color w:val="auto"/>
        </w:rPr>
        <w:t>. Sections 9.12 of the Credit Agreement is hereby incorporated by reference,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mutatis mutandis</w:t>
      </w:r>
      <w:r>
        <w:rPr>
          <w:rFonts w:ascii="Arial" w:cs="Arial" w:eastAsia="Arial" w:hAnsi="Arial"/>
          <w:sz w:val="20"/>
          <w:szCs w:val="20"/>
          <w:color w:val="auto"/>
        </w:rPr>
        <w:t>, as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Section was set forth in full herein.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9" w:right="339" w:bottom="1440" w:gutter="0" w:footer="0" w:header="0"/>
        </w:sectPr>
      </w:pPr>
    </w:p>
    <w:bookmarkStart w:id="73" w:name="page74"/>
    <w:bookmarkEnd w:id="73"/>
    <w:p>
      <w:pPr>
        <w:jc w:val="both"/>
        <w:ind w:firstLine="1304"/>
        <w:spacing w:after="0" w:line="260" w:lineRule="auto"/>
        <w:tabs>
          <w:tab w:leader="none" w:pos="1799" w:val="left"/>
        </w:tabs>
        <w:numPr>
          <w:ilvl w:val="0"/>
          <w:numId w:val="52"/>
        </w:numPr>
        <w:rPr>
          <w:rFonts w:ascii="Arial" w:cs="Arial" w:eastAsia="Arial" w:hAnsi="Arial"/>
          <w:sz w:val="19"/>
          <w:szCs w:val="19"/>
          <w:color w:val="auto"/>
        </w:rPr>
      </w:pPr>
      <w:r>
        <w:rPr>
          <w:rFonts w:ascii="Arial" w:cs="Arial" w:eastAsia="Arial" w:hAnsi="Arial"/>
          <w:sz w:val="19"/>
          <w:szCs w:val="19"/>
          <w:b w:val="1"/>
          <w:bCs w:val="1"/>
          <w:i w:val="1"/>
          <w:iCs w:val="1"/>
          <w:color w:val="auto"/>
        </w:rPr>
        <w:t>Severability</w:t>
      </w:r>
      <w:r>
        <w:rPr>
          <w:rFonts w:ascii="Arial" w:cs="Arial" w:eastAsia="Arial" w:hAnsi="Arial"/>
          <w:sz w:val="19"/>
          <w:szCs w:val="19"/>
          <w:color w:val="auto"/>
        </w:rPr>
        <w:t>. If any provision of this First Amendment is held to be illegal, invalid or unenforceable, (a) the legality,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validity and enforceability of the remaining provisions of this First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0" w:lineRule="exact"/>
        <w:rPr>
          <w:rFonts w:ascii="Arial" w:cs="Arial" w:eastAsia="Arial" w:hAnsi="Arial"/>
          <w:sz w:val="19"/>
          <w:szCs w:val="19"/>
          <w:color w:val="auto"/>
        </w:rPr>
      </w:pPr>
    </w:p>
    <w:p>
      <w:pPr>
        <w:jc w:val="both"/>
        <w:ind w:firstLine="1304"/>
        <w:spacing w:after="0" w:line="259" w:lineRule="auto"/>
        <w:tabs>
          <w:tab w:leader="none" w:pos="1804" w:val="left"/>
        </w:tabs>
        <w:numPr>
          <w:ilvl w:val="0"/>
          <w:numId w:val="52"/>
        </w:numPr>
        <w:rPr>
          <w:rFonts w:ascii="Arial" w:cs="Arial" w:eastAsia="Arial" w:hAnsi="Arial"/>
          <w:sz w:val="19"/>
          <w:szCs w:val="19"/>
          <w:color w:val="auto"/>
        </w:rPr>
      </w:pPr>
      <w:r>
        <w:rPr>
          <w:rFonts w:ascii="Arial" w:cs="Arial" w:eastAsia="Arial" w:hAnsi="Arial"/>
          <w:sz w:val="19"/>
          <w:szCs w:val="19"/>
          <w:b w:val="1"/>
          <w:bCs w:val="1"/>
          <w:i w:val="1"/>
          <w:iCs w:val="1"/>
          <w:color w:val="auto"/>
        </w:rPr>
        <w:t>Counterparts; Integration; Effectiveness</w:t>
      </w:r>
      <w:r>
        <w:rPr>
          <w:rFonts w:ascii="Arial" w:cs="Arial" w:eastAsia="Arial" w:hAnsi="Arial"/>
          <w:sz w:val="19"/>
          <w:szCs w:val="19"/>
          <w:color w:val="auto"/>
        </w:rPr>
        <w:t>. This First Amendment may be executed in counterparts (and by different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parties hereto in different counterparts), each of which shall constitute an original, but all of which when taken together shall constitute a single contract. This First Amendment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First Amendment by facsimile or in electronic (i.e., “pdf” or “tif”) format shall be effective as delivery of a manually executed counterpart of this First Amendment.</w:t>
      </w:r>
    </w:p>
    <w:p>
      <w:pPr>
        <w:spacing w:after="0" w:line="178" w:lineRule="exact"/>
        <w:rPr>
          <w:rFonts w:ascii="Arial" w:cs="Arial" w:eastAsia="Arial" w:hAnsi="Arial"/>
          <w:sz w:val="19"/>
          <w:szCs w:val="19"/>
          <w:color w:val="auto"/>
        </w:rPr>
      </w:pPr>
    </w:p>
    <w:p>
      <w:pPr>
        <w:ind w:firstLine="1304"/>
        <w:spacing w:after="0" w:line="260" w:lineRule="auto"/>
        <w:tabs>
          <w:tab w:leader="none" w:pos="1810" w:val="left"/>
        </w:tabs>
        <w:numPr>
          <w:ilvl w:val="0"/>
          <w:numId w:val="52"/>
        </w:numPr>
        <w:rPr>
          <w:rFonts w:ascii="Arial" w:cs="Arial" w:eastAsia="Arial" w:hAnsi="Arial"/>
          <w:sz w:val="20"/>
          <w:szCs w:val="20"/>
          <w:color w:val="auto"/>
        </w:rPr>
      </w:pPr>
      <w:r>
        <w:rPr>
          <w:rFonts w:ascii="Arial" w:cs="Arial" w:eastAsia="Arial" w:hAnsi="Arial"/>
          <w:sz w:val="20"/>
          <w:szCs w:val="20"/>
          <w:b w:val="1"/>
          <w:bCs w:val="1"/>
          <w:i w:val="1"/>
          <w:iCs w:val="1"/>
          <w:color w:val="auto"/>
        </w:rPr>
        <w:t>Headings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headings of this First Amendment are for purposes of reference only and shall not limit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affect the meaning hereof.</w:t>
      </w:r>
    </w:p>
    <w:p>
      <w:pPr>
        <w:spacing w:after="0" w:line="176" w:lineRule="exact"/>
        <w:rPr>
          <w:rFonts w:ascii="Arial" w:cs="Arial" w:eastAsia="Arial" w:hAnsi="Arial"/>
          <w:sz w:val="20"/>
          <w:szCs w:val="20"/>
          <w:color w:val="auto"/>
        </w:rPr>
      </w:pPr>
    </w:p>
    <w:p>
      <w:pPr>
        <w:jc w:val="both"/>
        <w:ind w:firstLine="1304"/>
        <w:spacing w:after="0" w:line="272" w:lineRule="auto"/>
        <w:tabs>
          <w:tab w:leader="none" w:pos="1756"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Reference to and Effect on the Credit Agreement and the Other Loan Documents</w:t>
      </w:r>
      <w:r>
        <w:rPr>
          <w:rFonts w:ascii="Arial" w:cs="Arial" w:eastAsia="Arial" w:hAnsi="Arial"/>
          <w:sz w:val="18"/>
          <w:szCs w:val="18"/>
          <w:color w:val="auto"/>
        </w:rPr>
        <w:t>. On and after the First Amendment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 each reference in the Credit Agreement to “this Agreement,” “hereunder,” “herein” or words of like import referring to the Credit Agreement, and each reference in the other documents provided thereunder to the “Credit Agreement,” “thereunder,” “thereof” or words of like import referring to the Credit Agreement shall mean and be a reference to the Credit Agreement as amended by this First Amendment. Except as specifically amended by this First Amendment, the Credit Agreement and the other documents provided thereunder shall remain in full force and effect and are hereby ratified and confirmed and this First Amendment shall not constitute a novation of the Credit Agreement of any other documents provided thereunder. The execution, delivery and performance of this First Amendment shall not constitute a waiver of any provision of, or operate as a waiver of any right, power or remedy of the Administrative Agent or Lender under, the Credit Agreement or any of the other documents provided thereunder.</w:t>
      </w:r>
    </w:p>
    <w:p>
      <w:pPr>
        <w:spacing w:after="0" w:line="170" w:lineRule="exact"/>
        <w:rPr>
          <w:rFonts w:ascii="Arial" w:cs="Arial" w:eastAsia="Arial" w:hAnsi="Arial"/>
          <w:sz w:val="18"/>
          <w:szCs w:val="18"/>
          <w:color w:val="auto"/>
        </w:rPr>
      </w:pPr>
    </w:p>
    <w:p>
      <w:pPr>
        <w:ind w:left="4560" w:hanging="408"/>
        <w:spacing w:after="0"/>
        <w:tabs>
          <w:tab w:leader="none" w:pos="4560"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this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9" w:right="339" w:bottom="1440" w:gutter="0" w:footer="0" w:header="0"/>
        </w:sectPr>
      </w:pPr>
    </w:p>
    <w:bookmarkStart w:id="74" w:name="page75"/>
    <w:bookmarkEnd w:id="7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First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MONDELĒZ INTERNATIONAL, INC.</w:t>
      </w:r>
    </w:p>
    <w:p>
      <w:pPr>
        <w:spacing w:after="0" w:line="37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By: /s/ Michael A. Call</w:t>
      </w:r>
    </w:p>
    <w:p>
      <w:pPr>
        <w:spacing w:after="0" w:line="4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Michael A.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-143510</wp:posOffset>
            </wp:positionV>
            <wp:extent cx="1337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Title: Vice President, Global Treasury and Treasurer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[Signature Page to First Amendment to Credit Agreement]</w:t>
      </w:r>
    </w:p>
    <w:p>
      <w:pPr>
        <w:sectPr>
          <w:pgSz w:w="11900" w:h="16838" w:orient="portrait"/>
          <w:cols w:equalWidth="0" w:num="1">
            <w:col w:w="11000"/>
          </w:cols>
          <w:pgMar w:left="320" w:top="339" w:right="579" w:bottom="1440" w:gutter="0" w:footer="0" w:header="0"/>
        </w:sectPr>
      </w:pPr>
    </w:p>
    <w:bookmarkStart w:id="75" w:name="page76"/>
    <w:bookmarkEnd w:id="75"/>
    <w:p>
      <w:pPr>
        <w:ind w:left="2780"/>
        <w:spacing w:after="0"/>
        <w:rPr>
          <w:sz w:val="20"/>
          <w:szCs w:val="20"/>
          <w:color w:val="auto"/>
        </w:rPr>
      </w:pPr>
      <w:r>
        <w:rPr>
          <w:rFonts w:ascii="Arial" w:cs="Arial" w:eastAsia="Arial" w:hAnsi="Arial"/>
          <w:sz w:val="16"/>
          <w:szCs w:val="16"/>
          <w:color w:val="auto"/>
        </w:rPr>
        <w:t>BNP PARIBAS, as a Commitment Increase Lender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By: /s/ Christopher Sked</w:t>
      </w:r>
    </w:p>
    <w:p>
      <w:pPr>
        <w:spacing w:after="0" w:line="40"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Name: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-143510</wp:posOffset>
            </wp:positionV>
            <wp:extent cx="1920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378"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By: /s/ Karim Remtoula</w:t>
      </w:r>
    </w:p>
    <w:p>
      <w:pPr>
        <w:spacing w:after="0" w:line="4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Name: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-143510</wp:posOffset>
            </wp:positionV>
            <wp:extent cx="19202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Credit Agreement]</w:t>
      </w:r>
    </w:p>
    <w:p>
      <w:pPr>
        <w:sectPr>
          <w:pgSz w:w="11900" w:h="16838" w:orient="portrait"/>
          <w:cols w:equalWidth="0" w:num="1">
            <w:col w:w="9019"/>
          </w:cols>
          <w:pgMar w:left="1440" w:top="568" w:right="1440" w:bottom="1440" w:gutter="0" w:footer="0" w:header="0"/>
        </w:sectPr>
      </w:pPr>
    </w:p>
    <w:bookmarkStart w:id="76" w:name="page77"/>
    <w:bookmarkEnd w:id="76"/>
    <w:p>
      <w:pPr>
        <w:jc w:val="right"/>
        <w:ind w:right="2139"/>
        <w:spacing w:after="0"/>
        <w:rPr>
          <w:sz w:val="20"/>
          <w:szCs w:val="20"/>
          <w:color w:val="auto"/>
        </w:rPr>
      </w:pPr>
      <w:r>
        <w:rPr>
          <w:rFonts w:ascii="Arial" w:cs="Arial" w:eastAsia="Arial" w:hAnsi="Arial"/>
          <w:sz w:val="20"/>
          <w:szCs w:val="20"/>
          <w:color w:val="auto"/>
        </w:rPr>
        <w:t>CITIBANK, N.A., as Administrative Agent</w:t>
      </w:r>
    </w:p>
    <w:p>
      <w:pPr>
        <w:spacing w:after="0" w:line="200" w:lineRule="exact"/>
        <w:rPr>
          <w:sz w:val="20"/>
          <w:szCs w:val="20"/>
          <w:color w:val="auto"/>
        </w:rPr>
      </w:pPr>
    </w:p>
    <w:p>
      <w:pPr>
        <w:spacing w:after="0" w:line="394"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By: /s/ Carolyn A. Kee</w:t>
      </w:r>
    </w:p>
    <w:p>
      <w:pPr>
        <w:spacing w:after="0" w:line="4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Name: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-143510</wp:posOffset>
            </wp:positionV>
            <wp:extent cx="17659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42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Credit Agreement]</w:t>
      </w:r>
    </w:p>
    <w:p>
      <w:pPr>
        <w:sectPr>
          <w:pgSz w:w="11900" w:h="16838" w:orient="portrait"/>
          <w:cols w:equalWidth="0" w:num="1">
            <w:col w:w="9019"/>
          </w:cols>
          <w:pgMar w:left="1440" w:top="568"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834390</wp:posOffset>
            </wp:positionV>
            <wp:extent cx="634365" cy="462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343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905 West Fulton Market,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Chicago, IL 60607 USA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are providing this letter to you for inclusion as an exhibit to Mondelēz International, Inc.’s (the “Company”) Quarterly Report on Form 10-Q for the period ended June 30, 2020 (the “Form 10-Q”) pursuant to Item 601 of Regulation S-K.</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have been provided a copy of the Company’s Form 10-Q. Note 6 therein describes a change in accounting principle from recording the Jacobs Douwe Egbert (“JDE”) equity method investment earnings in the current period to recording the JDE historical and JDE Peet’s N.V. ongoing equity method investment earnings on a one quarter lag as a result of the exchange in ownership from JDE to JDE Peet’s N.V. that occurred in May of 2020. It should be understood that the preferability of one acceptable method of accounting over another for recording the results of an equity method investment on a lag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a change to a preferable accounting principle in conformity with Accounting Standards Codification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w:t>
      </w:r>
    </w:p>
    <w:p>
      <w:pPr>
        <w:spacing w:after="0" w:line="211" w:lineRule="exact"/>
        <w:rPr>
          <w:sz w:val="20"/>
          <w:szCs w:val="20"/>
          <w:color w:val="auto"/>
        </w:rPr>
      </w:pPr>
    </w:p>
    <w:p>
      <w:pPr>
        <w:jc w:val="both"/>
        <w:ind w:right="820"/>
        <w:spacing w:after="0" w:line="256" w:lineRule="auto"/>
        <w:rPr>
          <w:sz w:val="20"/>
          <w:szCs w:val="20"/>
          <w:color w:val="auto"/>
        </w:rPr>
      </w:pPr>
      <w:r>
        <w:rPr>
          <w:rFonts w:ascii="Arial" w:cs="Arial" w:eastAsia="Arial" w:hAnsi="Arial"/>
          <w:sz w:val="18"/>
          <w:szCs w:val="18"/>
          <w:color w:val="auto"/>
        </w:rPr>
        <w:t>We have not audited any financial statements of the Company as of any date or for any period subsequent to December 31, 2019. Accordingly, our comments are subject to change upon completion of an audit of the financial statements covering the period of the accounting change.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PricewaterhouseCoopers LLP, One North Wacker, Chicago, IL 60606</w:t>
      </w:r>
    </w:p>
    <w:p>
      <w:pPr>
        <w:spacing w:after="0"/>
        <w:rPr>
          <w:sz w:val="20"/>
          <w:szCs w:val="20"/>
          <w:color w:val="auto"/>
        </w:rPr>
      </w:pPr>
      <w:r>
        <w:rPr>
          <w:rFonts w:ascii="Arial" w:cs="Arial" w:eastAsia="Arial" w:hAnsi="Arial"/>
          <w:sz w:val="16"/>
          <w:szCs w:val="16"/>
          <w:i w:val="1"/>
          <w:iCs w:val="1"/>
          <w:color w:val="auto"/>
        </w:rPr>
        <w:t xml:space="preserve">T: +1 (312) 298 2000, F: +1 (312) 298 2001, </w:t>
      </w:r>
      <w:r>
        <w:rPr>
          <w:rFonts w:ascii="Arial" w:cs="Arial" w:eastAsia="Arial" w:hAnsi="Arial"/>
          <w:sz w:val="16"/>
          <w:szCs w:val="16"/>
          <w:i w:val="1"/>
          <w:iCs w:val="1"/>
          <w:u w:val="single" w:color="auto"/>
          <w:color w:val="auto"/>
        </w:rPr>
        <w:t>www.pwc.com/us</w:t>
      </w:r>
    </w:p>
    <w:p>
      <w:pPr>
        <w:sectPr>
          <w:pgSz w:w="11900" w:h="16838" w:orient="portrait"/>
          <w:cols w:equalWidth="0" w:num="1">
            <w:col w:w="11240"/>
          </w:cols>
          <w:pgMar w:left="320" w:top="13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5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34"/>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334"/>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320" w:hanging="334"/>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334"/>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34"/>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34"/>
        <w:spacing w:after="0" w:line="261"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549"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40" w:hanging="332"/>
        <w:spacing w:after="0" w:line="25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34"/>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334"/>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320" w:hanging="334"/>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334"/>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34"/>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34"/>
        <w:spacing w:after="0" w:line="261"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49"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2020,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775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28,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2020,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775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28, 2020</w:t>
      </w:r>
    </w:p>
    <w:p>
      <w:pPr>
        <w:spacing w:after="0" w:line="32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2"/>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lvl w:ilvl="1">
      <w:lvlJc w:val="left"/>
      <w:lvlText w:val="\endash "/>
      <w:numFmt w:val="bullet"/>
      <w:start w:val="1"/>
    </w:lvl>
  </w:abstractNum>
  <w:abstractNum w:abstractNumId="20">
    <w:nsid w:val="7724C67E"/>
    <w:multiLevelType w:val="hybridMultilevel"/>
    <w:lvl w:ilvl="0">
      <w:lvlJc w:val="left"/>
      <w:lvlText w:val="•"/>
      <w:numFmt w:val="bullet"/>
      <w:start w:val="1"/>
    </w:lvl>
    <w:lvl w:ilvl="1">
      <w:lvlJc w:val="left"/>
      <w:lvlText w:val="\endash "/>
      <w:numFmt w:val="bullet"/>
      <w:start w:val="1"/>
    </w:lvl>
  </w:abstractNum>
  <w:abstractNum w:abstractNumId="21">
    <w:nsid w:val="5C482A97"/>
    <w:multiLevelType w:val="hybridMultilevel"/>
    <w:lvl w:ilvl="0">
      <w:lvlJc w:val="left"/>
      <w:lvlText w:val="•"/>
      <w:numFmt w:val="bullet"/>
      <w:start w:val="1"/>
    </w:lvl>
    <w:lvl w:ilvl="1">
      <w:lvlJc w:val="left"/>
      <w:lvlText w:val="\endash "/>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lvl w:ilvl="1">
      <w:lvlJc w:val="left"/>
      <w:lvlText w:val="(%2)."/>
      <w:numFmt w:val="decimal"/>
      <w:start w:val="3"/>
    </w:lvl>
  </w:abstractNum>
  <w:abstractNum w:abstractNumId="35">
    <w:nsid w:val="57E4CCAF"/>
    <w:multiLevelType w:val="hybridMultilevel"/>
    <w:lvl w:ilvl="0">
      <w:lvlJc w:val="left"/>
      <w:lvlText w:val="•"/>
      <w:numFmt w:val="bullet"/>
      <w:start w:val="1"/>
    </w:lvl>
    <w:lvl w:ilvl="1">
      <w:lvlJc w:val="left"/>
      <w:lvlText w:val="(%2)"/>
      <w:numFmt w:val="decimal"/>
      <w:start w:val="1"/>
    </w:lvl>
  </w:abstractNum>
  <w:abstractNum w:abstractNumId="36">
    <w:nsid w:val="7A6D8D3C"/>
    <w:multiLevelType w:val="hybridMultilevel"/>
    <w:lvl w:ilvl="0">
      <w:lvlJc w:val="left"/>
      <w:lvlText w:val="(%1)"/>
      <w:numFmt w:val="decimal"/>
      <w:start w:val="9"/>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lvl w:ilvl="1">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01"/>
    </w:lvl>
  </w:abstractNum>
  <w:abstractNum w:abstractNumId="41">
    <w:nsid w:val="7644A45C"/>
    <w:multiLevelType w:val="hybridMultilevel"/>
    <w:lvl w:ilvl="0">
      <w:lvlJc w:val="left"/>
      <w:lvlText w:val="%1"/>
      <w:numFmt w:val="decimal"/>
      <w:start w:val="104"/>
    </w:lvl>
  </w:abstractNum>
  <w:abstractNum w:abstractNumId="42">
    <w:nsid w:val="32FFF902"/>
    <w:multiLevelType w:val="hybridMultilevel"/>
    <w:lvl w:ilvl="0">
      <w:lvlJc w:val="left"/>
      <w:lvlText w:val="(%1)"/>
      <w:numFmt w:val="lowerLetter"/>
      <w:start w:val="1"/>
    </w:lvl>
    <w:lvl w:ilvl="1">
      <w:lvlJc w:val="left"/>
      <w:lvlText w:val="(%2)"/>
      <w:numFmt w:val="lowerLetter"/>
      <w:start w:val="9"/>
    </w:lvl>
  </w:abstractNum>
  <w:abstractNum w:abstractNumId="43">
    <w:nsid w:val="684A481A"/>
    <w:multiLevelType w:val="hybridMultilevel"/>
    <w:lvl w:ilvl="0">
      <w:lvlJc w:val="left"/>
      <w:lvlText w:val="%1"/>
      <w:numFmt w:val="lowerLetter"/>
      <w:start w:val="1"/>
    </w:lvl>
    <w:lvl w:ilvl="1">
      <w:lvlJc w:val="left"/>
      <w:lvlText w:val="(%2)"/>
      <w:numFmt w:val="lowerLetter"/>
      <w:start w:val="35"/>
    </w:lvl>
  </w:abstractNum>
  <w:abstractNum w:abstractNumId="44">
    <w:nsid w:val="579478FE"/>
    <w:multiLevelType w:val="hybridMultilevel"/>
    <w:lvl w:ilvl="0">
      <w:lvlJc w:val="left"/>
      <w:lvlText w:val="(%1)"/>
      <w:numFmt w:val="lowerLetter"/>
      <w:start w:val="2"/>
    </w:lvl>
    <w:lvl w:ilvl="1">
      <w:lvlJc w:val="left"/>
      <w:lvlText w:val="%2"/>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2"/>
    </w:lvl>
  </w:abstractNum>
  <w:abstractNum w:abstractNumId="47">
    <w:nsid w:val="1BA026FA"/>
    <w:multiLevelType w:val="hybridMultilevel"/>
    <w:lvl w:ilvl="0">
      <w:lvlJc w:val="left"/>
      <w:lvlText w:val="(%1)"/>
      <w:numFmt w:val="lowerLetter"/>
      <w:start w:val="3"/>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2"/>
    </w:lvl>
    <w:lvl w:ilvl="1">
      <w:lvlJc w:val="left"/>
      <w:lvlText w:val="(%2)"/>
      <w:numFmt w:val="lowerRoman"/>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5"/>
    </w:lvl>
    <w:lvl w:ilvl="1">
      <w:lvlJc w:val="left"/>
      <w:lvlText w:val="(%2)"/>
      <w:numFmt w:val="lowerLetter"/>
      <w:start w:val="9"/>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jpe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1" Type="http://schemas.openxmlformats.org/officeDocument/2006/relationships/hyperlink" Target="http://www.sec.gov/Archives/edgar/data/1103982/000119312520105325/d916110dex43.htm" TargetMode="External"/><Relationship Id="rId62" Type="http://schemas.openxmlformats.org/officeDocument/2006/relationships/hyperlink" Target="http://www.sec.gov/Archives/edgar/data/1103982/000119312520157978/d830096dex101.htm" TargetMode="External"/><Relationship Id="rId63" Type="http://schemas.openxmlformats.org/officeDocument/2006/relationships/hyperlink" Target="http://www.sec.gov/Archives/edgar/data/1103982/000119312520157978/d83009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2020-07-29T05:13:29Z</dcterms:created>
  <dcterms:modified xsi:type="dcterms:W3CDTF">2020-07-29T05:13:29Z</dcterms:modified>
</cp:coreProperties>
</file>