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 w:lineRule="exact"/>
        <w:rPr>
          <w:sz w:val="24"/>
          <w:szCs w:val="24"/>
          <w:color w:val="auto"/>
        </w:rPr>
      </w:pPr>
    </w:p>
    <w:p>
      <w:pPr>
        <w:ind w:left="1020" w:hanging="674"/>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1020" w:hanging="674"/>
        <w:spacing w:after="0"/>
        <w:tabs>
          <w:tab w:leader="none" w:pos="10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60325</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Mondelēz International,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tbl>
      <w:tblPr>
        <w:tblLayout w:type="fixed"/>
        <w:tblInd w:w="1380" w:type="dxa"/>
        <w:tblCellMar>
          <w:top w:w="0" w:type="dxa"/>
          <w:left w:w="0" w:type="dxa"/>
          <w:bottom w:w="0" w:type="dxa"/>
          <w:right w:w="0" w:type="dxa"/>
        </w:tblCellMar>
      </w:tblPr>
      <w:tr>
        <w:trPr>
          <w:trHeight w:val="212"/>
        </w:trPr>
        <w:tc>
          <w:tcPr>
            <w:tcW w:w="920" w:type="dxa"/>
            <w:vAlign w:val="bottom"/>
          </w:tcPr>
          <w:p>
            <w:pPr>
              <w:spacing w:after="0"/>
              <w:rPr>
                <w:sz w:val="18"/>
                <w:szCs w:val="18"/>
                <w:color w:val="auto"/>
              </w:rPr>
            </w:pPr>
          </w:p>
        </w:tc>
        <w:tc>
          <w:tcPr>
            <w:tcW w:w="3500" w:type="dxa"/>
            <w:vAlign w:val="bottom"/>
            <w:gridSpan w:val="2"/>
          </w:tcPr>
          <w:p>
            <w:pPr>
              <w:jc w:val="center"/>
              <w:ind w:right="2245"/>
              <w:spacing w:after="0"/>
              <w:rPr>
                <w:sz w:val="20"/>
                <w:szCs w:val="20"/>
                <w:color w:val="auto"/>
              </w:rPr>
            </w:pPr>
            <w:r>
              <w:rPr>
                <w:rFonts w:ascii="Arial" w:cs="Arial" w:eastAsia="Arial" w:hAnsi="Arial"/>
                <w:sz w:val="16"/>
                <w:szCs w:val="16"/>
                <w:b w:val="1"/>
                <w:bCs w:val="1"/>
                <w:color w:val="auto"/>
                <w:w w:val="98"/>
              </w:rPr>
              <w:t>Virginia</w:t>
            </w:r>
          </w:p>
        </w:tc>
        <w:tc>
          <w:tcPr>
            <w:tcW w:w="4460" w:type="dxa"/>
            <w:vAlign w:val="bottom"/>
            <w:gridSpan w:val="2"/>
          </w:tcPr>
          <w:p>
            <w:pPr>
              <w:jc w:val="right"/>
              <w:ind w:right="1101"/>
              <w:spacing w:after="0"/>
              <w:rPr>
                <w:sz w:val="20"/>
                <w:szCs w:val="20"/>
                <w:color w:val="auto"/>
              </w:rPr>
            </w:pPr>
            <w:r>
              <w:rPr>
                <w:rFonts w:ascii="Arial" w:cs="Arial" w:eastAsia="Arial" w:hAnsi="Arial"/>
                <w:sz w:val="16"/>
                <w:szCs w:val="16"/>
                <w:b w:val="1"/>
                <w:bCs w:val="1"/>
                <w:color w:val="auto"/>
              </w:rPr>
              <w:t>52-2284372</w:t>
            </w:r>
          </w:p>
        </w:tc>
        <w:tc>
          <w:tcPr>
            <w:tcW w:w="20" w:type="dxa"/>
            <w:vAlign w:val="bottom"/>
          </w:tcPr>
          <w:p>
            <w:pPr>
              <w:spacing w:after="0"/>
              <w:rPr>
                <w:sz w:val="18"/>
                <w:szCs w:val="18"/>
                <w:color w:val="auto"/>
              </w:rPr>
            </w:pPr>
          </w:p>
        </w:tc>
      </w:tr>
      <w:tr>
        <w:trPr>
          <w:trHeight w:val="162"/>
        </w:trPr>
        <w:tc>
          <w:tcPr>
            <w:tcW w:w="4420" w:type="dxa"/>
            <w:vAlign w:val="bottom"/>
            <w:gridSpan w:val="3"/>
          </w:tcPr>
          <w:p>
            <w:pPr>
              <w:jc w:val="center"/>
              <w:ind w:right="1305"/>
              <w:spacing w:after="0"/>
              <w:rPr>
                <w:sz w:val="20"/>
                <w:szCs w:val="20"/>
                <w:color w:val="auto"/>
              </w:rPr>
            </w:pPr>
            <w:r>
              <w:rPr>
                <w:rFonts w:ascii="Arial" w:cs="Arial" w:eastAsia="Arial" w:hAnsi="Arial"/>
                <w:sz w:val="14"/>
                <w:szCs w:val="14"/>
                <w:color w:val="auto"/>
              </w:rPr>
              <w:t>(State or other jurisdiction of</w:t>
            </w:r>
          </w:p>
        </w:tc>
        <w:tc>
          <w:tcPr>
            <w:tcW w:w="1420" w:type="dxa"/>
            <w:vAlign w:val="bottom"/>
          </w:tcPr>
          <w:p>
            <w:pPr>
              <w:spacing w:after="0"/>
              <w:rPr>
                <w:sz w:val="14"/>
                <w:szCs w:val="14"/>
                <w:color w:val="auto"/>
              </w:rPr>
            </w:pPr>
          </w:p>
        </w:tc>
        <w:tc>
          <w:tcPr>
            <w:tcW w:w="3060" w:type="dxa"/>
            <w:vAlign w:val="bottom"/>
            <w:gridSpan w:val="2"/>
          </w:tcPr>
          <w:p>
            <w:pPr>
              <w:jc w:val="center"/>
              <w:ind w:right="200"/>
              <w:spacing w:after="0"/>
              <w:rPr>
                <w:sz w:val="20"/>
                <w:szCs w:val="20"/>
                <w:color w:val="auto"/>
              </w:rPr>
            </w:pPr>
            <w:r>
              <w:rPr>
                <w:rFonts w:ascii="Arial" w:cs="Arial" w:eastAsia="Arial" w:hAnsi="Arial"/>
                <w:sz w:val="14"/>
                <w:szCs w:val="14"/>
                <w:color w:val="auto"/>
              </w:rPr>
              <w:t>(I.R.S. Employer</w:t>
            </w:r>
          </w:p>
        </w:tc>
      </w:tr>
      <w:tr>
        <w:trPr>
          <w:trHeight w:val="172"/>
        </w:trPr>
        <w:tc>
          <w:tcPr>
            <w:tcW w:w="4420" w:type="dxa"/>
            <w:vAlign w:val="bottom"/>
            <w:gridSpan w:val="3"/>
          </w:tcPr>
          <w:p>
            <w:pPr>
              <w:jc w:val="center"/>
              <w:ind w:right="1325"/>
              <w:spacing w:after="0"/>
              <w:rPr>
                <w:sz w:val="20"/>
                <w:szCs w:val="20"/>
                <w:color w:val="auto"/>
              </w:rPr>
            </w:pPr>
            <w:r>
              <w:rPr>
                <w:rFonts w:ascii="Arial" w:cs="Arial" w:eastAsia="Arial" w:hAnsi="Arial"/>
                <w:sz w:val="14"/>
                <w:szCs w:val="14"/>
                <w:color w:val="auto"/>
              </w:rPr>
              <w:t>incorporation or organization)</w:t>
            </w:r>
          </w:p>
        </w:tc>
        <w:tc>
          <w:tcPr>
            <w:tcW w:w="1420" w:type="dxa"/>
            <w:vAlign w:val="bottom"/>
          </w:tcPr>
          <w:p>
            <w:pPr>
              <w:spacing w:after="0"/>
              <w:rPr>
                <w:sz w:val="14"/>
                <w:szCs w:val="14"/>
                <w:color w:val="auto"/>
              </w:rPr>
            </w:pPr>
          </w:p>
        </w:tc>
        <w:tc>
          <w:tcPr>
            <w:tcW w:w="306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r>
      <w:tr>
        <w:trPr>
          <w:trHeight w:val="300"/>
        </w:trPr>
        <w:tc>
          <w:tcPr>
            <w:tcW w:w="4420" w:type="dxa"/>
            <w:vAlign w:val="bottom"/>
            <w:gridSpan w:val="3"/>
          </w:tcPr>
          <w:p>
            <w:pPr>
              <w:jc w:val="center"/>
              <w:ind w:right="1325"/>
              <w:spacing w:after="0"/>
              <w:rPr>
                <w:sz w:val="20"/>
                <w:szCs w:val="20"/>
                <w:color w:val="auto"/>
              </w:rPr>
            </w:pPr>
            <w:r>
              <w:rPr>
                <w:rFonts w:ascii="Arial" w:cs="Arial" w:eastAsia="Arial" w:hAnsi="Arial"/>
                <w:sz w:val="16"/>
                <w:szCs w:val="16"/>
                <w:b w:val="1"/>
                <w:bCs w:val="1"/>
                <w:color w:val="auto"/>
              </w:rPr>
              <w:t>Three Parkway North, Deerfield, Illinois</w:t>
            </w:r>
          </w:p>
        </w:tc>
        <w:tc>
          <w:tcPr>
            <w:tcW w:w="4460" w:type="dxa"/>
            <w:vAlign w:val="bottom"/>
            <w:gridSpan w:val="2"/>
          </w:tcPr>
          <w:p>
            <w:pPr>
              <w:jc w:val="right"/>
              <w:ind w:right="1301"/>
              <w:spacing w:after="0"/>
              <w:rPr>
                <w:sz w:val="20"/>
                <w:szCs w:val="20"/>
                <w:color w:val="auto"/>
              </w:rPr>
            </w:pPr>
            <w:r>
              <w:rPr>
                <w:rFonts w:ascii="Arial" w:cs="Arial" w:eastAsia="Arial" w:hAnsi="Arial"/>
                <w:sz w:val="16"/>
                <w:szCs w:val="16"/>
                <w:b w:val="1"/>
                <w:bCs w:val="1"/>
                <w:color w:val="auto"/>
              </w:rPr>
              <w:t>60015</w:t>
            </w:r>
          </w:p>
        </w:tc>
        <w:tc>
          <w:tcPr>
            <w:tcW w:w="20" w:type="dxa"/>
            <w:vAlign w:val="bottom"/>
          </w:tcPr>
          <w:p>
            <w:pPr>
              <w:spacing w:after="0"/>
              <w:rPr>
                <w:sz w:val="24"/>
                <w:szCs w:val="24"/>
                <w:color w:val="auto"/>
              </w:rPr>
            </w:pPr>
          </w:p>
        </w:tc>
      </w:tr>
      <w:tr>
        <w:trPr>
          <w:trHeight w:val="171"/>
        </w:trPr>
        <w:tc>
          <w:tcPr>
            <w:tcW w:w="4420" w:type="dxa"/>
            <w:vAlign w:val="bottom"/>
            <w:gridSpan w:val="3"/>
          </w:tcPr>
          <w:p>
            <w:pPr>
              <w:jc w:val="center"/>
              <w:ind w:right="1325"/>
              <w:spacing w:after="0"/>
              <w:rPr>
                <w:sz w:val="20"/>
                <w:szCs w:val="20"/>
                <w:color w:val="auto"/>
              </w:rPr>
            </w:pPr>
            <w:r>
              <w:rPr>
                <w:rFonts w:ascii="Arial" w:cs="Arial" w:eastAsia="Arial" w:hAnsi="Arial"/>
                <w:sz w:val="14"/>
                <w:szCs w:val="14"/>
                <w:color w:val="auto"/>
              </w:rPr>
              <w:t>(Address of principal executive offices)</w:t>
            </w:r>
          </w:p>
        </w:tc>
        <w:tc>
          <w:tcPr>
            <w:tcW w:w="1420" w:type="dxa"/>
            <w:vAlign w:val="bottom"/>
          </w:tcPr>
          <w:p>
            <w:pPr>
              <w:spacing w:after="0"/>
              <w:rPr>
                <w:sz w:val="14"/>
                <w:szCs w:val="14"/>
                <w:color w:val="auto"/>
              </w:rPr>
            </w:pPr>
          </w:p>
        </w:tc>
        <w:tc>
          <w:tcPr>
            <w:tcW w:w="306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r>
      <w:tr>
        <w:trPr>
          <w:trHeight w:val="190"/>
        </w:trPr>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740" w:type="dxa"/>
            <w:vAlign w:val="bottom"/>
            <w:gridSpan w:val="4"/>
          </w:tcPr>
          <w:p>
            <w:pPr>
              <w:ind w:left="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r>
      <w:tr>
        <w:trPr>
          <w:trHeight w:val="203"/>
        </w:trPr>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740" w:type="dxa"/>
            <w:vAlign w:val="bottom"/>
            <w:gridSpan w:val="4"/>
          </w:tcPr>
          <w:p>
            <w:pPr>
              <w:ind w:left="20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188"/>
        </w:trPr>
        <w:tc>
          <w:tcPr>
            <w:tcW w:w="920" w:type="dxa"/>
            <w:vAlign w:val="bottom"/>
          </w:tcPr>
          <w:p>
            <w:pPr>
              <w:spacing w:after="0"/>
              <w:rPr>
                <w:sz w:val="16"/>
                <w:szCs w:val="16"/>
                <w:color w:val="auto"/>
              </w:rPr>
            </w:pPr>
          </w:p>
        </w:tc>
        <w:tc>
          <w:tcPr>
            <w:tcW w:w="3500" w:type="dxa"/>
            <w:vAlign w:val="bottom"/>
            <w:gridSpan w:val="2"/>
          </w:tcPr>
          <w:p>
            <w:pPr>
              <w:jc w:val="center"/>
              <w:ind w:right="2185"/>
              <w:spacing w:after="0"/>
              <w:rPr>
                <w:sz w:val="20"/>
                <w:szCs w:val="20"/>
                <w:color w:val="auto"/>
              </w:rPr>
            </w:pPr>
            <w:r>
              <w:rPr>
                <w:rFonts w:ascii="Arial" w:cs="Arial" w:eastAsia="Arial" w:hAnsi="Arial"/>
                <w:sz w:val="14"/>
                <w:szCs w:val="14"/>
                <w:b w:val="1"/>
                <w:bCs w:val="1"/>
                <w:color w:val="auto"/>
              </w:rPr>
              <w:t>Title of each class</w:t>
            </w:r>
          </w:p>
        </w:tc>
        <w:tc>
          <w:tcPr>
            <w:tcW w:w="4480" w:type="dxa"/>
            <w:vAlign w:val="bottom"/>
            <w:gridSpan w:val="3"/>
          </w:tcPr>
          <w:p>
            <w:pPr>
              <w:jc w:val="center"/>
              <w:ind w:left="1322"/>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920" w:type="dxa"/>
            <w:vAlign w:val="bottom"/>
          </w:tcPr>
          <w:p>
            <w:pPr>
              <w:ind w:left="200"/>
              <w:spacing w:after="0" w:line="171" w:lineRule="exact"/>
              <w:rPr>
                <w:sz w:val="20"/>
                <w:szCs w:val="20"/>
                <w:color w:val="auto"/>
              </w:rPr>
            </w:pPr>
            <w:r>
              <w:rPr>
                <w:rFonts w:ascii="Arial" w:cs="Arial" w:eastAsia="Arial" w:hAnsi="Arial"/>
                <w:sz w:val="16"/>
                <w:szCs w:val="16"/>
                <w:color w:val="auto"/>
              </w:rPr>
              <w:t>Class A</w:t>
            </w:r>
          </w:p>
        </w:tc>
        <w:tc>
          <w:tcPr>
            <w:tcW w:w="12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color w:val="auto"/>
                <w:w w:val="91"/>
              </w:rPr>
              <w:t>Common Stock, no</w:t>
            </w:r>
          </w:p>
        </w:tc>
        <w:tc>
          <w:tcPr>
            <w:tcW w:w="2260" w:type="dxa"/>
            <w:vAlign w:val="bottom"/>
          </w:tcPr>
          <w:p>
            <w:pPr>
              <w:ind w:left="60"/>
              <w:spacing w:after="0" w:line="171" w:lineRule="exact"/>
              <w:rPr>
                <w:sz w:val="20"/>
                <w:szCs w:val="20"/>
                <w:color w:val="auto"/>
              </w:rPr>
            </w:pPr>
            <w:r>
              <w:rPr>
                <w:rFonts w:ascii="Arial" w:cs="Arial" w:eastAsia="Arial" w:hAnsi="Arial"/>
                <w:sz w:val="16"/>
                <w:szCs w:val="16"/>
                <w:color w:val="auto"/>
              </w:rPr>
              <w:t>par value</w:t>
            </w:r>
          </w:p>
        </w:tc>
        <w:tc>
          <w:tcPr>
            <w:tcW w:w="1420" w:type="dxa"/>
            <w:vAlign w:val="bottom"/>
          </w:tcPr>
          <w:p>
            <w:pPr>
              <w:spacing w:after="0"/>
              <w:rPr>
                <w:sz w:val="14"/>
                <w:szCs w:val="14"/>
                <w:color w:val="auto"/>
              </w:rPr>
            </w:pPr>
          </w:p>
        </w:tc>
        <w:tc>
          <w:tcPr>
            <w:tcW w:w="30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color w:val="auto"/>
              </w:rPr>
              <w:t>The Nasdaq Global Select Market</w:t>
            </w:r>
          </w:p>
        </w:tc>
        <w:tc>
          <w:tcPr>
            <w:tcW w:w="20" w:type="dxa"/>
            <w:vAlign w:val="bottom"/>
          </w:tcPr>
          <w:p>
            <w:pPr>
              <w:spacing w:after="0"/>
              <w:rPr>
                <w:sz w:val="14"/>
                <w:szCs w:val="14"/>
                <w:color w:val="auto"/>
              </w:rPr>
            </w:pPr>
          </w:p>
        </w:tc>
      </w:tr>
      <w:tr>
        <w:trPr>
          <w:trHeight w:val="189"/>
        </w:trPr>
        <w:tc>
          <w:tcPr>
            <w:tcW w:w="4420" w:type="dxa"/>
            <w:vAlign w:val="bottom"/>
            <w:gridSpan w:val="3"/>
          </w:tcPr>
          <w:p>
            <w:pPr>
              <w:jc w:val="center"/>
              <w:ind w:right="1285"/>
              <w:spacing w:after="0"/>
              <w:rPr>
                <w:sz w:val="20"/>
                <w:szCs w:val="20"/>
                <w:color w:val="auto"/>
              </w:rPr>
            </w:pPr>
            <w:r>
              <w:rPr>
                <w:rFonts w:ascii="Arial" w:cs="Arial" w:eastAsia="Arial" w:hAnsi="Arial"/>
                <w:sz w:val="16"/>
                <w:szCs w:val="16"/>
                <w:color w:val="auto"/>
              </w:rPr>
              <w:t>2.375% Notes due 2021</w:t>
            </w:r>
          </w:p>
        </w:tc>
        <w:tc>
          <w:tcPr>
            <w:tcW w:w="1420" w:type="dxa"/>
            <w:vAlign w:val="bottom"/>
          </w:tcPr>
          <w:p>
            <w:pPr>
              <w:spacing w:after="0"/>
              <w:rPr>
                <w:sz w:val="16"/>
                <w:szCs w:val="16"/>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6"/>
                <w:szCs w:val="16"/>
                <w:color w:val="auto"/>
              </w:rPr>
              <w:t>New York Stock Exchange LLC</w:t>
            </w:r>
          </w:p>
        </w:tc>
      </w:tr>
      <w:tr>
        <w:trPr>
          <w:trHeight w:val="189"/>
        </w:trPr>
        <w:tc>
          <w:tcPr>
            <w:tcW w:w="4420" w:type="dxa"/>
            <w:vAlign w:val="bottom"/>
            <w:gridSpan w:val="3"/>
          </w:tcPr>
          <w:p>
            <w:pPr>
              <w:jc w:val="center"/>
              <w:ind w:right="1285"/>
              <w:spacing w:after="0"/>
              <w:rPr>
                <w:sz w:val="20"/>
                <w:szCs w:val="20"/>
                <w:color w:val="auto"/>
              </w:rPr>
            </w:pPr>
            <w:r>
              <w:rPr>
                <w:rFonts w:ascii="Arial" w:cs="Arial" w:eastAsia="Arial" w:hAnsi="Arial"/>
                <w:sz w:val="16"/>
                <w:szCs w:val="16"/>
                <w:color w:val="auto"/>
              </w:rPr>
              <w:t>1.000% Notes due 2022</w:t>
            </w:r>
          </w:p>
        </w:tc>
        <w:tc>
          <w:tcPr>
            <w:tcW w:w="1420" w:type="dxa"/>
            <w:vAlign w:val="bottom"/>
          </w:tcPr>
          <w:p>
            <w:pPr>
              <w:spacing w:after="0"/>
              <w:rPr>
                <w:sz w:val="16"/>
                <w:szCs w:val="16"/>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6"/>
                <w:szCs w:val="16"/>
                <w:color w:val="auto"/>
              </w:rPr>
              <w:t>New York Stock Exchange LLC</w:t>
            </w:r>
          </w:p>
        </w:tc>
      </w:tr>
      <w:tr>
        <w:trPr>
          <w:trHeight w:val="189"/>
        </w:trPr>
        <w:tc>
          <w:tcPr>
            <w:tcW w:w="4420" w:type="dxa"/>
            <w:vAlign w:val="bottom"/>
            <w:gridSpan w:val="3"/>
          </w:tcPr>
          <w:p>
            <w:pPr>
              <w:jc w:val="center"/>
              <w:ind w:right="1285"/>
              <w:spacing w:after="0"/>
              <w:rPr>
                <w:sz w:val="20"/>
                <w:szCs w:val="20"/>
                <w:color w:val="auto"/>
              </w:rPr>
            </w:pPr>
            <w:r>
              <w:rPr>
                <w:rFonts w:ascii="Arial" w:cs="Arial" w:eastAsia="Arial" w:hAnsi="Arial"/>
                <w:sz w:val="16"/>
                <w:szCs w:val="16"/>
                <w:color w:val="auto"/>
              </w:rPr>
              <w:t>1.625% Notes due 2023</w:t>
            </w:r>
          </w:p>
        </w:tc>
        <w:tc>
          <w:tcPr>
            <w:tcW w:w="1420" w:type="dxa"/>
            <w:vAlign w:val="bottom"/>
          </w:tcPr>
          <w:p>
            <w:pPr>
              <w:spacing w:after="0"/>
              <w:rPr>
                <w:sz w:val="16"/>
                <w:szCs w:val="16"/>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6"/>
                <w:szCs w:val="16"/>
                <w:color w:val="auto"/>
              </w:rPr>
              <w:t>New York Stock Exchange LLC</w:t>
            </w:r>
          </w:p>
        </w:tc>
      </w:tr>
      <w:tr>
        <w:trPr>
          <w:trHeight w:val="189"/>
        </w:trPr>
        <w:tc>
          <w:tcPr>
            <w:tcW w:w="4420" w:type="dxa"/>
            <w:vAlign w:val="bottom"/>
            <w:gridSpan w:val="3"/>
          </w:tcPr>
          <w:p>
            <w:pPr>
              <w:jc w:val="center"/>
              <w:ind w:right="1285"/>
              <w:spacing w:after="0"/>
              <w:rPr>
                <w:sz w:val="20"/>
                <w:szCs w:val="20"/>
                <w:color w:val="auto"/>
              </w:rPr>
            </w:pPr>
            <w:r>
              <w:rPr>
                <w:rFonts w:ascii="Arial" w:cs="Arial" w:eastAsia="Arial" w:hAnsi="Arial"/>
                <w:sz w:val="16"/>
                <w:szCs w:val="16"/>
                <w:color w:val="auto"/>
              </w:rPr>
              <w:t>1.625% Notes due 2027</w:t>
            </w:r>
          </w:p>
        </w:tc>
        <w:tc>
          <w:tcPr>
            <w:tcW w:w="1420" w:type="dxa"/>
            <w:vAlign w:val="bottom"/>
          </w:tcPr>
          <w:p>
            <w:pPr>
              <w:spacing w:after="0"/>
              <w:rPr>
                <w:sz w:val="16"/>
                <w:szCs w:val="16"/>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6"/>
                <w:szCs w:val="16"/>
                <w:color w:val="auto"/>
              </w:rPr>
              <w:t>New York Stock Exchange LLC</w:t>
            </w:r>
          </w:p>
        </w:tc>
      </w:tr>
      <w:tr>
        <w:trPr>
          <w:trHeight w:val="189"/>
        </w:trPr>
        <w:tc>
          <w:tcPr>
            <w:tcW w:w="4420" w:type="dxa"/>
            <w:vAlign w:val="bottom"/>
            <w:gridSpan w:val="3"/>
          </w:tcPr>
          <w:p>
            <w:pPr>
              <w:jc w:val="center"/>
              <w:ind w:right="1285"/>
              <w:spacing w:after="0"/>
              <w:rPr>
                <w:sz w:val="20"/>
                <w:szCs w:val="20"/>
                <w:color w:val="auto"/>
              </w:rPr>
            </w:pPr>
            <w:r>
              <w:rPr>
                <w:rFonts w:ascii="Arial" w:cs="Arial" w:eastAsia="Arial" w:hAnsi="Arial"/>
                <w:sz w:val="16"/>
                <w:szCs w:val="16"/>
                <w:color w:val="auto"/>
              </w:rPr>
              <w:t>2.375% Notes due 2035</w:t>
            </w:r>
          </w:p>
        </w:tc>
        <w:tc>
          <w:tcPr>
            <w:tcW w:w="1420" w:type="dxa"/>
            <w:vAlign w:val="bottom"/>
          </w:tcPr>
          <w:p>
            <w:pPr>
              <w:spacing w:after="0"/>
              <w:rPr>
                <w:sz w:val="16"/>
                <w:szCs w:val="16"/>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6"/>
                <w:szCs w:val="16"/>
                <w:color w:val="auto"/>
              </w:rPr>
              <w:t>New York Stock Exchange LLC</w:t>
            </w:r>
          </w:p>
        </w:tc>
      </w:tr>
      <w:tr>
        <w:trPr>
          <w:trHeight w:val="189"/>
        </w:trPr>
        <w:tc>
          <w:tcPr>
            <w:tcW w:w="4420" w:type="dxa"/>
            <w:vAlign w:val="bottom"/>
            <w:gridSpan w:val="3"/>
          </w:tcPr>
          <w:p>
            <w:pPr>
              <w:jc w:val="center"/>
              <w:ind w:right="1285"/>
              <w:spacing w:after="0"/>
              <w:rPr>
                <w:sz w:val="20"/>
                <w:szCs w:val="20"/>
                <w:color w:val="auto"/>
              </w:rPr>
            </w:pPr>
            <w:r>
              <w:rPr>
                <w:rFonts w:ascii="Arial" w:cs="Arial" w:eastAsia="Arial" w:hAnsi="Arial"/>
                <w:sz w:val="16"/>
                <w:szCs w:val="16"/>
                <w:color w:val="auto"/>
              </w:rPr>
              <w:t>4.500% Notes due 2035</w:t>
            </w:r>
          </w:p>
        </w:tc>
        <w:tc>
          <w:tcPr>
            <w:tcW w:w="1420" w:type="dxa"/>
            <w:vAlign w:val="bottom"/>
          </w:tcPr>
          <w:p>
            <w:pPr>
              <w:spacing w:after="0"/>
              <w:rPr>
                <w:sz w:val="16"/>
                <w:szCs w:val="16"/>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6"/>
                <w:szCs w:val="16"/>
                <w:color w:val="auto"/>
              </w:rPr>
              <w:t>New York Stock Exchange LLC</w:t>
            </w:r>
          </w:p>
        </w:tc>
      </w:tr>
      <w:tr>
        <w:trPr>
          <w:trHeight w:val="195"/>
        </w:trPr>
        <w:tc>
          <w:tcPr>
            <w:tcW w:w="4420" w:type="dxa"/>
            <w:vAlign w:val="bottom"/>
            <w:gridSpan w:val="3"/>
          </w:tcPr>
          <w:p>
            <w:pPr>
              <w:jc w:val="center"/>
              <w:ind w:right="1285"/>
              <w:spacing w:after="0"/>
              <w:rPr>
                <w:sz w:val="20"/>
                <w:szCs w:val="20"/>
                <w:color w:val="auto"/>
              </w:rPr>
            </w:pPr>
            <w:r>
              <w:rPr>
                <w:rFonts w:ascii="Arial" w:cs="Arial" w:eastAsia="Arial" w:hAnsi="Arial"/>
                <w:sz w:val="16"/>
                <w:szCs w:val="16"/>
                <w:color w:val="auto"/>
              </w:rPr>
              <w:t>3.875% Notes due 2045</w:t>
            </w:r>
          </w:p>
        </w:tc>
        <w:tc>
          <w:tcPr>
            <w:tcW w:w="1420" w:type="dxa"/>
            <w:vAlign w:val="bottom"/>
          </w:tcPr>
          <w:p>
            <w:pPr>
              <w:spacing w:after="0"/>
              <w:rPr>
                <w:sz w:val="16"/>
                <w:szCs w:val="16"/>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6"/>
                <w:szCs w:val="16"/>
                <w:color w:val="auto"/>
              </w:rPr>
              <w:t>New York Stock Exchange LLC</w:t>
            </w:r>
          </w:p>
        </w:tc>
      </w:tr>
    </w:tbl>
    <w:p>
      <w:pPr>
        <w:spacing w:after="0" w:line="20" w:lineRule="exact"/>
        <w:rPr>
          <w:sz w:val="24"/>
          <w:szCs w:val="24"/>
          <w:color w:val="auto"/>
        </w:rPr>
      </w:pPr>
    </w:p>
    <w:tbl>
      <w:tblPr>
        <w:tblLayout w:type="fixed"/>
        <w:tblInd w:w="360" w:type="dxa"/>
        <w:tblCellMar>
          <w:top w:w="0" w:type="dxa"/>
          <w:left w:w="0" w:type="dxa"/>
          <w:bottom w:w="0" w:type="dxa"/>
          <w:right w:w="0" w:type="dxa"/>
        </w:tblCellMar>
      </w:tblPr>
      <w:tr>
        <w:trPr>
          <w:trHeight w:val="190"/>
        </w:trPr>
        <w:tc>
          <w:tcPr>
            <w:tcW w:w="7560" w:type="dxa"/>
            <w:vAlign w:val="bottom"/>
          </w:tcPr>
          <w:p>
            <w:pPr>
              <w:ind w:left="318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58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2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5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5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2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0" w:lineRule="exact"/>
        <w:rPr>
          <w:sz w:val="24"/>
          <w:szCs w:val="24"/>
          <w:color w:val="auto"/>
        </w:rPr>
      </w:pPr>
    </w:p>
    <w:p>
      <w:pPr>
        <w:ind w:right="280" w:firstLine="342"/>
        <w:spacing w:after="0" w:line="27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ind w:right="120" w:firstLine="342"/>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680" w:val="left"/>
          <w:tab w:leader="none" w:pos="130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8" w:lineRule="exact"/>
        <w:rPr>
          <w:sz w:val="24"/>
          <w:szCs w:val="24"/>
          <w:color w:val="auto"/>
        </w:rPr>
      </w:pPr>
    </w:p>
    <w:p>
      <w:pPr>
        <w:ind w:right="20" w:firstLine="342"/>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120" w:firstLine="342"/>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4" w:lineRule="exact"/>
        <w:rPr>
          <w:sz w:val="24"/>
          <w:szCs w:val="24"/>
          <w:color w:val="auto"/>
        </w:rPr>
      </w:pPr>
    </w:p>
    <w:p>
      <w:pPr>
        <w:ind w:right="440" w:firstLine="342"/>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2260" w:type="dxa"/>
            <w:vAlign w:val="bottom"/>
          </w:tcPr>
          <w:p>
            <w:pPr>
              <w:ind w:left="2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3920" w:type="dxa"/>
            <w:vAlign w:val="bottom"/>
          </w:tcPr>
          <w:p>
            <w:pPr>
              <w:ind w:left="8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224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20" w:type="dxa"/>
            <w:vAlign w:val="bottom"/>
          </w:tcPr>
          <w:p>
            <w:pPr>
              <w:ind w:left="600"/>
              <w:spacing w:after="0"/>
              <w:rPr>
                <w:sz w:val="20"/>
                <w:szCs w:val="20"/>
                <w:color w:val="auto"/>
              </w:rPr>
            </w:pPr>
            <w:r>
              <w:rPr>
                <w:rFonts w:ascii="Arial" w:cs="Arial" w:eastAsia="Arial" w:hAnsi="Arial"/>
                <w:sz w:val="16"/>
                <w:szCs w:val="16"/>
                <w:color w:val="auto"/>
              </w:rPr>
              <w:t>(Do not check if a smaller reporting company)</w:t>
            </w:r>
          </w:p>
        </w:tc>
        <w:tc>
          <w:tcPr>
            <w:tcW w:w="2240" w:type="dxa"/>
            <w:vAlign w:val="bottom"/>
            <w:vMerge w:val="restart"/>
          </w:tcPr>
          <w:p>
            <w:pPr>
              <w:ind w:left="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right="120" w:firstLine="342"/>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360"/>
        <w:spacing w:after="0" w:line="161" w:lineRule="exact"/>
        <w:tabs>
          <w:tab w:leader="none" w:pos="700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right="400" w:firstLine="342"/>
        <w:spacing w:after="0" w:line="258"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2017, was $63 billion. At February 2, 2018, there were 1,487,328,466 shares of the registrant’s Class A Common Stock outstanding.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firstLine="342"/>
        <w:spacing w:after="0" w:line="258"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16, 2018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19"/>
          </w:tcPr>
          <w:p>
            <w:pPr>
              <w:ind w:left="40"/>
              <w:spacing w:after="0"/>
              <w:rPr>
                <w:sz w:val="20"/>
                <w:szCs w:val="20"/>
                <w:color w:val="auto"/>
              </w:rPr>
            </w:pPr>
            <w:r>
              <w:rPr>
                <w:rFonts w:ascii="Arial" w:cs="Arial" w:eastAsia="Arial" w:hAnsi="Arial"/>
                <w:sz w:val="22"/>
                <w:szCs w:val="22"/>
                <w:b w:val="1"/>
                <w:bCs w:val="1"/>
                <w:color w:val="auto"/>
              </w:rPr>
              <w:t>Mondelēz International,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00" w:type="dxa"/>
            <w:vAlign w:val="bottom"/>
            <w:gridSpan w:val="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c>
          <w:tcPr>
            <w:tcW w:w="0" w:type="dxa"/>
            <w:vAlign w:val="bottom"/>
          </w:tcPr>
          <w:p>
            <w:pPr>
              <w:spacing w:after="0"/>
              <w:rPr>
                <w:sz w:val="1"/>
                <w:szCs w:val="1"/>
                <w:color w:val="auto"/>
              </w:rPr>
            </w:pPr>
          </w:p>
        </w:tc>
      </w:tr>
      <w:tr>
        <w:trPr>
          <w:trHeight w:val="156"/>
        </w:trPr>
        <w:tc>
          <w:tcPr>
            <w:tcW w:w="7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auto"/>
              </w:rPr>
              <w:t>Item 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460" w:type="dxa"/>
            <w:vAlign w:val="bottom"/>
            <w:gridSpan w:val="26"/>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1"/>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26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and Issuer Purchases of Equity Securities</w:t>
              </w:r>
            </w:hyperlink>
          </w:p>
        </w:tc>
        <w:tc>
          <w:tcPr>
            <w:tcW w:w="1880" w:type="dxa"/>
            <w:vAlign w:val="bottom"/>
            <w:tcBorders>
              <w:top w:val="single" w:sz="8" w:color="0000EE"/>
            </w:tcBorders>
            <w:gridSpan w:val="11"/>
          </w:tcPr>
          <w:p>
            <w:pPr>
              <w:spacing w:after="0"/>
              <w:rPr>
                <w:sz w:val="15"/>
                <w:szCs w:val="15"/>
                <w:color w:val="auto"/>
              </w:rPr>
            </w:pPr>
          </w:p>
        </w:tc>
        <w:tc>
          <w:tcPr>
            <w:tcW w:w="4300" w:type="dxa"/>
            <w:vAlign w:val="bottom"/>
            <w:gridSpan w:val="5"/>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520" w:type="dxa"/>
            <w:vAlign w:val="bottom"/>
            <w:tcBorders>
              <w:top w:val="single" w:sz="8" w:color="0000EE"/>
            </w:tcBorders>
            <w:gridSpan w:val="39"/>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Summary of Results</w:t>
              </w:r>
            </w:hyperlink>
          </w:p>
        </w:tc>
        <w:tc>
          <w:tcPr>
            <w:tcW w:w="270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Financial Outlook</w:t>
              </w:r>
            </w:hyperlink>
          </w:p>
        </w:tc>
        <w:tc>
          <w:tcPr>
            <w:tcW w:w="160" w:type="dxa"/>
            <w:vAlign w:val="bottom"/>
            <w:tcBorders>
              <w:top w:val="single" w:sz="8" w:color="0000EE"/>
            </w:tcBorders>
            <w:gridSpan w:val="4"/>
          </w:tcPr>
          <w:p>
            <w:pPr>
              <w:spacing w:after="0"/>
              <w:rPr>
                <w:sz w:val="15"/>
                <w:szCs w:val="15"/>
                <w:color w:val="auto"/>
              </w:rPr>
            </w:pPr>
          </w:p>
        </w:tc>
        <w:tc>
          <w:tcPr>
            <w:tcW w:w="7640" w:type="dxa"/>
            <w:vAlign w:val="bottom"/>
            <w:gridSpan w:val="28"/>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Discussion and Analysis of Historical Results</w:t>
              </w:r>
            </w:hyperlink>
          </w:p>
        </w:tc>
        <w:tc>
          <w:tcPr>
            <w:tcW w:w="5720" w:type="dxa"/>
            <w:vAlign w:val="bottom"/>
            <w:gridSpan w:val="1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Critical Accounting Estimates</w:t>
              </w:r>
            </w:hyperlink>
          </w:p>
        </w:tc>
        <w:tc>
          <w:tcPr>
            <w:tcW w:w="6940" w:type="dxa"/>
            <w:vAlign w:val="bottom"/>
            <w:gridSpan w:val="24"/>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Liquidity and Capital Resources</w:t>
              </w:r>
            </w:hyperlink>
          </w:p>
        </w:tc>
        <w:tc>
          <w:tcPr>
            <w:tcW w:w="6740" w:type="dxa"/>
            <w:vAlign w:val="bottom"/>
            <w:gridSpan w:val="21"/>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Commodity Trends</w:t>
              </w:r>
            </w:hyperlink>
          </w:p>
        </w:tc>
        <w:tc>
          <w:tcPr>
            <w:tcW w:w="7740" w:type="dxa"/>
            <w:vAlign w:val="bottom"/>
            <w:gridSpan w:val="30"/>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60" w:type="dxa"/>
            <w:vAlign w:val="bottom"/>
            <w:tcBorders>
              <w:bottom w:val="single" w:sz="8" w:color="0000EE"/>
            </w:tcBorders>
            <w:gridSpan w:val="38"/>
          </w:tcPr>
          <w:p>
            <w:pPr>
              <w:spacing w:after="0" w:line="182"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Off-Balance Sheet Arrangements and Aggregate Contractual Obligations</w:t>
              </w:r>
            </w:hyperlink>
          </w:p>
        </w:tc>
        <w:tc>
          <w:tcPr>
            <w:tcW w:w="3560" w:type="dxa"/>
            <w:vAlign w:val="bottom"/>
            <w:gridSpan w:val="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Equity and Dividends</w:t>
              </w:r>
            </w:hyperlink>
          </w:p>
        </w:tc>
        <w:tc>
          <w:tcPr>
            <w:tcW w:w="7560" w:type="dxa"/>
            <w:vAlign w:val="bottom"/>
            <w:gridSpan w:val="27"/>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20" w:type="dxa"/>
            <w:vAlign w:val="bottom"/>
            <w:gridSpan w:val="40"/>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Non-GAAP Financial Measures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5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5080" w:type="dxa"/>
            <w:vAlign w:val="bottom"/>
            <w:gridSpan w:val="10"/>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bottom w:val="single" w:sz="8" w:color="0000EE"/>
            </w:tcBorders>
            <w:gridSpan w:val="32"/>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Report of Independent Registered Public Accounting Firm</w:t>
              </w:r>
            </w:hyperlink>
          </w:p>
        </w:tc>
        <w:tc>
          <w:tcPr>
            <w:tcW w:w="4720" w:type="dxa"/>
            <w:vAlign w:val="bottom"/>
            <w:gridSpan w:val="8"/>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Consolidated Statements of Earnings</w:t>
              </w:r>
            </w:hyperlink>
          </w:p>
        </w:tc>
        <w:tc>
          <w:tcPr>
            <w:tcW w:w="6320" w:type="dxa"/>
            <w:vAlign w:val="bottom"/>
            <w:gridSpan w:val="18"/>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40" w:type="dxa"/>
            <w:vAlign w:val="bottom"/>
            <w:gridSpan w:val="39"/>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for the Years Ended December 31, 2017,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80" w:type="dxa"/>
            <w:vAlign w:val="bottom"/>
            <w:tcBorders>
              <w:bottom w:val="single" w:sz="8" w:color="0000EE"/>
            </w:tcBorders>
            <w:gridSpan w:val="31"/>
          </w:tcPr>
          <w:p>
            <w:pPr>
              <w:spacing w:after="0" w:line="182"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Consolidated Statements of Comprehensive Earnings</w:t>
              </w:r>
            </w:hyperlink>
          </w:p>
        </w:tc>
        <w:tc>
          <w:tcPr>
            <w:tcW w:w="504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40" w:type="dxa"/>
            <w:vAlign w:val="bottom"/>
            <w:gridSpan w:val="39"/>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for the Years Ended December 31, 2017,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20" w:type="dxa"/>
            <w:vAlign w:val="bottom"/>
            <w:gridSpan w:val="4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December 31, 2017 and 2016</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Consolidated Statements of Equity</w:t>
              </w:r>
            </w:hyperlink>
          </w:p>
        </w:tc>
        <w:tc>
          <w:tcPr>
            <w:tcW w:w="2400" w:type="dxa"/>
            <w:vAlign w:val="bottom"/>
            <w:tcBorders>
              <w:top w:val="single" w:sz="8" w:color="0000EE"/>
            </w:tcBorders>
            <w:gridSpan w:val="15"/>
          </w:tcPr>
          <w:p>
            <w:pPr>
              <w:spacing w:after="0"/>
              <w:rPr>
                <w:sz w:val="15"/>
                <w:szCs w:val="15"/>
                <w:color w:val="auto"/>
              </w:rPr>
            </w:pPr>
          </w:p>
        </w:tc>
        <w:tc>
          <w:tcPr>
            <w:tcW w:w="412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40" w:type="dxa"/>
            <w:vAlign w:val="bottom"/>
            <w:gridSpan w:val="39"/>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for the Years Ended December 31, 2017,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20" w:type="dxa"/>
            <w:vAlign w:val="bottom"/>
            <w:gridSpan w:val="4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40" w:type="dxa"/>
            <w:vAlign w:val="bottom"/>
            <w:gridSpan w:val="39"/>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for the Years Ended December 31, 2017,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Notes to Consolidated Financial Statements</w:t>
              </w:r>
            </w:hyperlink>
          </w:p>
        </w:tc>
        <w:tc>
          <w:tcPr>
            <w:tcW w:w="5800" w:type="dxa"/>
            <w:vAlign w:val="bottom"/>
            <w:gridSpan w:val="1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gridSpan w:val="42"/>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Changes in and Disagreements with Accountants on Accounting and Financial Disclosure</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7"/>
              </w:rPr>
            </w:pPr>
            <w:hyperlink w:anchor="page121">
              <w:r>
                <w:rPr>
                  <w:rFonts w:ascii="Arial" w:cs="Arial" w:eastAsia="Arial" w:hAnsi="Arial"/>
                  <w:sz w:val="18"/>
                  <w:szCs w:val="18"/>
                  <w:color w:val="0000EE"/>
                  <w:w w:val="97"/>
                </w:rPr>
                <w:t>Controls and Procedures</w:t>
              </w:r>
            </w:hyperlink>
          </w:p>
        </w:tc>
        <w:tc>
          <w:tcPr>
            <w:tcW w:w="5000" w:type="dxa"/>
            <w:vAlign w:val="bottom"/>
            <w:tcBorders>
              <w:top w:val="single" w:sz="8" w:color="0000EE"/>
            </w:tcBorders>
            <w:gridSpan w:val="28"/>
          </w:tcPr>
          <w:p>
            <w:pPr>
              <w:spacing w:after="0"/>
              <w:rPr>
                <w:sz w:val="15"/>
                <w:szCs w:val="15"/>
                <w:color w:val="auto"/>
              </w:rPr>
            </w:pPr>
          </w:p>
        </w:tc>
        <w:tc>
          <w:tcPr>
            <w:tcW w:w="270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22">
              <w:r>
                <w:rPr>
                  <w:rFonts w:ascii="Arial" w:cs="Arial" w:eastAsia="Arial" w:hAnsi="Arial"/>
                  <w:sz w:val="18"/>
                  <w:szCs w:val="18"/>
                  <w:color w:val="0000EE"/>
                  <w:w w:val="97"/>
                </w:rPr>
                <w:t>Other Information</w:t>
              </w:r>
            </w:hyperlink>
          </w:p>
        </w:tc>
        <w:tc>
          <w:tcPr>
            <w:tcW w:w="8280" w:type="dxa"/>
            <w:vAlign w:val="bottom"/>
            <w:gridSpan w:val="35"/>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91"/>
        </w:trPr>
        <w:tc>
          <w:tcPr>
            <w:tcW w:w="10780" w:type="dxa"/>
            <w:vAlign w:val="bottom"/>
            <w:gridSpan w:val="47"/>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III –</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auto"/>
              </w:rPr>
              <w:t>Item 10.</w:t>
            </w: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0" w:type="dxa"/>
            <w:vAlign w:val="bottom"/>
            <w:tcBorders>
              <w:bottom w:val="single" w:sz="8" w:color="0000EE"/>
            </w:tcBorders>
            <w:gridSpan w:val="31"/>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Directors, Executive Officers and Corporate Governance</w:t>
              </w:r>
            </w:hyperlink>
          </w:p>
        </w:tc>
        <w:tc>
          <w:tcPr>
            <w:tcW w:w="5260" w:type="dxa"/>
            <w:vAlign w:val="bottom"/>
            <w:gridSpan w:val="11"/>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Executive Compensation</w:t>
              </w:r>
            </w:hyperlink>
          </w:p>
        </w:tc>
        <w:tc>
          <w:tcPr>
            <w:tcW w:w="7700" w:type="dxa"/>
            <w:vAlign w:val="bottom"/>
            <w:gridSpan w:val="29"/>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20" w:type="dxa"/>
            <w:vAlign w:val="bottom"/>
            <w:tcBorders>
              <w:bottom w:val="single" w:sz="8" w:color="0000EE"/>
            </w:tcBorders>
            <w:gridSpan w:val="36"/>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Security Ownership of Certain Beneficial Owners and Management</w:t>
              </w:r>
            </w:hyperlink>
          </w:p>
        </w:tc>
        <w:tc>
          <w:tcPr>
            <w:tcW w:w="444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gridSpan w:val="41"/>
          </w:tcPr>
          <w:p>
            <w:pPr>
              <w:spacing w:after="0" w:line="182" w:lineRule="exact"/>
              <w:rPr>
                <w:rFonts w:ascii="Arial" w:cs="Arial" w:eastAsia="Arial" w:hAnsi="Arial"/>
                <w:sz w:val="18"/>
                <w:szCs w:val="18"/>
                <w:color w:val="0000EE"/>
              </w:rPr>
            </w:pPr>
            <w:hyperlink w:anchor="page123">
              <w:r>
                <w:rPr>
                  <w:rFonts w:ascii="Arial" w:cs="Arial" w:eastAsia="Arial" w:hAnsi="Arial"/>
                  <w:sz w:val="18"/>
                  <w:szCs w:val="18"/>
                  <w:color w:val="0000EE"/>
                </w:rPr>
                <w:t>and Related Stockholder Matters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940" w:type="dxa"/>
            <w:vAlign w:val="bottom"/>
            <w:tcBorders>
              <w:bottom w:val="single" w:sz="8" w:color="0000EE"/>
            </w:tcBorders>
            <w:gridSpan w:val="39"/>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Certain Relationships and Related Transactions, and Director Independence</w:t>
              </w:r>
            </w:hyperlink>
          </w:p>
        </w:tc>
        <w:tc>
          <w:tcPr>
            <w:tcW w:w="3720" w:type="dxa"/>
            <w:vAlign w:val="bottom"/>
            <w:gridSpan w:val="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Principal Accountant Fees and Services</w:t>
              </w:r>
            </w:hyperlink>
          </w:p>
        </w:tc>
        <w:tc>
          <w:tcPr>
            <w:tcW w:w="6540" w:type="dxa"/>
            <w:vAlign w:val="bottom"/>
            <w:gridSpan w:val="20"/>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91"/>
        </w:trPr>
        <w:tc>
          <w:tcPr>
            <w:tcW w:w="700" w:type="dxa"/>
            <w:vAlign w:val="bottom"/>
            <w:gridSpan w:val="2"/>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IV</w:t>
              </w:r>
            </w:hyperlink>
          </w:p>
        </w:tc>
        <w:tc>
          <w:tcPr>
            <w:tcW w:w="10080" w:type="dxa"/>
            <w:vAlign w:val="bottom"/>
            <w:gridSpan w:val="45"/>
          </w:tcPr>
          <w:p>
            <w:pPr>
              <w:ind w:left="20"/>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auto"/>
              </w:rPr>
              <w:t>Item 15.</w:t>
            </w: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3440" w:type="dxa"/>
            <w:vAlign w:val="bottom"/>
            <w:tcBorders>
              <w:bottom w:val="single" w:sz="8" w:color="0000EE"/>
            </w:tcBorders>
            <w:gridSpan w:val="25"/>
          </w:tcPr>
          <w:p>
            <w:pPr>
              <w:spacing w:after="0" w:line="182"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Exhibits and Financial Statement Schedules</w:t>
              </w:r>
            </w:hyperlink>
          </w:p>
        </w:tc>
        <w:tc>
          <w:tcPr>
            <w:tcW w:w="6220" w:type="dxa"/>
            <w:vAlign w:val="bottom"/>
            <w:gridSpan w:val="17"/>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91"/>
        </w:trPr>
        <w:tc>
          <w:tcPr>
            <w:tcW w:w="70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Form 10-K Summary</w:t>
              </w:r>
            </w:hyperlink>
          </w:p>
        </w:tc>
        <w:tc>
          <w:tcPr>
            <w:tcW w:w="8020" w:type="dxa"/>
            <w:vAlign w:val="bottom"/>
            <w:gridSpan w:val="3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91"/>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4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Signatures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840" w:type="dxa"/>
            <w:vAlign w:val="bottom"/>
            <w:gridSpan w:val="12"/>
          </w:tcPr>
          <w:p>
            <w:pPr>
              <w:spacing w:after="0" w:line="20" w:lineRule="exact"/>
              <w:rPr>
                <w:sz w:val="1"/>
                <w:szCs w:val="1"/>
                <w:color w:val="auto"/>
              </w:rPr>
            </w:pPr>
          </w:p>
        </w:tc>
        <w:tc>
          <w:tcPr>
            <w:tcW w:w="6980" w:type="dxa"/>
            <w:vAlign w:val="bottom"/>
            <w:gridSpan w:val="2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Valuation and Qualifying Accounts</w:t>
              </w:r>
            </w:hyperlink>
          </w:p>
        </w:tc>
        <w:tc>
          <w:tcPr>
            <w:tcW w:w="6980" w:type="dxa"/>
            <w:vAlign w:val="bottom"/>
            <w:gridSpan w:val="2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“likely,” “deliver,” “drive,” “seek,” “aim,” “potential,” “objective,” “project,” “outlook” and similar expressions are intended to identify our forward-looking statements, including but not limited to statements about: our future performance, including our future revenue growth and margins; our strategy for growing our people, growing our business and growing our impact; price volatility and pricing actions; the cost environment and measures to address increased costs; our tax rate, tax positions and estimates of the impact of U.S. tax reform on our 2017 and future results; market share; the United Kingdom’s planned exit from the European Union and its impact on our results; the costs of, timing of expenditures under and completion of our restructuring program; snack category growth, our effect on demand and our market position; consumer snacking behaviors; commodity prices and supply; investments; research, development and innovation; political and economic conditions and volatility; currency exchange rates, controls and restrictions; our operations in Venezuela and Argentina; our e-commerce channel strategies; manufacturing and distribution capacity; changes in laws and regulations and regulatory compliance; matters related to the acquisition of a biscuit operation in Vietnam; potential impacts from changing to highly inflationary accounting in selected countries; overhead costs; pension liabilities related to the JDE coffee business transactions; our JDE ownership interest; the financial impact of the Keurig Dr Pepper transaction and our investment and governance rights in Keurig Dr Pepper following closing of the transaction;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obligations, expenses, contributions and assumptions; employee benefit plan expenses, obligations and assumptions; compensation expense; sustainability initiatives; the Brazilian indirect tax matter; remediation efforts related to and the financial and other impacts of the malware incident; our liquidity, funding sources and uses of funding, including our use of commercial paper; interest expense; our risk management program, including the use of financial instruments and the effectiveness of our hedging activities; working capital; capital expenditures and funding; share repurchases; dividends; long-term value and return on investment for our shareholders; compliance with financial and long-term debt covenants; guarantees; and our contractual obligations.</w:t>
      </w:r>
    </w:p>
    <w:p>
      <w:pPr>
        <w:spacing w:after="0" w:line="2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our ability to innovate and differentiate our products; strategic transactions; the timely and successful closing of the Keurig Dr Pepper transaction and the finalization of the terms of our participation in the transaction;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and our ability to protect our intellectual property and intangible assets. We disclaim and do not undertake any obligation to update or revise any forward-looking statement in this report except as required by applicable law or regulation.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We are one of the world’s largest snack companies with global net revenues of $25.9 billion and net earnings of $2.9 billion in 2017. We manufacture and market delicious snack food and beverage products for consumers in approximately 160 countries around the world. Our portfolio includes many iconic snack brands including </w:t>
      </w:r>
      <w:r>
        <w:rPr>
          <w:rFonts w:ascii="Arial" w:cs="Arial" w:eastAsia="Arial" w:hAnsi="Arial"/>
          <w:sz w:val="18"/>
          <w:szCs w:val="18"/>
          <w:i w:val="1"/>
          <w:iCs w:val="1"/>
          <w:color w:val="auto"/>
        </w:rPr>
        <w:t>Nabisco</w:t>
      </w:r>
      <w:r>
        <w:rPr>
          <w:rFonts w:ascii="Arial" w:cs="Arial" w:eastAsia="Arial" w:hAnsi="Arial"/>
          <w:sz w:val="18"/>
          <w:szCs w:val="18"/>
          <w:color w:val="auto"/>
        </w:rPr>
        <w:t xml:space="preserve">, </w:t>
      </w:r>
      <w:r>
        <w:rPr>
          <w:rFonts w:ascii="Arial" w:cs="Arial" w:eastAsia="Arial" w:hAnsi="Arial"/>
          <w:sz w:val="18"/>
          <w:szCs w:val="18"/>
          <w:i w:val="1"/>
          <w:iCs w:val="1"/>
          <w:color w:val="auto"/>
        </w:rPr>
        <w:t>Oreo, LU</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w:t>
      </w:r>
      <w:r>
        <w:rPr>
          <w:rFonts w:ascii="Arial" w:cs="Arial" w:eastAsia="Arial" w:hAnsi="Arial"/>
          <w:sz w:val="18"/>
          <w:szCs w:val="18"/>
          <w:i w:val="1"/>
          <w:iCs w:val="1"/>
          <w:color w:val="auto"/>
        </w:rPr>
        <w:t>; Cadbury, Milka, Cadbury Dairy Milk</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Toblerone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are proud members of the Standard and Poor’s 500, Nasdaq 100 and Dow Jones Sustainability Index. Our Common Stock trades on The Nasdaq Global Select Market under the symbol “MDLZ.” We have been incorporated in the Commonwealth of Virginia since 2000.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intend to leverage our core strengths, including our advantaged geographic footprint, market leadership positions and portfolio of iconic brands and innovation platforms, to grow our people, grow our business and grow our impact.</w:t>
      </w:r>
    </w:p>
    <w:p>
      <w:pPr>
        <w:spacing w:after="0" w:line="206" w:lineRule="exact"/>
        <w:rPr>
          <w:sz w:val="20"/>
          <w:szCs w:val="20"/>
          <w:color w:val="auto"/>
        </w:rPr>
      </w:pPr>
    </w:p>
    <w:p>
      <w:pPr>
        <w:ind w:left="900" w:right="40" w:hanging="325"/>
        <w:spacing w:after="0" w:line="23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Grow our People: </w:t>
      </w:r>
      <w:r>
        <w:rPr>
          <w:rFonts w:ascii="Arial" w:cs="Arial" w:eastAsia="Arial" w:hAnsi="Arial"/>
          <w:sz w:val="18"/>
          <w:szCs w:val="18"/>
          <w:color w:val="auto"/>
        </w:rPr>
        <w:t>We strive to inspire our people to engage in challenging and rewarding career experiences and to contribute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talent to create a great place to work. We collaborate globally, scale ideas quickly and develop world-class capabilities. Our culture is fast-moving, bold, innovative and accountable, reflecting the traits and skills necessary to thrive in a competitive global marketplace. To support and build on the success of our people in a continually-evolving business environment, we invest in our people and their development, foster respect for one another, celebrate diversity and commit to authenticity at every level. We also work to create an environment in which our people can demonstrate innovative and courageous leadership to make a difference in every role they play in the Company. As reflected in our actions and our investments in our people, we value their contributions and celebrate their success.</w:t>
      </w:r>
    </w:p>
    <w:p>
      <w:pPr>
        <w:spacing w:after="0" w:line="214" w:lineRule="exact"/>
        <w:rPr>
          <w:rFonts w:ascii="Arial" w:cs="Arial" w:eastAsia="Arial" w:hAnsi="Arial"/>
          <w:sz w:val="18"/>
          <w:szCs w:val="18"/>
          <w:color w:val="auto"/>
        </w:rPr>
      </w:pPr>
    </w:p>
    <w:p>
      <w:pPr>
        <w:ind w:left="900" w:hanging="325"/>
        <w:spacing w:after="0" w:line="23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Grow our Business: </w:t>
      </w:r>
      <w:r>
        <w:rPr>
          <w:rFonts w:ascii="Arial" w:cs="Arial" w:eastAsia="Arial" w:hAnsi="Arial"/>
          <w:sz w:val="18"/>
          <w:szCs w:val="18"/>
          <w:color w:val="auto"/>
        </w:rPr>
        <w:t>We aim to deliver strong, profitable long-term growth by accelerating our core snacks business and expanding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reach of our Power Brands globally. Leveraging our Power Brands (including </w:t>
      </w:r>
      <w:r>
        <w:rPr>
          <w:rFonts w:ascii="Arial" w:cs="Arial" w:eastAsia="Arial" w:hAnsi="Arial"/>
          <w:sz w:val="18"/>
          <w:szCs w:val="18"/>
          <w:i w:val="1"/>
          <w:iCs w:val="1"/>
          <w:color w:val="auto"/>
        </w:rPr>
        <w:t>Oreo, LU</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Milka, Cadbury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Dairy Milk </w:t>
      </w:r>
      <w:r>
        <w:rPr>
          <w:rFonts w:ascii="Arial" w:cs="Arial" w:eastAsia="Arial" w:hAnsi="Arial"/>
          <w:sz w:val="18"/>
          <w:szCs w:val="18"/>
          <w:color w:val="auto"/>
        </w:rPr>
        <w:t>and</w:t>
      </w:r>
      <w:r>
        <w:rPr>
          <w:rFonts w:ascii="Arial" w:cs="Arial" w:eastAsia="Arial" w:hAnsi="Arial"/>
          <w:sz w:val="18"/>
          <w:szCs w:val="18"/>
          <w:i w:val="1"/>
          <w:iCs w:val="1"/>
          <w:color w:val="auto"/>
        </w:rPr>
        <w:t xml:space="preserve"> Toblerone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 and</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 our innovation platforms, we plan to innovate boldly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connect with our consumers wherever they are. As consumers seek out foods that have better well-being credentials, we are actively evolving our portfolio by expanding the well-being brands in our portfolio, enhancing the nutrition and ingredient profile of our Power Brands and inspiring consumers to snack mindfully by providing more portion control treats. We plan to reach consumers in new markets around the world, using both traditional and digital channels. While we already have a strong presence in modern grocery stores, we are increasing our presence in higher growth non-grocery channels, including e-commerce. To fuel these investments, we have been working to optimize our cost structure. These efforts include reinventing our supply chain, including adding and upgrading to more efficient production lines, while reducing the complexity of our product offerings, ingredients and number of suppliers. We also continue to aggressively manage our overhead costs. We have embedded zero-based budgeting practices across the organization to identify potential areas of cost reductions and capture and sustain savings within our ongoing operating budgets. Through these actions, we are leveraging our brands, platforms and capabilities to drive long-term value and return on investment for our shareholders.</w:t>
      </w:r>
    </w:p>
    <w:p>
      <w:pPr>
        <w:spacing w:after="0" w:line="217" w:lineRule="exact"/>
        <w:rPr>
          <w:rFonts w:ascii="Arial" w:cs="Arial" w:eastAsia="Arial" w:hAnsi="Arial"/>
          <w:sz w:val="18"/>
          <w:szCs w:val="18"/>
          <w:color w:val="auto"/>
        </w:rPr>
      </w:pPr>
    </w:p>
    <w:p>
      <w:pPr>
        <w:ind w:left="900" w:right="100" w:hanging="325"/>
        <w:spacing w:after="0" w:line="242"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Grow our Impact: </w:t>
      </w:r>
      <w:r>
        <w:rPr>
          <w:rFonts w:ascii="Arial" w:cs="Arial" w:eastAsia="Arial" w:hAnsi="Arial"/>
          <w:sz w:val="18"/>
          <w:szCs w:val="18"/>
          <w:color w:val="auto"/>
        </w:rPr>
        <w:t>We are focused on helping people snack in balance and enjoy life with products that are safely and sustainably</w:t>
      </w:r>
      <w:r>
        <w:rPr>
          <w:rFonts w:ascii="Arial" w:cs="Arial" w:eastAsia="Arial" w:hAnsi="Arial"/>
          <w:sz w:val="18"/>
          <w:szCs w:val="18"/>
          <w:i w:val="1"/>
          <w:iCs w:val="1"/>
          <w:color w:val="auto"/>
        </w:rPr>
        <w:t xml:space="preserve"> </w:t>
      </w:r>
      <w:r>
        <w:rPr>
          <w:rFonts w:ascii="Arial" w:cs="Arial" w:eastAsia="Arial" w:hAnsi="Arial"/>
          <w:sz w:val="18"/>
          <w:szCs w:val="18"/>
          <w:color w:val="auto"/>
        </w:rPr>
        <w:t>sourced, produced and delivered. We are committed to driving business growth while making positive change in the world. We use our global scale and focus where we can have the greatest impact on people and planet - including communities, safety, sustainability and well-being snacks. This includes reducing our environmental footprint, empowering farmers in our supply chain and supporting the communities where our snacks are sourced, produced and sold.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Asia, Middle East, and Africa (“AMEA”)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the AMEA operating segment. We have reflected the segment change as if it had occurred in all periods presented.</w:t>
      </w:r>
    </w:p>
    <w:p>
      <w:pPr>
        <w:spacing w:after="0" w:line="12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135"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For a definition and reconciliation of segment operating income to consolidated pre-tax earnings as well as other information on our segments,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for each of the last three years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3,566</w:t>
            </w: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3,392</w:t>
            </w:r>
          </w:p>
        </w:tc>
        <w:tc>
          <w:tcPr>
            <w:tcW w:w="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5,816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9,755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25,896</w:t>
            </w: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25,923</w:t>
            </w:r>
          </w:p>
        </w:tc>
        <w:tc>
          <w:tcPr>
            <w:tcW w:w="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29,636</w:t>
            </w:r>
          </w:p>
        </w:tc>
        <w:tc>
          <w:tcPr>
            <w:tcW w:w="0" w:type="dxa"/>
            <w:vAlign w:val="bottom"/>
          </w:tcPr>
          <w:p>
            <w:pPr>
              <w:spacing w:after="0"/>
              <w:rPr>
                <w:sz w:val="1"/>
                <w:szCs w:val="1"/>
                <w:color w:val="auto"/>
              </w:rPr>
            </w:pPr>
          </w:p>
        </w:tc>
      </w:tr>
      <w:tr>
        <w:trPr>
          <w:trHeight w:val="20"/>
        </w:trPr>
        <w:tc>
          <w:tcPr>
            <w:tcW w:w="5380" w:type="dxa"/>
            <w:vAlign w:val="bottom"/>
            <w:gridSpan w:val="5"/>
            <w:vMerge w:val="restart"/>
          </w:tcPr>
          <w:p>
            <w:pPr>
              <w:spacing w:after="0"/>
              <w:rPr>
                <w:sz w:val="20"/>
                <w:szCs w:val="20"/>
                <w:color w:val="auto"/>
              </w:rPr>
            </w:pPr>
            <w:r>
              <w:rPr>
                <w:rFonts w:ascii="Arial" w:cs="Arial" w:eastAsia="Arial" w:hAnsi="Arial"/>
                <w:sz w:val="18"/>
                <w:szCs w:val="18"/>
                <w:color w:val="auto"/>
                <w:w w:val="99"/>
              </w:rPr>
              <w:t>Our segment operating income for each of the last three years was:</w:t>
            </w: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8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center"/>
              <w:ind w:left="36"/>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4"/>
          </w:tcPr>
          <w:p>
            <w:pPr>
              <w:jc w:val="center"/>
              <w:ind w:right="54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14.5%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580" w:type="dxa"/>
            <w:vAlign w:val="bottom"/>
          </w:tcPr>
          <w:p>
            <w:pPr>
              <w:spacing w:after="0"/>
              <w:rPr>
                <w:sz w:val="18"/>
                <w:szCs w:val="18"/>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8"/>
                <w:szCs w:val="18"/>
                <w:color w:val="auto"/>
              </w:rPr>
              <w:t>8.7%</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1,680</w:t>
            </w:r>
          </w:p>
        </w:tc>
        <w:tc>
          <w:tcPr>
            <w:tcW w:w="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43.3%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580" w:type="dxa"/>
            <w:vAlign w:val="bottom"/>
          </w:tcPr>
          <w:p>
            <w:pPr>
              <w:spacing w:after="0"/>
              <w:rPr>
                <w:sz w:val="18"/>
                <w:szCs w:val="18"/>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5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3,881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3,122</w:t>
            </w:r>
          </w:p>
        </w:tc>
        <w:tc>
          <w:tcPr>
            <w:tcW w:w="580" w:type="dxa"/>
            <w:vAlign w:val="bottom"/>
          </w:tcPr>
          <w:p>
            <w:pPr>
              <w:spacing w:after="0"/>
              <w:rPr>
                <w:sz w:val="19"/>
                <w:szCs w:val="19"/>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8"/>
                <w:szCs w:val="18"/>
                <w:color w:val="auto"/>
                <w:w w:val="98"/>
              </w:rPr>
              <w:t>100.0%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3,329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The deconsolidation of our global coffee business in 2015, the deconsolidation of our Venezuela operations beginning with our 2016 results, currency and other items significantly affect the comparability of our consolidated and segment operating results from year to year. Please see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for a review of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Biscuits (including cookies, crackers and salted snacks)</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Chocolate</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Gum &amp; candy</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Beverages (including coffee through July 2, 2015 and powdered beverages)</w:t>
      </w:r>
    </w:p>
    <w:p>
      <w:pPr>
        <w:ind w:left="1120" w:hanging="31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During 2017, our segments contributed to our net revenues in the following product categories: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92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Percentage of 2017 Net Revenues by Product Category</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Segment</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Gum &amp;</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rPr>
              <w:t>Cheese &amp;</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40" w:type="dxa"/>
            <w:vAlign w:val="bottom"/>
            <w:gridSpan w:val="2"/>
            <w:vMerge w:val="continue"/>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Biscuits</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Chocolate</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Candy</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Beverages</w:t>
            </w: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Grocery</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33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AMEA</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7.8%</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21.2%</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41.6%</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Within our product categories, the classes of products that contributed 10% or more to consolidated net revenues were:</w:t>
      </w:r>
    </w:p>
    <w:p>
      <w:pPr>
        <w:spacing w:after="0" w:line="226"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8890</wp:posOffset>
            </wp:positionV>
            <wp:extent cx="2160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9" w:lineRule="exact"/>
        <w:rPr>
          <w:sz w:val="20"/>
          <w:szCs w:val="20"/>
          <w:color w:val="auto"/>
        </w:rPr>
      </w:pPr>
    </w:p>
    <w:p>
      <w:pPr>
        <w:ind w:left="8240"/>
        <w:spacing w:after="0"/>
        <w:tabs>
          <w:tab w:leader="none" w:pos="9480" w:val="left"/>
          <w:tab w:leader="none" w:pos="107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0</wp:posOffset>
            </wp:positionV>
            <wp:extent cx="2160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7"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Biscuits - Cookies and crackers</w:t>
            </w:r>
          </w:p>
        </w:tc>
        <w:tc>
          <w:tcPr>
            <w:tcW w:w="3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Chocolate - Tablets, bars and other</w:t>
            </w:r>
          </w:p>
        </w:tc>
        <w:tc>
          <w:tcPr>
            <w:tcW w:w="326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30%</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Divestitures and Acquisitions</w:t>
      </w:r>
    </w:p>
    <w:p>
      <w:pPr>
        <w:spacing w:after="0" w:line="216" w:lineRule="exact"/>
        <w:rPr>
          <w:sz w:val="20"/>
          <w:szCs w:val="20"/>
          <w:color w:val="auto"/>
        </w:rPr>
      </w:pPr>
    </w:p>
    <w:p>
      <w:pPr>
        <w:ind w:right="720"/>
        <w:spacing w:after="0" w:line="251" w:lineRule="auto"/>
        <w:rPr>
          <w:sz w:val="20"/>
          <w:szCs w:val="20"/>
          <w:color w:val="auto"/>
        </w:rPr>
      </w:pPr>
      <w:r>
        <w:rPr>
          <w:rFonts w:ascii="Arial" w:cs="Arial" w:eastAsia="Arial" w:hAnsi="Arial"/>
          <w:sz w:val="18"/>
          <w:szCs w:val="18"/>
          <w:color w:val="auto"/>
        </w:rPr>
        <w:t xml:space="preserve">For information on our significant divestitures and acquisitions, please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and specifically, in connection with our global coffee business deconsolidation, see the discussions under </w:t>
      </w:r>
      <w:r>
        <w:rPr>
          <w:rFonts w:ascii="Arial" w:cs="Arial" w:eastAsia="Arial" w:hAnsi="Arial"/>
          <w:sz w:val="18"/>
          <w:szCs w:val="18"/>
          <w:i w:val="1"/>
          <w:iCs w:val="1"/>
          <w:color w:val="auto"/>
        </w:rPr>
        <w:t>JDE Coffee Business Transactions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Keurig</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No single customer accounted for 10% or more of our net revenues from continuing operations in 2017. Our five largest customers accounted for 15.6% and our ten largest customers accounted for 21.4% of net revenues from continuing operations in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Demand for our products is generally balanced over the first three quarters of the year and increases in the fourth quarter primarily because of holidays and other seasonal events. Depending on when Easter falls, Easter holiday sales may shift between the first and second quarter. We build inventory based on expected demand and typically fill customer orders within a few days of receipt so the backlog of unfilled orders is not material. Funding for working capital items, including inventory and receivables, is normally sourced from operating cash flows and short-term commercial paper borrowings. For additional information on our liquidity, working capital management, cash flow and financing activities,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Note 1</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appearing later in this 10-K filing.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face competition in all aspects of our business. Competitors include large multinational as well as numerous local and regional companies. Some competitors have different profit objectives and investment time horizons than we do and therefore approach pricing and promotional decisions differently. We compete based on product quality, brand recognition and loyalty, service, product innovation, taste, convenience, nutritional value, the ability to identify and satisfy consumer preferences, effectiveness of sales and marketing, routes to market and distribution networks, promotional activity and price. Improving our market position or introducing a new product requires substantial research, development, advertising and promotional expenditures. We believe these investments lead to better products for the consumer and support our growth and market position.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Across our segments, we generally sell our products to supermarket chains, wholesalers, supercenters, club stores, mass merchandisers, distributors, convenience stores, gasoline stations, drug stores, value stores and other retail food outlets. We distribute our products through direct store delivery, company-owned and satellite warehouses, distribution centers and other facilities. We use the services of independent sales offices and agents in some of our international locations.</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Consumers are also increasingly shopping online. And we are building a global e-commerce organization and capabilities to pursue online growth with partners in key markets around the world, including both pure e-tailers and brick-and-mortar retailers. We continue to invest in both talent and capabilities. Our e-commerce channel strategies will play a critical role in our ambition to be the best snacking company in the world.</w:t>
      </w:r>
    </w:p>
    <w:p>
      <w:pPr>
        <w:spacing w:after="0" w:line="20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We conduct marketing efforts through three principal sets of activities: (i) consumer marketing and advertising including on-air, print, outdoor, digital and social media and other product promotions; (ii) consumer sales incentives such as coupons and rebates; and (iii) trade promotions to support price features, displays and other merchandising of our products by our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cost-effectively secure ingredients, packaging and fuel required for production.</w:t>
      </w:r>
    </w:p>
    <w:p>
      <w:pPr>
        <w:spacing w:after="0" w:line="20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While the costs of our principal raw materials fluctuate, we believe there will continue to be an adequate supply of the raw materials we use and that they will generally remain available from numerous sources. For additional information on our commodity costs, refer to the </w:t>
      </w:r>
      <w:r>
        <w:rPr>
          <w:rFonts w:ascii="Arial" w:cs="Arial" w:eastAsia="Arial" w:hAnsi="Arial"/>
          <w:sz w:val="18"/>
          <w:szCs w:val="18"/>
          <w:i w:val="1"/>
          <w:iCs w:val="1"/>
          <w:color w:val="auto"/>
        </w:rPr>
        <w:t>Commodity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Trends </w:t>
      </w:r>
      <w:r>
        <w:rPr>
          <w:rFonts w:ascii="Arial" w:cs="Arial" w:eastAsia="Arial" w:hAnsi="Arial"/>
          <w:sz w:val="18"/>
          <w:szCs w:val="18"/>
          <w:color w:val="auto"/>
        </w:rPr>
        <w:t>section within</w:t>
      </w:r>
      <w:r>
        <w:rPr>
          <w:rFonts w:ascii="Arial" w:cs="Arial" w:eastAsia="Arial" w:hAnsi="Arial"/>
          <w:sz w:val="18"/>
          <w:szCs w:val="18"/>
          <w:i w:val="1"/>
          <w:iCs w:val="1"/>
          <w:color w:val="auto"/>
        </w:rPr>
        <w:t xml:space="preserve"> Management’s Discussion and Analysis of Financial Condition and Results of Operations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technology and know-how) are material to our business.</w:t>
      </w:r>
    </w:p>
    <w:p>
      <w:pPr>
        <w:spacing w:after="0" w:line="1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for renewable, fixed terms. We also have patents for a number of current and potential products. Our patents cover inventions ranging from basic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 party products. Similarly, we sell some products under brands, patents and/or proprietary trade secrets we license from third parties. In our agreement with Kraft Foods Group, Inc. (“Kraft Foods Group,” which is now part of The Kraft Heinz Company), we each granted the other party various licenses to use certain of our and their respective intellectual property rights in named jurisdictions following the spin-off of our North American grocery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pursue four objectives in research and development: product safety and quality, growth through new products, superior consumer satisfaction and reduced costs. Our innovation efforts focus on anticipating consumer demands and adapting quickly to changing market trends. Wellness products and healthy snacking are a significant focus of our current research and development initiatives. These initiatives aim to accelerate our growth and margins by addressing consumer needs and market trends and leveraging our global innovation platforms, Power Brands and breakthrough technologies. In September 2016, we announced our plan to invest $65 million over 2017-2018 to build out and modernize our network of global research and development facilities. We are focusing our technical resources at nine large locations to drive global growth and innovation. We celebrated the official opening of our Wroclaw Poland Technical Center in 2017. Our global Technical Centers will enable greater effectiveness, improved efficiency and accelerated project delivery. These locations are in Curitiba, Brazil; Suzhou, China; Thane, India; Mexico City, Mexico; East Hanover, New Jersey; Wroclaw, Poland; Jurong, Singapore; Bournville, United Kingdom and Reading, United Kingdom.</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At December 31, 2017, we had approximately 2,450 scientists and engineers, of which 1,900 are primarily focused on research and development and the remainder are primarily focused on quality assurance and regulatory affairs. Our research and development expense was $366 million in 2017, $376 million in 2016 and $409 million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health and nutrition claims, packaging, pricing, marketing and advertising, privacy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and the scrutiny of human rights issues in industry supply chains has led to developing regulation in many countries. These policies have substantial effects on prices and supplies and are subject to periodic governmental and administrative review.</w:t>
      </w:r>
    </w:p>
    <w:p>
      <w:pPr>
        <w:spacing w:after="0" w:line="20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Examples of laws and regulations that affect our business include selective food taxes, labeling requirements such as front-of-pack labeling and nutrient profiling, marketing restrictions, potential withdrawal of trade concessions as dispute settlement retaliation and sanctions on sales or sourcing of raw materials. We will continue to monitor developments in laws and regulations. At this time, we do not expect the cost of complying with new laws and regulations will be material. Also refer to Note 1, </w:t>
      </w:r>
      <w:r>
        <w:rPr>
          <w:rFonts w:ascii="Arial" w:cs="Arial" w:eastAsia="Arial" w:hAnsi="Arial"/>
          <w:sz w:val="18"/>
          <w:szCs w:val="18"/>
          <w:i w:val="1"/>
          <w:iCs w:val="1"/>
          <w:color w:val="auto"/>
        </w:rPr>
        <w:t>Summary of Significant Accounting Policies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 for additional information on government regulations and currency-related impacts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United Kingdom, Argentina and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3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Based on information currently available, we believe that our compliance with environmental laws and regulations will not have a material effect on our financial results.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2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A key strategic goal for us is to </w:t>
      </w:r>
      <w:r>
        <w:rPr>
          <w:rFonts w:ascii="Arial" w:cs="Arial" w:eastAsia="Arial" w:hAnsi="Arial"/>
          <w:sz w:val="18"/>
          <w:szCs w:val="18"/>
          <w:i w:val="1"/>
          <w:iCs w:val="1"/>
          <w:color w:val="auto"/>
        </w:rPr>
        <w:t>Grow our Impact.</w:t>
      </w:r>
      <w:r>
        <w:rPr>
          <w:rFonts w:ascii="Arial" w:cs="Arial" w:eastAsia="Arial" w:hAnsi="Arial"/>
          <w:sz w:val="18"/>
          <w:szCs w:val="18"/>
          <w:color w:val="auto"/>
        </w:rPr>
        <w:t xml:space="preserve"> Building positive impact for people and our planet is at the core of who we are. We call our commitment to drive business growth with positive change in the world </w:t>
      </w:r>
      <w:r>
        <w:rPr>
          <w:rFonts w:ascii="Arial" w:cs="Arial" w:eastAsia="Arial" w:hAnsi="Arial"/>
          <w:sz w:val="18"/>
          <w:szCs w:val="18"/>
          <w:i w:val="1"/>
          <w:iCs w:val="1"/>
          <w:color w:val="auto"/>
        </w:rPr>
        <w:t>Impact For Growth</w:t>
      </w:r>
      <w:r>
        <w:rPr>
          <w:rFonts w:ascii="Arial" w:cs="Arial" w:eastAsia="Arial" w:hAnsi="Arial"/>
          <w:sz w:val="18"/>
          <w:szCs w:val="18"/>
          <w:color w:val="auto"/>
        </w:rPr>
        <w:t>. Many of the challenges facing people and the planet are interrelated. Our core programs and initiatives holistically address both by working to reduce our environmental footprint, empower farmers and support the communities where our snacks are sourced. We continue to leverage our global operating scale to secure sustainable raw materials and work with suppliers to drive meaningful social and environmental changes, focusing on where we can make the most impact. For example, we launched our Cocoa Life program in 2012 and will continue to invest up to $400 million through 2022 to build a sustainable cocoa supply. We are also improving sustainability in our wheat supply by working with farmers in North America and through our Harmony program in Europe.</w:t>
      </w:r>
    </w:p>
    <w:p>
      <w:pPr>
        <w:spacing w:after="0" w:line="20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2020 sustainability goals aim to place us at the forefront in the fight against climate change with ambitious targets for an end-to-end approach to reduce our carbon footprint, including reducing our absolute CO</w:t>
      </w:r>
      <w:r>
        <w:rPr>
          <w:rFonts w:ascii="Arial" w:cs="Arial" w:eastAsia="Arial" w:hAnsi="Arial"/>
          <w:sz w:val="15"/>
          <w:szCs w:val="15"/>
          <w:color w:val="auto"/>
        </w:rPr>
        <w:t>2</w:t>
      </w:r>
      <w:r>
        <w:rPr>
          <w:rFonts w:ascii="Arial" w:cs="Arial" w:eastAsia="Arial" w:hAnsi="Arial"/>
          <w:sz w:val="18"/>
          <w:szCs w:val="18"/>
          <w:color w:val="auto"/>
        </w:rPr>
        <w:t xml:space="preserve"> emissions from manufacturing and addressing deforestation in key raw material supply chains. We are working to cut our absolute water footprint in manufacturing, focusing on priority sites where water is most scarce. We are also working to reduce waste in manufacturing and packaging.</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been recognized for our ongoing economic, environmental and social contributions. This year we were again listed on the Dow Jones Sustainability Index (“DJSI”) – World and North American Indices. The DJSI selects the top 10% of global companies and top 20% of North American companies based on an extensive review of financial and sustainability programs within each industry. We are at the 92</w:t>
      </w:r>
      <w:r>
        <w:rPr>
          <w:rFonts w:ascii="Arial" w:cs="Arial" w:eastAsia="Arial" w:hAnsi="Arial"/>
          <w:sz w:val="15"/>
          <w:szCs w:val="15"/>
          <w:color w:val="auto"/>
        </w:rPr>
        <w:t>nd</w:t>
      </w:r>
      <w:r>
        <w:rPr>
          <w:rFonts w:ascii="Arial" w:cs="Arial" w:eastAsia="Arial" w:hAnsi="Arial"/>
          <w:sz w:val="18"/>
          <w:szCs w:val="18"/>
          <w:color w:val="auto"/>
        </w:rPr>
        <w:t xml:space="preserve"> percentile of our industry and achieved perfect scores in health and nutrition and environmental reporting.</w:t>
      </w:r>
    </w:p>
    <w:p>
      <w:pPr>
        <w:spacing w:after="0" w:line="202" w:lineRule="exact"/>
        <w:rPr>
          <w:sz w:val="20"/>
          <w:szCs w:val="20"/>
          <w:color w:val="auto"/>
        </w:rPr>
      </w:pPr>
    </w:p>
    <w:p>
      <w:pPr>
        <w:jc w:val="both"/>
        <w:ind w:right="680"/>
        <w:spacing w:after="0"/>
        <w:rPr>
          <w:sz w:val="20"/>
          <w:szCs w:val="20"/>
          <w:color w:val="auto"/>
        </w:rPr>
      </w:pPr>
      <w:r>
        <w:rPr>
          <w:rFonts w:ascii="Arial" w:cs="Arial" w:eastAsia="Arial" w:hAnsi="Arial"/>
          <w:sz w:val="18"/>
          <w:szCs w:val="18"/>
          <w:color w:val="auto"/>
        </w:rPr>
        <w:t>We also participate in the CDP Climate and Water disclosures and continue to work to reduce our carbon and water footprints. We are committed to continue this and other related work in the areas of sustainable resources and agriculture, well-being snacks, community partnerships and safety of our products and people.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employed through our consolidated subsidiaries approximately 83,000 people worldwide at December 31, 2017 and approximately 90,000 at December 31, 2016. Employees represented by labor unions or workers’ councils represent approximately 64% of our 71,000 employees outside the United States and approximately 28% of our 12,000 U.S. employees. Our business units are subject to various local, national and multinational laws and regulations relating to their relationships with their employees. In accordance with European Union requirements, we also have established a European Workers Council composed of management and elected members of our workforce. We or our subsidiaries are a party to numerous collective bargaining agreements and we work to renegotiate these collective bargaining agreements on satisfactory terms when they expire.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Based on where we sell our products, we generated 75.8% of our 2017 net revenues, 75.6% of our 2016 net revenues and 78.7% of our 2015 net revenues from continuing operations outside the United States. We sell our products to consumers in approximately 160 countries. At December 31, 2017, we had operations in more than 80 countries and made our products at approximately 140 manufacturing and processing facilities in 51 countries. Refer to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U.S. and non-U.S. operations.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for more information on our manufacturing and other facilities. Also, for a discussion of risks related to our operations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United States,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9, 2018:</w:t>
      </w:r>
    </w:p>
    <w:p>
      <w:pPr>
        <w:sectPr>
          <w:pgSz w:w="11900" w:h="16838" w:orient="portrait"/>
          <w:cols w:equalWidth="0" w:num="1">
            <w:col w:w="11400"/>
          </w:cols>
          <w:pgMar w:left="240" w:top="459" w:right="259" w:bottom="1440" w:gutter="0" w:footer="0" w:header="0"/>
        </w:sectPr>
      </w:pPr>
    </w:p>
    <w:p>
      <w:pPr>
        <w:spacing w:after="0" w:line="22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Dirk Van de Put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Brian T. Gladden</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Maurizio Brusadelli</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Timothy P. Cofer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Robin S. Hargrove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Alejandro R. Lorenzo</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Karen J. May</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Daniel P. Myers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Gerhard W. Pleuhs</w:t>
      </w:r>
    </w:p>
    <w:p>
      <w:pPr>
        <w:spacing w:after="0" w:line="7" w:lineRule="exact"/>
        <w:rPr>
          <w:sz w:val="20"/>
          <w:szCs w:val="20"/>
          <w:color w:val="auto"/>
        </w:rPr>
      </w:pPr>
    </w:p>
    <w:p>
      <w:pPr>
        <w:ind w:left="360"/>
        <w:spacing w:after="0" w:line="260" w:lineRule="auto"/>
        <w:rPr>
          <w:sz w:val="20"/>
          <w:szCs w:val="20"/>
          <w:color w:val="auto"/>
        </w:rPr>
      </w:pPr>
      <w:r>
        <w:rPr>
          <w:rFonts w:ascii="Arial" w:cs="Arial" w:eastAsia="Arial" w:hAnsi="Arial"/>
          <w:sz w:val="17"/>
          <w:szCs w:val="17"/>
          <w:color w:val="auto"/>
        </w:rPr>
        <w:t>Henry Glendon (Glen) Walter IV Hubert Weber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17780</wp:posOffset>
            </wp:positionV>
            <wp:extent cx="46310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2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color w:val="auto"/>
        </w:rPr>
        <w:t>Chief Executive Officer</w:t>
      </w:r>
    </w:p>
    <w:p>
      <w:pPr>
        <w:spacing w:after="0" w:line="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Executive Vice President and Chief Financial Officer</w:t>
      </w:r>
    </w:p>
    <w:p>
      <w:pPr>
        <w:ind w:left="620" w:hanging="581"/>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Executive Vice President and President, Asia, Middle East and Africa</w:t>
      </w:r>
    </w:p>
    <w:p>
      <w:pPr>
        <w:spacing w:after="0" w:line="20" w:lineRule="exact"/>
        <w:rPr>
          <w:rFonts w:ascii="Arial" w:cs="Arial" w:eastAsia="Arial" w:hAnsi="Arial"/>
          <w:sz w:val="17"/>
          <w:szCs w:val="17"/>
          <w:color w:val="auto"/>
        </w:rPr>
      </w:pPr>
    </w:p>
    <w:p>
      <w:pPr>
        <w:ind w:left="620" w:hanging="58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Executive Vice President and Chief Growth Officer</w:t>
      </w:r>
    </w:p>
    <w:p>
      <w:pPr>
        <w:spacing w:after="0" w:line="7" w:lineRule="exact"/>
        <w:rPr>
          <w:rFonts w:ascii="Arial" w:cs="Arial" w:eastAsia="Arial" w:hAnsi="Arial"/>
          <w:sz w:val="17"/>
          <w:szCs w:val="17"/>
          <w:color w:val="auto"/>
        </w:rPr>
      </w:pPr>
    </w:p>
    <w:p>
      <w:pPr>
        <w:ind w:left="620" w:hanging="581"/>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Executive Vice President, Research, Development, Quality and Innovation</w:t>
      </w:r>
    </w:p>
    <w:p>
      <w:pPr>
        <w:spacing w:after="0" w:line="7" w:lineRule="exact"/>
        <w:rPr>
          <w:rFonts w:ascii="Arial" w:cs="Arial" w:eastAsia="Arial" w:hAnsi="Arial"/>
          <w:sz w:val="17"/>
          <w:szCs w:val="17"/>
          <w:color w:val="auto"/>
        </w:rPr>
      </w:pPr>
    </w:p>
    <w:p>
      <w:pPr>
        <w:ind w:left="620" w:hanging="581"/>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Executive Vice President and President, Latin America</w:t>
      </w:r>
    </w:p>
    <w:p>
      <w:pPr>
        <w:spacing w:after="0" w:line="7" w:lineRule="exact"/>
        <w:rPr>
          <w:rFonts w:ascii="Arial" w:cs="Arial" w:eastAsia="Arial" w:hAnsi="Arial"/>
          <w:sz w:val="17"/>
          <w:szCs w:val="17"/>
          <w:color w:val="auto"/>
        </w:rPr>
      </w:pPr>
    </w:p>
    <w:p>
      <w:pPr>
        <w:ind w:left="620" w:hanging="581"/>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Executive Vice President, Human Resources</w:t>
      </w:r>
    </w:p>
    <w:p>
      <w:pPr>
        <w:spacing w:after="0" w:line="7" w:lineRule="exact"/>
        <w:rPr>
          <w:rFonts w:ascii="Arial" w:cs="Arial" w:eastAsia="Arial" w:hAnsi="Arial"/>
          <w:sz w:val="17"/>
          <w:szCs w:val="17"/>
          <w:color w:val="auto"/>
        </w:rPr>
      </w:pPr>
    </w:p>
    <w:p>
      <w:pPr>
        <w:ind w:left="620" w:hanging="581"/>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Executive Vice President, Integrated Supply Chain</w:t>
      </w:r>
    </w:p>
    <w:p>
      <w:pPr>
        <w:spacing w:after="0" w:line="7" w:lineRule="exact"/>
        <w:rPr>
          <w:rFonts w:ascii="Arial" w:cs="Arial" w:eastAsia="Arial" w:hAnsi="Arial"/>
          <w:sz w:val="17"/>
          <w:szCs w:val="17"/>
          <w:color w:val="auto"/>
        </w:rPr>
      </w:pPr>
    </w:p>
    <w:p>
      <w:pPr>
        <w:ind w:left="620" w:hanging="581"/>
        <w:spacing w:after="0" w:line="232"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Executive Vice President and General Counsel</w:t>
      </w:r>
    </w:p>
    <w:p>
      <w:pPr>
        <w:ind w:left="620" w:hanging="581"/>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Executive Vice President and President, North America</w:t>
      </w:r>
    </w:p>
    <w:p>
      <w:pPr>
        <w:spacing w:after="0" w:line="20" w:lineRule="exact"/>
        <w:rPr>
          <w:rFonts w:ascii="Arial" w:cs="Arial" w:eastAsia="Arial" w:hAnsi="Arial"/>
          <w:sz w:val="17"/>
          <w:szCs w:val="17"/>
          <w:color w:val="auto"/>
        </w:rPr>
      </w:pPr>
    </w:p>
    <w:p>
      <w:pPr>
        <w:ind w:left="620" w:hanging="581"/>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Executive Vice President and President, Europe</w:t>
      </w:r>
    </w:p>
    <w:p>
      <w:pPr>
        <w:spacing w:after="0" w:line="196" w:lineRule="exact"/>
        <w:rPr>
          <w:sz w:val="20"/>
          <w:szCs w:val="20"/>
          <w:color w:val="auto"/>
        </w:rPr>
      </w:pPr>
    </w:p>
    <w:p>
      <w:pPr>
        <w:sectPr>
          <w:pgSz w:w="11900" w:h="16838" w:orient="portrait"/>
          <w:cols w:equalWidth="0" w:num="2">
            <w:col w:w="2780" w:space="720"/>
            <w:col w:w="7900"/>
          </w:cols>
          <w:pgMar w:left="240" w:top="459" w:right="259" w:bottom="1440" w:gutter="0" w:footer="0" w:header="0"/>
          <w:type w:val="continuous"/>
        </w:sectPr>
      </w:pPr>
    </w:p>
    <w:p>
      <w:pPr>
        <w:ind w:right="60"/>
        <w:spacing w:after="0" w:line="242"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He formerly served as President and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185"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i w:val="1"/>
          <w:iCs w:val="1"/>
          <w:color w:val="auto"/>
        </w:rPr>
        <w:t xml:space="preserve">Mr. Gladden </w:t>
      </w:r>
      <w:r>
        <w:rPr>
          <w:rFonts w:ascii="Arial" w:cs="Arial" w:eastAsia="Arial" w:hAnsi="Arial"/>
          <w:sz w:val="17"/>
          <w:szCs w:val="17"/>
          <w:color w:val="auto"/>
        </w:rPr>
        <w:t>became Executive Vice President and Chief Financial Officer in December 2014. He joined Mondelēz International in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2014. Prior to that, he served as Senior Vice President and Chief Financial Officer of Dell Inc., a provider of technology products and services, from June 2008 to February 2014, and as President and Chief Executive Officer of SABIC Innovative Plastics, a manufacturer of industrial plastics, from August 2007 to May 2008. Mr. Gladden spent 19 years at the General Electric Company, a multinational conglomerate, in a variety of key leadership positions, including Vice President and General Manager, Resin Business and Chief Financial Officer, GE Plastics.</w:t>
      </w:r>
    </w:p>
    <w:p>
      <w:pPr>
        <w:spacing w:after="0" w:line="170"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Mr. Brusadelli </w:t>
      </w:r>
      <w:r>
        <w:rPr>
          <w:rFonts w:ascii="Arial" w:cs="Arial" w:eastAsia="Arial" w:hAnsi="Arial"/>
          <w:sz w:val="18"/>
          <w:szCs w:val="18"/>
          <w:color w:val="auto"/>
        </w:rPr>
        <w:t>became Executive Vice President and President, Asia Pacific in January 2016 and Executive Vice President and President, Asia,</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and Africa in October 2016. He previously served as President Biscuits Business, South East Asia, Japan and Sales Asia Pacific from September 2015 to December 2015, President Markets and Sales Asia Pacific from September 2014 to September 2015 and President United Kingdom and Ireland from September 2012 to August 2014. Prior to that, Mr. Brusadelli held various positions of increasing responsibility. Mr. Brusadelli joined Mondelēz International in 1993.</w:t>
      </w:r>
    </w:p>
    <w:p>
      <w:pPr>
        <w:spacing w:after="0" w:line="185"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i w:val="1"/>
          <w:iCs w:val="1"/>
          <w:color w:val="auto"/>
        </w:rPr>
        <w:t xml:space="preserve">Mr. Cofer </w:t>
      </w:r>
      <w:r>
        <w:rPr>
          <w:rFonts w:ascii="Arial" w:cs="Arial" w:eastAsia="Arial" w:hAnsi="Arial"/>
          <w:sz w:val="18"/>
          <w:szCs w:val="18"/>
          <w:color w:val="auto"/>
        </w:rPr>
        <w:t>became Executive Vice President and Chief Growth Officer in January 2016 and served as Interim President, North America from</w:t>
      </w:r>
      <w:r>
        <w:rPr>
          <w:rFonts w:ascii="Arial" w:cs="Arial" w:eastAsia="Arial" w:hAnsi="Arial"/>
          <w:sz w:val="18"/>
          <w:szCs w:val="18"/>
          <w:i w:val="1"/>
          <w:iCs w:val="1"/>
          <w:color w:val="auto"/>
        </w:rPr>
        <w:t xml:space="preserve"> </w:t>
      </w:r>
      <w:r>
        <w:rPr>
          <w:rFonts w:ascii="Arial" w:cs="Arial" w:eastAsia="Arial" w:hAnsi="Arial"/>
          <w:sz w:val="18"/>
          <w:szCs w:val="18"/>
          <w:color w:val="auto"/>
        </w:rPr>
        <w:t>April to November 2017. Mr. Cofer served as Executive Vice President and President, Asia Pacific and EEMEA from September 2013 to December 2015 and Executive Vice President and President, Europe from August 2011 to September 2013. Prior to that, Mr. Cofer held various positions of increasing responsibility. Mr. Cofer joined Mondelēz International in 1992.</w:t>
      </w:r>
    </w:p>
    <w:p>
      <w:pPr>
        <w:spacing w:after="0" w:line="181"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i w:val="1"/>
          <w:iCs w:val="1"/>
          <w:color w:val="auto"/>
        </w:rPr>
        <w:t xml:space="preserve">Mr. Hargrove </w:t>
      </w:r>
      <w:r>
        <w:rPr>
          <w:rFonts w:ascii="Arial" w:cs="Arial" w:eastAsia="Arial" w:hAnsi="Arial"/>
          <w:sz w:val="18"/>
          <w:szCs w:val="18"/>
          <w:color w:val="auto"/>
        </w:rPr>
        <w:t>became Executive Vice President, Research, Development, Quality and Innovation in April 2015. Prior to that,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Research, Development &amp; Quality for Mondelēz Europe from January 2013 to March 2015. Before joining Mondelēz International, Mr. Hargrove worked at PepsiCo, Inc., a global food and beverage company, for 19 years in a variety of leadership positions, most recently as Senior Vice President, Research and Development, Europe from December 2006 to December 2012.</w:t>
      </w:r>
    </w:p>
    <w:p>
      <w:pPr>
        <w:spacing w:after="0" w:line="181"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i w:val="1"/>
          <w:iCs w:val="1"/>
          <w:color w:val="auto"/>
        </w:rPr>
        <w:t xml:space="preserve">Mr. Lorenzo </w:t>
      </w:r>
      <w:r>
        <w:rPr>
          <w:rFonts w:ascii="Arial" w:cs="Arial" w:eastAsia="Arial" w:hAnsi="Arial"/>
          <w:sz w:val="18"/>
          <w:szCs w:val="18"/>
          <w:color w:val="auto"/>
        </w:rPr>
        <w:t>became Executive Vice President and President, Latin America in January 2017. Prior to that, he served as President, Global</w:t>
      </w:r>
      <w:r>
        <w:rPr>
          <w:rFonts w:ascii="Arial" w:cs="Arial" w:eastAsia="Arial" w:hAnsi="Arial"/>
          <w:sz w:val="18"/>
          <w:szCs w:val="18"/>
          <w:i w:val="1"/>
          <w:iCs w:val="1"/>
          <w:color w:val="auto"/>
        </w:rPr>
        <w:t xml:space="preserve"> </w:t>
      </w:r>
      <w:r>
        <w:rPr>
          <w:rFonts w:ascii="Arial" w:cs="Arial" w:eastAsia="Arial" w:hAnsi="Arial"/>
          <w:sz w:val="18"/>
          <w:szCs w:val="18"/>
          <w:color w:val="auto"/>
        </w:rPr>
        <w:t>Biscuits Category from January 2015 to December 2016 and President, Brazil from September 2012 to December 2014. Prior to that, Mr. Lorenzo held various positions of increasing responsibility. Mr. Lorenzo joined Mondelēz International in 2003.</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40"/>
        <w:spacing w:after="0" w:line="267" w:lineRule="auto"/>
        <w:rPr>
          <w:sz w:val="20"/>
          <w:szCs w:val="20"/>
          <w:color w:val="auto"/>
        </w:rPr>
      </w:pPr>
      <w:r>
        <w:rPr>
          <w:rFonts w:ascii="Arial" w:cs="Arial" w:eastAsia="Arial" w:hAnsi="Arial"/>
          <w:sz w:val="18"/>
          <w:szCs w:val="18"/>
          <w:i w:val="1"/>
          <w:iCs w:val="1"/>
          <w:color w:val="auto"/>
        </w:rPr>
        <w:t xml:space="preserve">Ms. May </w:t>
      </w:r>
      <w:r>
        <w:rPr>
          <w:rFonts w:ascii="Arial" w:cs="Arial" w:eastAsia="Arial" w:hAnsi="Arial"/>
          <w:sz w:val="18"/>
          <w:szCs w:val="18"/>
          <w:color w:val="auto"/>
        </w:rPr>
        <w:t>became Executive Vice President, Human Resources in October 2005. Prior to that, she was Corporate Vice President,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for Baxter International Inc., a healthcare company, from February 2001 to September 2005.</w:t>
      </w:r>
    </w:p>
    <w:p>
      <w:pPr>
        <w:spacing w:after="0" w:line="161" w:lineRule="exact"/>
        <w:rPr>
          <w:sz w:val="20"/>
          <w:szCs w:val="20"/>
          <w:color w:val="auto"/>
        </w:rPr>
      </w:pPr>
    </w:p>
    <w:p>
      <w:pPr>
        <w:jc w:val="both"/>
        <w:ind w:right="360"/>
        <w:spacing w:after="0" w:line="251" w:lineRule="auto"/>
        <w:rPr>
          <w:sz w:val="20"/>
          <w:szCs w:val="20"/>
          <w:color w:val="auto"/>
        </w:rPr>
      </w:pPr>
      <w:r>
        <w:rPr>
          <w:rFonts w:ascii="Arial" w:cs="Arial" w:eastAsia="Arial" w:hAnsi="Arial"/>
          <w:sz w:val="18"/>
          <w:szCs w:val="18"/>
          <w:i w:val="1"/>
          <w:iCs w:val="1"/>
          <w:color w:val="auto"/>
        </w:rPr>
        <w:t xml:space="preserve">Mr. Myers </w:t>
      </w:r>
      <w:r>
        <w:rPr>
          <w:rFonts w:ascii="Arial" w:cs="Arial" w:eastAsia="Arial" w:hAnsi="Arial"/>
          <w:sz w:val="18"/>
          <w:szCs w:val="18"/>
          <w:color w:val="auto"/>
        </w:rPr>
        <w:t>became Executive Vice President, Integrated Supply Chain in September 2011. Prior to that, he worked for Procter &amp; Gamble, a</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products company, for 33 years in a variety of leadership positions, most recently serving as Vice President, Product Supply for P&amp;G’s Global Hair Care business from September 2007 to August 2011.</w:t>
      </w:r>
    </w:p>
    <w:p>
      <w:pPr>
        <w:spacing w:after="0" w:line="17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 xml:space="preserve">Mr. Pleuhs </w:t>
      </w:r>
      <w:r>
        <w:rPr>
          <w:rFonts w:ascii="Arial" w:cs="Arial" w:eastAsia="Arial" w:hAnsi="Arial"/>
          <w:sz w:val="18"/>
          <w:szCs w:val="18"/>
          <w:color w:val="auto"/>
        </w:rPr>
        <w:t>became Executive Vice President and General Counsel in April 2012. In this role, Mr. Pleuhs oversees the legal,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corporate and governance affairs functions within Mondelēz International. He has served in various positions of increasing responsibility since joining Mondelēz International in 1990. Mr. Pleuhs has a law degree from the University of Kiel, Germany and is licensed to practice law in Germany and admitted as house counsel in Illinois.</w:t>
      </w:r>
    </w:p>
    <w:p>
      <w:pPr>
        <w:spacing w:after="0" w:line="18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auto"/>
        </w:rPr>
        <w:t xml:space="preserve">Mr. Walter </w:t>
      </w:r>
      <w:r>
        <w:rPr>
          <w:rFonts w:ascii="Arial" w:cs="Arial" w:eastAsia="Arial" w:hAnsi="Arial"/>
          <w:sz w:val="18"/>
          <w:szCs w:val="18"/>
          <w:color w:val="auto"/>
        </w:rPr>
        <w:t>became Executive Vice President and President, North America in November 2017. Before joining Mondelēz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Mr. Walter worked at The Coca-Cola Company, a global beverage company, in a variety of leadership positions, most recently as Chief Executive Officer of Coca-Cola Industries China from February 2014 to October 2017 and President and Chief Operating Officer of Cola-Cola Refreshments in North America from January 2013 to February 2014.</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Mr. Weber </w:t>
      </w:r>
      <w:r>
        <w:rPr>
          <w:rFonts w:ascii="Arial" w:cs="Arial" w:eastAsia="Arial" w:hAnsi="Arial"/>
          <w:sz w:val="18"/>
          <w:szCs w:val="18"/>
          <w:color w:val="auto"/>
        </w:rPr>
        <w:t>became Executive Vice President and President Europe in September 2013. He served as President of the European and Global</w:t>
      </w:r>
      <w:r>
        <w:rPr>
          <w:rFonts w:ascii="Arial" w:cs="Arial" w:eastAsia="Arial" w:hAnsi="Arial"/>
          <w:sz w:val="18"/>
          <w:szCs w:val="18"/>
          <w:i w:val="1"/>
          <w:iCs w:val="1"/>
          <w:color w:val="auto"/>
        </w:rPr>
        <w:t xml:space="preserve"> </w:t>
      </w:r>
      <w:r>
        <w:rPr>
          <w:rFonts w:ascii="Arial" w:cs="Arial" w:eastAsia="Arial" w:hAnsi="Arial"/>
          <w:sz w:val="18"/>
          <w:szCs w:val="18"/>
          <w:color w:val="auto"/>
        </w:rPr>
        <w:t>Coffee category from September 2010 to September 2013. Prior to that, Mr. Weber held various positions of increasing responsibility. He joined Mondelēz International in 1988.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We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and will be provided free of charge to any shareholder submitting a written request to: Corporate Secretary, Mondelēz International, Inc., Three Parkway North, Deerfield, IL 60015.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w:t>
      </w:r>
    </w:p>
    <w:p>
      <w:pPr>
        <w:spacing w:after="0" w:line="20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 xml:space="preserve">In addition, we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and will be provided free of charge to any shareholder requesting a copy by writing to: Corporate Secretary, Mondelēz International, Inc., Three Parkway North, Deerfield, IL 60015.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You should read the following risk factors carefully when evaluating our business and the forward-looking information contained in this Annual Report on Form 10-K. Any of the following risks could materially and adversely affect our business, operating results, financial condition and the actual outcome of matters described in this Annual Report on Form 10-K. While we believe we have identified and discussed below the key risk factors affecting our business, there may be additional risks and uncertainties that we do not presently know or that we do not currently believe to be significant that may adversely affect our business, performance or financial condition in the future.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234" w:lineRule="exact"/>
        <w:rPr>
          <w:sz w:val="20"/>
          <w:szCs w:val="20"/>
          <w:color w:val="auto"/>
        </w:rPr>
      </w:pPr>
    </w:p>
    <w:p>
      <w:pPr>
        <w:jc w:val="both"/>
        <w:ind w:right="860"/>
        <w:spacing w:after="0"/>
        <w:rPr>
          <w:sz w:val="20"/>
          <w:szCs w:val="20"/>
          <w:color w:val="auto"/>
        </w:rPr>
      </w:pPr>
      <w:r>
        <w:rPr>
          <w:rFonts w:ascii="Arial" w:cs="Arial" w:eastAsia="Arial" w:hAnsi="Arial"/>
          <w:sz w:val="18"/>
          <w:szCs w:val="18"/>
          <w:color w:val="auto"/>
        </w:rPr>
        <w:t>The food and snacking industry is highly competitive. Our principal competitors include major international food, snack and beverage companies that operate in multiple geographic areas and numerous local and regional companies. If we do not effectively respond to challenges from our competitors, our business could be adversely affected.</w:t>
      </w:r>
    </w:p>
    <w:p>
      <w:pPr>
        <w:spacing w:after="0" w:line="20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Competitor and customer pressures may require that we reduce our prices. These pressures may also restrict our ability to increase prices in response to commodity and other cost increases. Failure to effectively and timely assess, change and set proper pricing or effective trade incentives may negatively impact our operating results and achievement of our strategic and financial goals. The rapid emergence of new distribution channels, such as e-commerce, may create consumer price deflation, affecting our retail customer relationships and presenting additional challenges to increasing prices in response to commodity or other cost increases. We may need to increase or reallocate spending on marketing, advertising, new product innovation, and existing and new distribution channels to protect or increase market share. These expenditures might not result in trade and consumer acceptance of our efforts. If we reduce prices or our costs increase but we cannot increase sales volumes to offset those changes, then our financial condition and results of operations will suffer.</w:t>
      </w:r>
    </w:p>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 addition, like other companies in our industry, we are under pressure to continue to improve the efficiency of our overall cost structure. We are pursuing a transformation agenda with the goals of focusing our portfolio, improving our cost structure and operating model, and accelerating our growth. If we do not achieve these objectives or do not implement transformation in a way that minimizes disruptions to our business, our financial condition and results of operations could be materially and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and enhancing our reputation and brand image is essential to our business success.</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success depends on our ability to maintain and enhance our brand quality and image, extend our brands into new geographies and to new distribution platforms, including e-commerce, and expand our brand image with new and renewed product offerings.</w:t>
      </w:r>
    </w:p>
    <w:p>
      <w:pPr>
        <w:spacing w:after="0" w:line="1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seek to enhance our brand image through product renovation, innovation and marketing investments, including advertising and consumer promotions. Failure to effectively address the continuing global focus on well-being, changing consumer perceptions of certain ingredients, nutritional expectations of our products, and increased attention from the media, shareholders, activists and other stakeholders on the role of food marketing could adversely affect our brand image. Undue caution or inaction on our part in addressing these challenges and trends could weaken our competitive position. Such pressures could also lead to stricter regulations and increased focus on food and snacking marketing practices. Increased legal or regulatory restrictions on our advertising, consumer promotions and labeling, or our response to those restrictions, could limit our efforts to maintain, extend and expand our brands. Moreover, adverse publicity or regulatory or legal action against us on product quality and safety, where we manufacture our products, or environmental risks or human and workplace rights across our supply chain could damage our reputation and brand image. Such actions could undermine our customers’ confidence and reduce demand for our products, even if the regulatory or legal action is unfounded or these matters are immaterial to our operations. Our product sponsorship relationships could also subject us to negative publicity.</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dissemination of marketing and advertising campaigns.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 sites (whether factual or not) or security breaches related to use of our social media and failure to respond effectively to these posts, comments or activities could seriously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spurious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image, then our brands, product sales, financial condition and results of operations could be materially and adversely affected.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234"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are a global company and generated 75.8% of our 2017 net revenues, 75.6% of our 2016 net revenues and 78.7% of our 2015 net revenues outside the United States. We manufacture and market our products in approximately 160 countries and have operations in more than 80 countries. Therefore, we are subject to risks inherent in global operations. Those risks include:</w:t>
      </w:r>
    </w:p>
    <w:p>
      <w:pPr>
        <w:spacing w:after="0" w:line="230" w:lineRule="exact"/>
        <w:rPr>
          <w:sz w:val="20"/>
          <w:szCs w:val="20"/>
          <w:color w:val="auto"/>
        </w:rPr>
      </w:pPr>
    </w:p>
    <w:p>
      <w:pPr>
        <w:ind w:left="900" w:right="1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spacing w:after="0" w:line="1" w:lineRule="exact"/>
        <w:rPr>
          <w:rFonts w:ascii="Arial" w:cs="Arial" w:eastAsia="Arial" w:hAnsi="Arial"/>
          <w:sz w:val="18"/>
          <w:szCs w:val="18"/>
          <w:color w:val="auto"/>
        </w:rPr>
      </w:pPr>
    </w:p>
    <w:p>
      <w:pPr>
        <w:ind w:left="900" w:right="6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and a variety of other local, national and multinational regulations and laws in multiple regimes;</w:t>
      </w:r>
    </w:p>
    <w:p>
      <w:pPr>
        <w:spacing w:after="0" w:line="1" w:lineRule="exact"/>
        <w:rPr>
          <w:rFonts w:ascii="Arial" w:cs="Arial" w:eastAsia="Arial" w:hAnsi="Arial"/>
          <w:sz w:val="18"/>
          <w:szCs w:val="18"/>
          <w:color w:val="auto"/>
        </w:rPr>
      </w:pPr>
    </w:p>
    <w:p>
      <w:pPr>
        <w:ind w:left="900" w:right="16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developing markets such as Argentina, Brazil, China, Mexico, Russia, Turkey, Egypt, Nigeria, Ukraine and South Africa as well as in developed markets such as the United Kingdom and other countries within the European Union;</w:t>
      </w:r>
    </w:p>
    <w:p>
      <w:pPr>
        <w:spacing w:after="0" w:line="2" w:lineRule="exact"/>
        <w:rPr>
          <w:rFonts w:ascii="Arial" w:cs="Arial" w:eastAsia="Arial" w:hAnsi="Arial"/>
          <w:sz w:val="18"/>
          <w:szCs w:val="18"/>
          <w:color w:val="auto"/>
        </w:rPr>
      </w:pPr>
    </w:p>
    <w:p>
      <w:pPr>
        <w:ind w:left="900" w:right="26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increased or new tariffs, quotas, trade barriers or similar restrictions on our sales or key commodities like cocoa, potential changes in U.S. trade programs and trade relations with other countries, or regulations, taxes or policies that might negatively affect our sales;</w:t>
      </w:r>
    </w:p>
    <w:p>
      <w:pPr>
        <w:spacing w:after="0" w:line="2" w:lineRule="exact"/>
        <w:rPr>
          <w:rFonts w:ascii="Arial" w:cs="Arial" w:eastAsia="Arial" w:hAnsi="Arial"/>
          <w:sz w:val="18"/>
          <w:szCs w:val="18"/>
          <w:color w:val="auto"/>
        </w:rPr>
      </w:pPr>
    </w:p>
    <w:p>
      <w:pPr>
        <w:jc w:val="both"/>
        <w:ind w:left="900" w:right="6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such as demonetization in India or other limits on our ability to import raw materials or finished product into various countries or repatriate cash from outside the United States;</w:t>
      </w:r>
    </w:p>
    <w:p>
      <w:pPr>
        <w:spacing w:after="0" w:line="2" w:lineRule="exact"/>
        <w:rPr>
          <w:rFonts w:ascii="Arial" w:cs="Arial" w:eastAsia="Arial" w:hAnsi="Arial"/>
          <w:sz w:val="18"/>
          <w:szCs w:val="18"/>
          <w:color w:val="auto"/>
        </w:rPr>
      </w:pPr>
    </w:p>
    <w:p>
      <w:pPr>
        <w:ind w:left="900" w:right="16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sovereign risk, such as default by or deterioration in the economies and credit ratings of governments, particularly in our Latin America and AMEA regions;</w:t>
      </w:r>
    </w:p>
    <w:p>
      <w:pPr>
        <w:spacing w:after="0" w:line="1" w:lineRule="exact"/>
        <w:rPr>
          <w:rFonts w:ascii="Arial" w:cs="Arial" w:eastAsia="Arial" w:hAnsi="Arial"/>
          <w:sz w:val="18"/>
          <w:szCs w:val="18"/>
          <w:color w:val="auto"/>
        </w:rPr>
      </w:pPr>
    </w:p>
    <w:p>
      <w:pPr>
        <w:ind w:left="900" w:right="2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regulations and laws, the uncertainty of enforcement of remedies in non-U.S. jurisdictions, and foreign ownership restrictions and the potential for nationalization or expropriation of property or other resources;</w:t>
      </w:r>
    </w:p>
    <w:p>
      <w:pPr>
        <w:spacing w:after="0" w:line="1" w:lineRule="exact"/>
        <w:rPr>
          <w:rFonts w:ascii="Arial" w:cs="Arial" w:eastAsia="Arial" w:hAnsi="Arial"/>
          <w:sz w:val="18"/>
          <w:szCs w:val="18"/>
          <w:color w:val="auto"/>
        </w:rPr>
      </w:pPr>
    </w:p>
    <w:p>
      <w:pPr>
        <w:ind w:left="9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ind w:left="9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ind w:left="9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political and economic changes or volatility, geopolitical regional conflicts, terrorist activity, political unrest, civil strife, acts of war, travel or immigration restrictions, public corruption, expropriation and other economic or political uncertainties could interrupt and negatively affect our business operations or customer demand. High unemployment or the slowdown in economic growth in some markets could constrain consumer spending. Declining consumer purchasing power could result in loss of market share and adversely impact our profitability. Continued instability in the banking and governmental sectors of certain countries or the dynamics and uncertainties associated with the United Kingdom’s planned exit from the European Union (“Brexit”), including currency exchange rate fluctuations and volatility in global stock markets, could have a negative effect on our business. All of these factors could result in increased costs or decreased revenues, and could materially and adversely affect our product sales, financial condition, results of operations, and our relationships with customers, suppliers and employees in the short or long term.</w:t>
      </w:r>
    </w:p>
    <w:p>
      <w:pPr>
        <w:spacing w:after="0" w:line="18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Tax matters, including changes in tax laws and rates, disagreements with taxing authorities and imposition of new taxes, could adversely impact our results of operations and financial condition.</w:t>
      </w:r>
    </w:p>
    <w:p>
      <w:pPr>
        <w:spacing w:after="0" w:line="17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December 2017, the United States enacted tax reform legislation (“U.S. tax reform”). The legislation implements many new U.S. domestic and international tax provisions. Many aspects of the U.S. tax reform are unclear, and although additional clarifying guidance is expected to be issued in the future (by the Internal Revenue Service (“IRS”), the U.S. Treasury Department or via a technical correction law change), it may not be clarified for some time. In addition, many U.S. states have not yet updated their laws to take into account the new federal legislation. As a result, we have not yet been able to determine the full impact of the new laws on our results of operations and financial condition. It is possible that U.S. tax reform, or interpretations under it, could change and could have an adverse effect on us, and such effect could be material.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addition, foreign jurisdictions may also enact tax legislation that could significantly affect our ongoing operations. For example, foreign tax authorities could impose rate changes along with additional corporate tax provisions that would disallow or tax perceived base erosion or profit shifting. Aspects of U.S. tax reform may lead foreign jurisdictions to respond by enacting additional tax legislation that is unfavorable to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Adverse changes in the underlying profitability or financial outlook of our operations in several jurisdictions could lead to changes in the realizability of our deferred tax assets and result in a charge to our income tax provision. Additionally, changes in tax laws in the U.S. or in other countries where we have significant operations could materially affect deferred tax assets and liabilities and our income tax provision.</w:t>
      </w:r>
    </w:p>
    <w:p>
      <w:pPr>
        <w:spacing w:after="0" w:line="203"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income tax provision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Russia, Argentina, Ukraine, the Middle East, Africa and Southeast Asia.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and results of operations.</w:t>
      </w:r>
    </w:p>
    <w:p>
      <w:pPr>
        <w:spacing w:after="0" w:line="20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 cost local manufacturers improve and expand their production capacities. Our success in emerging markets is critical to achieving our growth strategy. If we cannot successfully increase our business in emerging markets and manage associated political, economic and regulatory risks, our product sales, financial condition and results of operations could be adversely affected, such as occurred when we deconsolidated and changed to the cost method of accounting for our Venezuelan operations at the close of 2015 or any potential impact on our business in Venezuela from future economic or political developments.</w:t>
      </w:r>
    </w:p>
    <w:p>
      <w:pPr>
        <w:spacing w:after="0" w:line="18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Our use of information technology and third party service providers exposes us to cybersecurity breaches and other business disruptions that could adversely affect us.</w:t>
      </w:r>
    </w:p>
    <w:p>
      <w:pPr>
        <w:spacing w:after="0" w:line="17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use information technology and third party service providers to support our global business processes and activities, including supporting critical business operations; communicating with our suppliers, customers and employees; maintaining effective accounting processes and financial and disclosure controls; engaging in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amount of services to conduct our business, including a number of accounting, internal control, human resources and computing functions.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Continuity of business applications and services has been, and may in the future be, disrupted by events such as infection by viruses or malware, like the global malware incident in June 2017 that affected a significant portion of our global sales, distribution and financial networks (the “malware incident”) (see </w:t>
      </w:r>
      <w:r>
        <w:rPr>
          <w:rFonts w:ascii="Arial" w:cs="Arial" w:eastAsia="Arial" w:hAnsi="Arial"/>
          <w:sz w:val="18"/>
          <w:szCs w:val="18"/>
          <w:i w:val="1"/>
          <w:iCs w:val="1"/>
          <w:color w:val="auto"/>
        </w:rPr>
        <w:t>Management’s Discussion and Analysis of Financial Condition and Results of Operations – Malware Incident</w:t>
      </w:r>
      <w:r>
        <w:rPr>
          <w:rFonts w:ascii="Arial" w:cs="Arial" w:eastAsia="Arial" w:hAnsi="Arial"/>
          <w:sz w:val="18"/>
          <w:szCs w:val="18"/>
          <w:color w:val="auto"/>
        </w:rPr>
        <w:t>); other cybersecurity attacks; issues with or errors in systems’ maintenance or security; migration of applications to the cloud; power outages; hardware or software failures; denial of service; telecommunication failures; natural disasters; terrorist attacks; and other catastrophic occurrences. Further, cybersecurity breaches of our or third party systems, whether from circumvention of security systems, denial-of-service attacks or other cyberattacks, hacking, phishing attacks, computer viruses, ransomware or malware, employee or insider error, malfeasance, social engineering, physical breaches or other actions may cause confidential information belonging to us or our employees, customers, consumers, partners, suppliers, or governmental or regulatory authorities to be misused or breached. When risks such as these materialize, the need for us to coordinate with various third party service providers and for third party service providers to coordinate amongst themselves might make it more challenging to resolve the related issues. Additionally, if new initiatives, such as those related to e-commerce and direct sales, increase the amount of confidential information that we process and maintain, this could increase our potential exposure to a cybersecurity breach. If our controls, disaster recovery and business continuity plans or those of our third party providers do not effectively respond to or resolve the issues related to any such disruptions in a timely manner, our product sales, financial condition and results of operations may be materially and adversely affected, and we might experience delays in reporting our financial results, loss of intellectual property and damage to our reputation or brands.</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continue to devote focused resources to network security, backup and disaster recovery, enhanced training and other security measures to protect our systems and data; we are also in the process of enhancing the monitoring and detection of threats in our environment. However, security measures cannot provide absolute security or guarantee that we will be successful in preventing or responding to every breach or disruption on a timely basis. In addition, due to the constantly evolving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regularly move data across national borders to conduct our operations and consequently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country to country and may create inconsistent or conflicting requirements. The European Union’s General Data Protection Regulation (“GDPR”), which greatly increases the jurisdictional reach of European Union law and becomes effective in May 2018, adds a broad array of requirements for handling personal data including the public disclosure of significant data breaches, and imposes substantial penalties for non-compliance of up to the greater of €20 million or 4% of global annual revenue for the preceding financial year. Our efforts to comply with GDPR and other privacy and data protection laws may impose significant costs and challenges that are likely to increase over time, and we could incur substantial penalties or litigation related to violation of existing or future data privacy laws and regulations.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business disruptions could adversely affect our ability to provide our products to our customers.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manufacture and source products and materials on a global scale. We utilize an integrated supply chain – a complex network of suppliers and material needs, owned manufacturing locations, co-manufacturing locations, distribution networks, shared service delivery centers and information systems that support our ability to provide our products to our customers consistently. Factors that are hard to predict or beyond our control, like weather (including any potential effects of climate change), natural disasters, supply and commodity shortages, fire, explosions, terrorism, political unrest, cybersecurity breaches, generalized labor unrest or health pandemics could damage or disrupt our operations or our suppliers’ or co-manufacturers’ operations. If we do not effectively respond to disruptions in our operations, for example, by finding alternative suppliers or replacing capacity at key or sole manufacturing or distribution locations, or cannot quickly repair damage to our information, production or supply systems, we may be late in delivering or unable to deliver products to our customers such as occurred in connection with the malware incident (see </w:t>
      </w:r>
      <w:r>
        <w:rPr>
          <w:rFonts w:ascii="Arial" w:cs="Arial" w:eastAsia="Arial" w:hAnsi="Arial"/>
          <w:sz w:val="18"/>
          <w:szCs w:val="18"/>
          <w:i w:val="1"/>
          <w:iCs w:val="1"/>
          <w:color w:val="auto"/>
        </w:rPr>
        <w:t>Management’s Discussion and Analysis of Financial Condition and Results of Operations – Malware Incident</w:t>
      </w:r>
      <w:r>
        <w:rPr>
          <w:rFonts w:ascii="Arial" w:cs="Arial" w:eastAsia="Arial" w:hAnsi="Arial"/>
          <w:sz w:val="18"/>
          <w:szCs w:val="18"/>
          <w:color w:val="auto"/>
        </w:rPr>
        <w:t>), and the quality and safety of our products might be negatively affected. If a material or extended disruption occurs, we may lose our customers’ or business partners’ confidence or suffer damage to our reputation, and long-term consumer demand for our products could decline. In addition, we might not have the functions, processes or organizational capability necessary to achieve on our anticipated timeframes our strategic ambition to reconfigure our supply chain and drive efficiencies to fuel growth. Further, our ability to supply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multiple markets with a streamlined manufacturing footprint may be negatively impacted by portfolio complexity, significant changes in trade policies, changes in volume produced and changes to regulatory restrictions or labor-related constraints on our ability to adjust production capacity in the markets in which we operate. These events could materially and adversely affect our product sales,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December 31, 2017, we sold our products in approximately 160 countries and had operations in more than 80 countries. Consequently, a significant portion of our business is exposed to currency exchange rate fluctuations. Our financial results and capital ratios are sensitive to movements in currency exchange rates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can affect transaction costs because we source product ingredients from various countries. We seek to mitigate our exposure to exchange rate fluctuations, primarily on cross-currency transactions, but our efforts may not be successful. Accordingly, changes in the currency exchange rates that we use to translate our results into U.S. dollars for financial reporting purposes or for transactions involving multiple currencies could materially and adversely affect our financial condition and results of operations.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packaging materials to package our products and natural gas, fuels and electricity for our factories and warehouses. Prices for these raw materials, other supplies and energy are volatile and can fluctuate due to conditions that are difficult to predict. These conditions include global competition for resources, currency fluctuations, political conditions, severe weather, the potential longer-term consequences of climate change on agricultural productivity, crop disease or pests, water risk, health pandemics, consumer or industrial demand, and changes in governmental trade, alternative energy and agricultural programs. Increasing focus on climate change, deforestation, water, plastic waste, animal welfare and human rights concerns and other risks associated with the global food system may lead to increased government intervention and consumer or activist responses, and could adversely affect our or our suppliers’ reputation and business and our ability to procure the materials we need to operate our business. Many of the commodities we purchase are grown by smallholder farmers, and they might lack the capacity to invest to increase productivity or adapt to changing conditions. Although we monitor our exposure to commodity prices and hedge against input price increases, we cannot fully hedge against changes in commodity costs, and our hedging strategies may not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higher input costs, may result in lower sales volumes, while decreases in input costs could require us to lower our prices and thereby affect our revenues, profits or margins. Likewise, constraints in the supply of key commodities may limit our ability to grow our net revenues and earnings. If our mitigation activities are not effective, if we are unable to price to cover increased costs or must reduce our prices, or if we are limited by supply constraints, our financial condition and results of operations could be materially adversely affected.</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Complying with changes in and inconsistencies among laws and regulations in many countries in which we operate could increase our costs.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activities throughout the world are highly regulated and subject to government oversight. Various laws and regulations govern food production, packaging, storage, distribution, sales, advertising, labeling and marketing, as well as licensing, trade, labor, tax and environmental matters, and health and safety practices. Government authorities regularly change laws and regulations as well as their interpretations. Our compliance with new or revised laws and regulations or the interpretation and application of existing laws and regulations could materially and adversely affect our product sales, financial condition and results of operations. For instance, our financial condition and results of operations could be negatively affected by the regulatory and economic impact of changes in taxation and trade relations among the United States and other countries, including any changes to or repeal of the North American Free Trade Agreement, or changes in the European Union such as Brexit.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manage changes in our workforce.</w:t>
      </w:r>
    </w:p>
    <w:p>
      <w:pPr>
        <w:spacing w:after="0" w:line="17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must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Unplanned turnover, failure to attract and develop personnel with key emerging capabilities such as e-commerce and digital marketing skills, or failure to develop adequate succession plans for leadership positions or to hire and retain a diverse global workforce with the skills and in the locations we need to operate and grow our business could deplete our institutional knowledge base and erode our competitiveness. Changes in immigration laws and policies could also make it more difficult for us to recruit or relocate skilled employees.</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also face increased personnel-related risks in connection with implementing the changes in our transformation agenda related to our operating model and business processes, including building a global shared services capability and reconfiguring our supply chain. These risks could lead to operational challenges, including increased competition for employees with the skills we require to achieve our business goals; higher employee turnover, including of employees with key capabilities; and challenges in developing the capabilities necessary to build and effectively execute a shared services function and transform our business processes. Furthermore, we might be unable to manage appropriately changes in, or that affect, our workforce or satisfy the legal requirements associated with how we manage and compensate our employees. This includes our management of employees represented by labor unions or workers’ councils, who represent approximately 64% of our 71,000 employees outside the United States and approximately 28% of our 12,000 U.S. employees. Strikes, work stoppages or other forms of labor unrest by our employees or those of our suppliers or distributors, or situations like the renegotiation of collective bargaining agreements that expired in February 2016 and that cover eight U.S. facilities, could cause disruptions to our supply chain, manufacturing or distribution processes.</w:t>
      </w:r>
    </w:p>
    <w:p>
      <w:pPr>
        <w:spacing w:after="0" w:line="20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These risks could materially and adversely affect our reputation, ability to meet the needs of our customers, product sales, financial condition and results of operations.</w:t>
      </w:r>
    </w:p>
    <w:p>
      <w:pPr>
        <w:spacing w:after="0" w:line="17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Retail customers, such as supermarkets,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Consumers may not buy our products if consumers perceive little difference between the quality or value of our products and those of retailer or other economy brands. If consumers switch to purchasing or otherwise prefer the retailer or other economy brands, then we could lose market share or sales volumes, or we may need to shift our product mix to lower margin offerings.</w:t>
      </w:r>
    </w:p>
    <w:p>
      <w:pPr>
        <w:spacing w:after="0" w:line="206"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0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If we do not effectively respond to retail consolidation, increasing retail power and competition from retailer and other economy brands, our reputation, brands, product sales, financial condition and results of operations could be materially and adversely affected.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or suppliers.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2017, our five largest customers accounted for 15.6%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significant customers could result in a material reduction in sales or change in the mix of products we sell to a significant customer. This could materially and adversely affect our product sales, financial condition and results of operations.</w:t>
      </w:r>
    </w:p>
    <w:p>
      <w:pPr>
        <w:spacing w:after="0" w:line="20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Additionally, disputes with significant suppliers, including disputes related to pricing or performance, could adversely affect our ability to supply products to our customers or operate our business and could materially and adversely affect our product sales,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product mislabeling or product tampering.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and results of operations.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also suffer losses if our products or operations or those of our suppliers violate applicable laws or regulations, or if our or our suppliers’ products cause injury, illness or death. In addition, our marketing could face claims of false or deceptive advertising or other criticism. A significant product liability or other legal 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product inventory,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legal or tax claims or other regulatory enforcement actions.</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are a large snack food company operating in highly regulated environments and constantly evolving legal, tax and regulatory frameworks around the world. Consequently, we are subject to greater risk of litigation, legal or tax claims, or other regulatory enforcement actions. There can be no assurance that our employees, contractors or agents will not violate policies and procedures we have implemented to promote compliance with existing laws and regulations. Moreover, a failure to maintain effective control environment processes, including in connection with the development of our global shared services capability, could lead to violations, unintentional or otherwise, of laws and regulations. Litigation, legal or tax claims, or regulatory enforcement actions arising out of our failure or alleged failure to comply with applicable laws, regulations or controls, could subject us to civil and criminal penalties that could materially and adversely affect our reputation, product sales, financial condition and results of operations.</w:t>
      </w:r>
    </w:p>
    <w:p>
      <w:pPr>
        <w:spacing w:after="0" w:line="186"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We must correctly predict, identify and interpret changes in consumer preferences and demand and offer new and improved products that meet those changes.</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and interpret the tastes, dietary habits, packaging, sales channel and other preferences of consumers around the world and to offer products that appeal to these preferences. Moreover, weak economic conditions, recession, equity market volatility or other factors, such as severe weather events, could affect consumer preferences and demand. If we do not offer products that appeal to consumers or if we misjudge consumer demand for our products, our sales and market share will decrease and our profitability could suffer.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If we do not accurately predict which shifts in consumer preferences or category trends will be long-term, or if we fail to introduce new and improved products to satisfy those changing preferences, our sales could decline. In addition, because of our varied and geographically diverse consumer base, we must offer an array of products that satisfy the broad spectrum of consumer preferences. If we fail to expand our product offerings successfully across product categories, or if we do not rapidly develop products in faster growing and more profitable categories, demand for our products could decrease and our profitability could suffer.</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Prolonged negative perceptions concerning the health, environmental and social implications of certain food products and ingredients could influence consumer preferences and acceptance of some of our products and marketing programs. For example, consumers have increasingly focused on well-being, including reducing sodium and added sugar consumption. Developing more well-being products and contemporizing our brands by refining their ingredient and nutrition profiles are critical to our growth. In addition, consumer preferences differ by region, and we must monitor and adjust our use of ingredients to respond to these regional preferences. We might be unsuccessful in our efforts to effectively respond to changing consumer preferences and social expectations. Continued negative perceptions and failure to satisfy consumer preferences could materially and adversely affect our reputation, product sales,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regularly evaluate a variety of potential strategic transactions, including acquisitions, divestitures, joint ventures, equity method investments and other strategic alliances that could further our strategic business objectives. We may not successfully identify, complete or manage the risks presented by these strategic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integrate or separate businesses; realize the full extent of the benefits, cost savings or synergies presented by strategic transactions; effectively implement control environment processes with employees joining us as a result of a transaction;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as appropriate, redundant and underperforming operations and assets; manage inefficiencies associated with the integration of operations; and coordinate timely and ongoing compliance with antitrust and competition laws in the United States, the European Union and other jurisdictions. Joint ventures and similar strategic alliances pose additional risks, as we share ownership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 Either partner might fail to recognize an alliance relationship that could expose the business to higher risk or make the venture not as productive as expected.</w:t>
      </w:r>
    </w:p>
    <w:p>
      <w:pPr>
        <w:spacing w:after="0" w:line="20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recognize impairment charges or to take action to reduce costs that remain after we complete a divestiture. Gains or losses on the sales of, or lost operating income from, those businesses may also affect our profitability.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materially and adversely affect our business, product sales, financial condition and results of operations.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controls sufficient to provide reasonable assurance with respect to the preparation and fair presentation of our financial statements, including in connection with controls executed for us by third parties, we might fail to timely detect any misappropriation of corporate assets or inappropriate allocation or use of funds and could be unable to file accurate financial reports on a timely basis. As a result, our reputation, results of operations and stock price could be materially adversely affected.</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Weak financial performance, downgrades in our credit ratings, illiquid global capital markets and volatile global economic conditions could limit our access to the global capital markets, reduce our liquidity and increase our borrowing costs.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short-and long-term debt credit ratings, interest rates, the stability of financial institutions with which we partner, the liquidity of the overall global capital markets and the state of the global economy, including the food industry, could affect our access to, and the availability or cost of, financing on acceptable terms and conditions and our ability to pay dividends in the future. There can be no assurance that we will have access to the global capital markets on terms we find acceptable.</w:t>
      </w:r>
    </w:p>
    <w:p>
      <w:pPr>
        <w:spacing w:after="0" w:line="20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20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and results of operations.</w:t>
      </w:r>
    </w:p>
    <w:p>
      <w:pPr>
        <w:spacing w:after="0" w:line="17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Volatility in the equity markets, interest rates, our participation in multiemployer pension plans and other factors could increase our costs relating to our employees’ pensions.</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sponsor a number of defined benefit pension plans for our employees throughout the world and also contribute toward our employees’ pensions under defined benefit plans that we do not sponsor. At the end of 2017, the projected benefit obligation of the defined benefit pension plans we sponsor was $12.6 billion and plan assets were $11.0 billion.</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mortality rates, early retirement rates, investment returns, funding requirements in the jurisdictions in which the plans operate and the market value of plan assets can affect the level of plan funding, cause volatility in the net periodic pension cost and increase our future funding requirements. Legislative and other governmental regulatory actions may also increase funding requirements for our pension plans’ benefits obligation. Volatility in the global capital markets may increase the risk that we will be required to make additional cash contributions to the pension plans and recognize further increases in our net periodic pension cost.</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We also participate in multiemployer pension plans. Our exposure under those plans may extend beyond what our obligation would be with respect to our own employees. Our contributions to a multiemployer plan may increase beyond our bargaining obligations depending on the financial condition of the multiemployer plan and the financial viability of other employers in the plan. We may be required to participate in funding the unfunded obligations of the plan allocable to a withdrawing employer, and our costs might increase as a result. Further, if we partially or completely withdraw from a multiemployer pension plan, we may be required to pay a partial or complete withdrawal liability. This withdrawal liability will generally increase if there is also a mass withdrawal of other participating employers or if the plan terminates.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significant increase in our pension benefit obligations or funding requirements could curtail our ability to invest in the business and adversely affect our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protect our valuable intellectual property rights could reduce the value of our products and brands.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trade secrets, copyrights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 party nondisclosure and assignment agreements and policing of third party misuses of our intellectual property. Our failure to obtain or adequately protect our intellectual property rights, or any change in law or other changes that serve to lessen or remove the current legal protections of our intellectual property, may diminish our competitiveness and could materially harm our business.</w:t>
      </w:r>
    </w:p>
    <w:p>
      <w:pPr>
        <w:spacing w:after="0" w:line="20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may be unaware of third 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 party claims of intellectual property infringement might require us to pay monetary damages or enter into costly license agreements. We also may be subject to injunctions against development and sale of certain of our products. Any of these occurrences could materially and adversely affect our reputation, ability to introduce new products or improve the quality of existing products, product sales,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December 31, 2017, we had approximately 138 manufacturing and processing facilities in 51 countries and 108 distribution centers and depots worldwide. During 2017, we disposed of 12 manufacturing facilities mainly in business divestitures and we reduced the number of distribution centers we own or lease by 22. In addition to our owned or leased properties listed below,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220" w:lineRule="exact"/>
        <w:rPr>
          <w:sz w:val="20"/>
          <w:szCs w:val="20"/>
          <w:color w:val="auto"/>
        </w:rPr>
      </w:pPr>
    </w:p>
    <w:tbl>
      <w:tblPr>
        <w:tblLayout w:type="fixed"/>
        <w:tblInd w:w="15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1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tcBorders>
              <w:top w:val="single" w:sz="8" w:color="auto"/>
            </w:tcBorders>
            <w:gridSpan w:val="3"/>
          </w:tcPr>
          <w:p>
            <w:pPr>
              <w:jc w:val="center"/>
              <w:ind w:right="740"/>
              <w:spacing w:after="0" w:line="143" w:lineRule="exact"/>
              <w:rPr>
                <w:sz w:val="20"/>
                <w:szCs w:val="20"/>
                <w:color w:val="auto"/>
              </w:rPr>
            </w:pPr>
            <w:r>
              <w:rPr>
                <w:rFonts w:ascii="Arial" w:cs="Arial" w:eastAsia="Arial" w:hAnsi="Arial"/>
                <w:sz w:val="14"/>
                <w:szCs w:val="14"/>
                <w:b w:val="1"/>
                <w:bCs w:val="1"/>
                <w:color w:val="auto"/>
              </w:rPr>
              <w:t>Number of</w:t>
            </w: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9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Manufacturing</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9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Facilities</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AMEA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North America</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Owned</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2"/>
            <w:vMerge w:val="continue"/>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7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gridSpan w:val="2"/>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820" w:right="1920" w:hanging="340"/>
        <w:spacing w:after="0" w:line="279" w:lineRule="auto"/>
        <w:tabs>
          <w:tab w:leader="none" w:pos="1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Excludes our deconsolidated Venezuela operations. See Note 1, </w:t>
      </w:r>
      <w:r>
        <w:rPr>
          <w:rFonts w:ascii="Arial" w:cs="Arial" w:eastAsia="Arial" w:hAnsi="Arial"/>
          <w:sz w:val="14"/>
          <w:szCs w:val="14"/>
          <w:i w:val="1"/>
          <w:iCs w:val="1"/>
          <w:color w:val="auto"/>
        </w:rPr>
        <w:t>Summary of Significant Accounting Policies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 xml:space="preserve">We have listed our Common Stock on The Nasdaq Global Select Market under the symbol “MDLZ.” At January 31, 2018, there were 52,572 holders of record of our Common Stock. Information regarding the market price of our Common Stock and dividends declared during the last two fiscal years is included in Note 17, </w:t>
      </w:r>
      <w:r>
        <w:rPr>
          <w:rFonts w:ascii="Arial" w:cs="Arial" w:eastAsia="Arial" w:hAnsi="Arial"/>
          <w:sz w:val="18"/>
          <w:szCs w:val="18"/>
          <w:i w:val="1"/>
          <w:iCs w:val="1"/>
          <w:color w:val="auto"/>
        </w:rPr>
        <w:t>Quarterly Financial Data (Unaudited)</w:t>
      </w:r>
      <w:r>
        <w:rPr>
          <w:rFonts w:ascii="Arial" w:cs="Arial" w:eastAsia="Arial" w:hAnsi="Arial"/>
          <w:sz w:val="18"/>
          <w:szCs w:val="18"/>
          <w:color w:val="auto"/>
        </w:rPr>
        <w:t>,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146050</wp:posOffset>
            </wp:positionV>
            <wp:extent cx="5008245" cy="2950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0824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Arial" w:cs="Arial" w:eastAsia="Arial" w:hAnsi="Arial"/>
                <w:sz w:val="14"/>
                <w:szCs w:val="14"/>
                <w:b w:val="1"/>
                <w:bCs w:val="1"/>
                <w:color w:val="auto"/>
              </w:rPr>
              <w:t>Mondelēz</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Performance</w:t>
            </w:r>
          </w:p>
        </w:tc>
      </w:tr>
      <w:tr>
        <w:trPr>
          <w:trHeight w:val="175"/>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International</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S&amp;P 500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Peer Group</w:t>
            </w:r>
          </w:p>
        </w:tc>
      </w:tr>
      <w:tr>
        <w:trPr>
          <w:trHeight w:val="196"/>
        </w:trPr>
        <w:tc>
          <w:tcPr>
            <w:tcW w:w="1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2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3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141.09</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132.39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119.11</w:t>
            </w:r>
          </w:p>
        </w:tc>
        <w:tc>
          <w:tcPr>
            <w:tcW w:w="60" w:type="dxa"/>
            <w:vAlign w:val="bottom"/>
          </w:tcPr>
          <w:p>
            <w:pPr>
              <w:spacing w:after="0"/>
              <w:rPr>
                <w:sz w:val="17"/>
                <w:szCs w:val="17"/>
                <w:color w:val="auto"/>
              </w:rPr>
            </w:pPr>
          </w:p>
        </w:tc>
      </w:tr>
      <w:tr>
        <w:trPr>
          <w:trHeight w:val="203"/>
        </w:trPr>
        <w:tc>
          <w:tcPr>
            <w:tcW w:w="1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2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147.56</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150.51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128.15</w:t>
            </w:r>
          </w:p>
        </w:tc>
        <w:tc>
          <w:tcPr>
            <w:tcW w:w="60" w:type="dxa"/>
            <w:vAlign w:val="bottom"/>
            <w:shd w:val="clear" w:color="auto" w:fill="CCEEFF"/>
          </w:tcPr>
          <w:p>
            <w:pPr>
              <w:spacing w:after="0"/>
              <w:rPr>
                <w:sz w:val="17"/>
                <w:szCs w:val="17"/>
                <w:color w:val="auto"/>
              </w:rPr>
            </w:pPr>
          </w:p>
        </w:tc>
      </w:tr>
      <w:tr>
        <w:trPr>
          <w:trHeight w:val="203"/>
        </w:trPr>
        <w:tc>
          <w:tcPr>
            <w:tcW w:w="13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185.03</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152.59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131.35</w:t>
            </w:r>
          </w:p>
        </w:tc>
        <w:tc>
          <w:tcPr>
            <w:tcW w:w="60" w:type="dxa"/>
            <w:vAlign w:val="bottom"/>
          </w:tcPr>
          <w:p>
            <w:pPr>
              <w:spacing w:after="0"/>
              <w:rPr>
                <w:sz w:val="17"/>
                <w:szCs w:val="17"/>
                <w:color w:val="auto"/>
              </w:rPr>
            </w:pPr>
          </w:p>
        </w:tc>
      </w:tr>
      <w:tr>
        <w:trPr>
          <w:trHeight w:val="203"/>
        </w:trPr>
        <w:tc>
          <w:tcPr>
            <w:tcW w:w="1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2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186.08</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170.84</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135.12</w:t>
            </w:r>
          </w:p>
        </w:tc>
        <w:tc>
          <w:tcPr>
            <w:tcW w:w="60" w:type="dxa"/>
            <w:vAlign w:val="bottom"/>
            <w:shd w:val="clear" w:color="auto" w:fill="CCEEFF"/>
          </w:tcPr>
          <w:p>
            <w:pPr>
              <w:spacing w:after="0"/>
              <w:rPr>
                <w:sz w:val="17"/>
                <w:szCs w:val="17"/>
                <w:color w:val="auto"/>
              </w:rPr>
            </w:pPr>
          </w:p>
        </w:tc>
      </w:tr>
      <w:tr>
        <w:trPr>
          <w:trHeight w:val="217"/>
        </w:trPr>
        <w:tc>
          <w:tcPr>
            <w:tcW w:w="1320" w:type="dxa"/>
            <w:vAlign w:val="bottom"/>
          </w:tcPr>
          <w:p>
            <w:pPr>
              <w:spacing w:after="0"/>
              <w:rPr>
                <w:sz w:val="20"/>
                <w:szCs w:val="20"/>
                <w:color w:val="auto"/>
              </w:rPr>
            </w:pPr>
            <w:r>
              <w:rPr>
                <w:rFonts w:ascii="Arial" w:cs="Arial" w:eastAsia="Arial" w:hAnsi="Arial"/>
                <w:sz w:val="18"/>
                <w:szCs w:val="18"/>
                <w:color w:val="auto"/>
              </w:rPr>
              <w:t>2017</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183.14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208.14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156.68</w:t>
            </w:r>
          </w:p>
        </w:tc>
        <w:tc>
          <w:tcPr>
            <w:tcW w:w="60" w:type="dxa"/>
            <w:vAlign w:val="bottom"/>
          </w:tcPr>
          <w:p>
            <w:pPr>
              <w:spacing w:after="0"/>
              <w:rPr>
                <w:sz w:val="18"/>
                <w:szCs w:val="18"/>
                <w:color w:val="auto"/>
              </w:rPr>
            </w:pPr>
          </w:p>
        </w:tc>
      </w:tr>
    </w:tbl>
    <w:p>
      <w:pPr>
        <w:spacing w:after="0" w:line="2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Kellogg Company, The Kraft Heinz Company, Nestlé S.A., PepsiCo, Inc., The Procter &amp; Gamble Company and Unilever PLC. The Kraft Heinz Company performance history is included for 2016 and 2017 only as the company was formed in 2015.</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2017 was: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6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October 1-31, 2017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November 1-30, 2017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1-31, 2017</w:t>
      </w:r>
    </w:p>
    <w:p>
      <w:pPr>
        <w:spacing w:after="0" w:line="36"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For the Quarter Ended</w:t>
      </w:r>
    </w:p>
    <w:p>
      <w:pPr>
        <w:spacing w:after="0" w:line="7"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December 31, 2017</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Part of Publicly</w:t>
            </w:r>
          </w:p>
        </w:tc>
        <w:tc>
          <w:tcPr>
            <w:tcW w:w="1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Announced</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of Shares That May Yet</w:t>
            </w:r>
          </w:p>
        </w:tc>
      </w:tr>
      <w:tr>
        <w:trPr>
          <w:trHeight w:val="159"/>
        </w:trPr>
        <w:tc>
          <w:tcPr>
            <w:tcW w:w="96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color w:val="auto"/>
              </w:rPr>
              <w:t>of Shares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660"/>
              <w:spacing w:after="0" w:line="159" w:lineRule="exact"/>
              <w:rPr>
                <w:sz w:val="20"/>
                <w:szCs w:val="20"/>
                <w:color w:val="auto"/>
              </w:rPr>
            </w:pPr>
            <w:r>
              <w:rPr>
                <w:rFonts w:ascii="Arial" w:cs="Arial" w:eastAsia="Arial" w:hAnsi="Arial"/>
                <w:sz w:val="14"/>
                <w:szCs w:val="14"/>
                <w:b w:val="1"/>
                <w:bCs w:val="1"/>
                <w:color w:val="auto"/>
              </w:rPr>
              <w:t>Price Paid</w:t>
            </w:r>
          </w:p>
        </w:tc>
        <w:tc>
          <w:tcPr>
            <w:tcW w:w="1600" w:type="dxa"/>
            <w:vAlign w:val="bottom"/>
            <w:gridSpan w:val="2"/>
          </w:tcPr>
          <w:p>
            <w:pPr>
              <w:jc w:val="center"/>
              <w:ind w:right="560"/>
              <w:spacing w:after="0" w:line="159" w:lineRule="exact"/>
              <w:rPr>
                <w:sz w:val="20"/>
                <w:szCs w:val="20"/>
                <w:color w:val="auto"/>
              </w:rPr>
            </w:pPr>
            <w:r>
              <w:rPr>
                <w:rFonts w:ascii="Arial" w:cs="Arial" w:eastAsia="Arial" w:hAnsi="Arial"/>
                <w:sz w:val="14"/>
                <w:szCs w:val="14"/>
                <w:b w:val="1"/>
                <w:bCs w:val="1"/>
                <w:color w:val="auto"/>
              </w:rPr>
              <w:t>Plans or</w:t>
            </w:r>
          </w:p>
        </w:tc>
        <w:tc>
          <w:tcPr>
            <w:tcW w:w="120" w:type="dxa"/>
            <w:vAlign w:val="bottom"/>
          </w:tcPr>
          <w:p>
            <w:pPr>
              <w:spacing w:after="0"/>
              <w:rPr>
                <w:sz w:val="13"/>
                <w:szCs w:val="13"/>
                <w:color w:val="auto"/>
              </w:rPr>
            </w:pPr>
          </w:p>
        </w:tc>
        <w:tc>
          <w:tcPr>
            <w:tcW w:w="164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auto"/>
              </w:rPr>
              <w:t>Be Purchased Under</w:t>
            </w:r>
          </w:p>
        </w:tc>
      </w:tr>
      <w:tr>
        <w:trPr>
          <w:trHeight w:val="179"/>
        </w:trPr>
        <w:tc>
          <w:tcPr>
            <w:tcW w:w="960" w:type="dxa"/>
            <w:vAlign w:val="bottom"/>
            <w:gridSpan w:val="2"/>
          </w:tcPr>
          <w:p>
            <w:pPr>
              <w:jc w:val="right"/>
              <w:ind w:right="20"/>
              <w:spacing w:after="0" w:line="179"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20"/>
                <w:szCs w:val="20"/>
                <w:b w:val="1"/>
                <w:bCs w:val="1"/>
                <w:color w:val="auto"/>
                <w:vertAlign w:val="superscript"/>
              </w:rPr>
              <w:t>(1)</w:t>
            </w:r>
          </w:p>
        </w:tc>
        <w:tc>
          <w:tcPr>
            <w:tcW w:w="520" w:type="dxa"/>
            <w:vAlign w:val="bottom"/>
          </w:tcPr>
          <w:p>
            <w:pPr>
              <w:spacing w:after="0"/>
              <w:rPr>
                <w:sz w:val="15"/>
                <w:szCs w:val="15"/>
                <w:color w:val="auto"/>
              </w:rPr>
            </w:pPr>
          </w:p>
        </w:tc>
        <w:tc>
          <w:tcPr>
            <w:tcW w:w="1460" w:type="dxa"/>
            <w:vAlign w:val="bottom"/>
            <w:gridSpan w:val="3"/>
          </w:tcPr>
          <w:p>
            <w:pPr>
              <w:jc w:val="center"/>
              <w:ind w:right="540"/>
              <w:spacing w:after="0" w:line="179" w:lineRule="exact"/>
              <w:rPr>
                <w:sz w:val="20"/>
                <w:szCs w:val="20"/>
                <w:color w:val="auto"/>
              </w:rPr>
            </w:pPr>
            <w:r>
              <w:rPr>
                <w:rFonts w:ascii="Arial" w:cs="Arial" w:eastAsia="Arial" w:hAnsi="Arial"/>
                <w:sz w:val="12"/>
                <w:szCs w:val="12"/>
                <w:b w:val="1"/>
                <w:bCs w:val="1"/>
                <w:color w:val="auto"/>
              </w:rPr>
              <w:t xml:space="preserve">per Share </w:t>
            </w:r>
            <w:r>
              <w:rPr>
                <w:rFonts w:ascii="Arial" w:cs="Arial" w:eastAsia="Arial" w:hAnsi="Arial"/>
                <w:sz w:val="20"/>
                <w:szCs w:val="20"/>
                <w:b w:val="1"/>
                <w:bCs w:val="1"/>
                <w:color w:val="auto"/>
                <w:vertAlign w:val="superscript"/>
              </w:rPr>
              <w:t>(1)</w:t>
            </w:r>
          </w:p>
        </w:tc>
        <w:tc>
          <w:tcPr>
            <w:tcW w:w="1600" w:type="dxa"/>
            <w:vAlign w:val="bottom"/>
            <w:gridSpan w:val="2"/>
          </w:tcPr>
          <w:p>
            <w:pPr>
              <w:jc w:val="center"/>
              <w:ind w:right="540"/>
              <w:spacing w:after="0" w:line="179" w:lineRule="exact"/>
              <w:rPr>
                <w:sz w:val="20"/>
                <w:szCs w:val="20"/>
                <w:color w:val="auto"/>
              </w:rPr>
            </w:pPr>
            <w:r>
              <w:rPr>
                <w:rFonts w:ascii="Arial" w:cs="Arial" w:eastAsia="Arial" w:hAnsi="Arial"/>
                <w:sz w:val="12"/>
                <w:szCs w:val="12"/>
                <w:b w:val="1"/>
                <w:bCs w:val="1"/>
                <w:color w:val="auto"/>
              </w:rPr>
              <w:t xml:space="preserve">Programs </w:t>
            </w:r>
            <w:r>
              <w:rPr>
                <w:rFonts w:ascii="Arial" w:cs="Arial" w:eastAsia="Arial" w:hAnsi="Arial"/>
                <w:sz w:val="20"/>
                <w:szCs w:val="20"/>
                <w:b w:val="1"/>
                <w:bCs w:val="1"/>
                <w:color w:val="auto"/>
                <w:vertAlign w:val="superscript"/>
              </w:rPr>
              <w:t>(2)</w:t>
            </w:r>
          </w:p>
        </w:tc>
        <w:tc>
          <w:tcPr>
            <w:tcW w:w="1760" w:type="dxa"/>
            <w:vAlign w:val="bottom"/>
            <w:gridSpan w:val="3"/>
          </w:tcPr>
          <w:p>
            <w:pPr>
              <w:jc w:val="right"/>
              <w:ind w:right="20"/>
              <w:spacing w:after="0" w:line="179" w:lineRule="exact"/>
              <w:rPr>
                <w:sz w:val="20"/>
                <w:szCs w:val="20"/>
                <w:color w:val="auto"/>
              </w:rPr>
            </w:pPr>
            <w:r>
              <w:rPr>
                <w:rFonts w:ascii="Arial" w:cs="Arial" w:eastAsia="Arial" w:hAnsi="Arial"/>
                <w:sz w:val="12"/>
                <w:szCs w:val="12"/>
                <w:b w:val="1"/>
                <w:bCs w:val="1"/>
                <w:color w:val="auto"/>
              </w:rPr>
              <w:t xml:space="preserve">the Plans or Programs </w:t>
            </w:r>
            <w:r>
              <w:rPr>
                <w:rFonts w:ascii="Arial" w:cs="Arial" w:eastAsia="Arial" w:hAnsi="Arial"/>
                <w:sz w:val="20"/>
                <w:szCs w:val="20"/>
                <w:b w:val="1"/>
                <w:bCs w:val="1"/>
                <w:color w:val="auto"/>
                <w:vertAlign w:val="superscript"/>
              </w:rPr>
              <w:t>(2)</w:t>
            </w:r>
          </w:p>
        </w:tc>
      </w:tr>
      <w:tr>
        <w:trPr>
          <w:trHeight w:val="209"/>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1,227,255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5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1,219,740</w:t>
            </w:r>
          </w:p>
        </w:tc>
        <w:tc>
          <w:tcPr>
            <w:tcW w:w="5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978,678,089</w:t>
            </w:r>
          </w:p>
        </w:tc>
        <w:tc>
          <w:tcPr>
            <w:tcW w:w="20" w:type="dxa"/>
            <w:vAlign w:val="bottom"/>
          </w:tcPr>
          <w:p>
            <w:pPr>
              <w:spacing w:after="0"/>
              <w:rPr>
                <w:sz w:val="18"/>
                <w:szCs w:val="18"/>
                <w:color w:val="auto"/>
              </w:rPr>
            </w:pPr>
          </w:p>
        </w:tc>
      </w:tr>
      <w:tr>
        <w:trPr>
          <w:trHeight w:val="216"/>
        </w:trPr>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1,310,860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42.78</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1,308,300</w:t>
            </w:r>
          </w:p>
        </w:tc>
        <w:tc>
          <w:tcPr>
            <w:tcW w:w="1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922,700,280</w:t>
            </w:r>
          </w:p>
        </w:tc>
      </w:tr>
      <w:tr>
        <w:trPr>
          <w:trHeight w:val="203"/>
        </w:trPr>
        <w:tc>
          <w:tcPr>
            <w:tcW w:w="9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6,510,143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43.08</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6,477,334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643,678,089</w:t>
            </w:r>
          </w:p>
        </w:tc>
      </w:tr>
      <w:tr>
        <w:trPr>
          <w:trHeight w:val="412"/>
        </w:trPr>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9,048,258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42.75</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9,005,374</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-711200</wp:posOffset>
            </wp:positionV>
            <wp:extent cx="67665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-436880</wp:posOffset>
            </wp:positionV>
            <wp:extent cx="67665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280"/>
          </w:cols>
          <w:pgMar w:left="240" w:top="459" w:right="299" w:bottom="1440" w:gutter="0" w:footer="0" w:header="0"/>
          <w:type w:val="continuous"/>
        </w:sectPr>
      </w:pPr>
    </w:p>
    <w:p>
      <w:pPr>
        <w:spacing w:after="0" w:line="61" w:lineRule="exact"/>
        <w:rPr>
          <w:sz w:val="20"/>
          <w:szCs w:val="20"/>
          <w:color w:val="auto"/>
        </w:rPr>
      </w:pPr>
    </w:p>
    <w:p>
      <w:pPr>
        <w:ind w:left="1140" w:hanging="335"/>
        <w:spacing w:after="0"/>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w:t>
      </w:r>
    </w:p>
    <w:p>
      <w:pPr>
        <w:spacing w:after="0" w:line="1" w:lineRule="exact"/>
        <w:rPr>
          <w:rFonts w:ascii="Arial" w:cs="Arial" w:eastAsia="Arial" w:hAnsi="Arial"/>
          <w:sz w:val="14"/>
          <w:szCs w:val="14"/>
          <w:color w:val="auto"/>
        </w:rPr>
      </w:pPr>
    </w:p>
    <w:p>
      <w:pPr>
        <w:jc w:val="both"/>
        <w:ind w:left="1140" w:right="460"/>
        <w:spacing w:after="0" w:line="250" w:lineRule="auto"/>
        <w:rPr>
          <w:rFonts w:ascii="Arial" w:cs="Arial" w:eastAsia="Arial" w:hAnsi="Arial"/>
          <w:sz w:val="14"/>
          <w:szCs w:val="14"/>
          <w:color w:val="auto"/>
        </w:rPr>
      </w:pPr>
      <w:r>
        <w:rPr>
          <w:rFonts w:ascii="Arial" w:cs="Arial" w:eastAsia="Arial" w:hAnsi="Arial"/>
          <w:sz w:val="14"/>
          <w:szCs w:val="14"/>
          <w:color w:val="auto"/>
        </w:rPr>
        <w:t>(2) below; and (ii) shares tendered to us by employees who used shares to exercise options and to pay the related taxes for grants of restricted stock and deferred stock units that vested, totaling 7,515 shares, 2,560 shares and 32,809 shares for the fiscal months of October, November and December 2017, respectively.</w:t>
      </w:r>
    </w:p>
    <w:p>
      <w:pPr>
        <w:spacing w:after="0" w:line="104" w:lineRule="exact"/>
        <w:rPr>
          <w:rFonts w:ascii="Arial" w:cs="Arial" w:eastAsia="Arial" w:hAnsi="Arial"/>
          <w:sz w:val="14"/>
          <w:szCs w:val="14"/>
          <w:color w:val="auto"/>
        </w:rPr>
      </w:pPr>
    </w:p>
    <w:p>
      <w:pPr>
        <w:ind w:left="1140" w:right="60" w:hanging="335"/>
        <w:spacing w:after="0" w:line="243"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11, </w:t>
      </w:r>
      <w:r>
        <w:rPr>
          <w:rFonts w:ascii="Arial" w:cs="Arial" w:eastAsia="Arial" w:hAnsi="Arial"/>
          <w:sz w:val="14"/>
          <w:szCs w:val="14"/>
          <w:i w:val="1"/>
          <w:iCs w:val="1"/>
          <w:color w:val="auto"/>
        </w:rPr>
        <w:t>Capital Stock</w:t>
      </w:r>
      <w:r>
        <w:rPr>
          <w:rFonts w:ascii="Arial" w:cs="Arial" w:eastAsia="Arial" w:hAnsi="Arial"/>
          <w:sz w:val="14"/>
          <w:szCs w:val="14"/>
          <w:color w:val="auto"/>
        </w:rPr>
        <w: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Financial Data – Five Year Review </w:t>
      </w:r>
      <w:r>
        <w:rPr>
          <w:rFonts w:ascii="Arial" w:cs="Arial" w:eastAsia="Arial" w:hAnsi="Arial"/>
          <w:sz w:val="15"/>
          <w:szCs w:val="15"/>
          <w:b w:val="1"/>
          <w:bCs w:val="1"/>
          <w:color w:val="auto"/>
        </w:rPr>
        <w:t>(1)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60" w:type="dxa"/>
            <w:vAlign w:val="bottom"/>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1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9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680" w:type="dxa"/>
            <w:vAlign w:val="bottom"/>
            <w:tcBorders>
              <w:top w:val="single" w:sz="8" w:color="auto"/>
            </w:tcBorders>
            <w:gridSpan w:val="3"/>
          </w:tcPr>
          <w:p>
            <w:pPr>
              <w:jc w:val="right"/>
              <w:ind w:right="71"/>
              <w:spacing w:after="0" w:line="155" w:lineRule="exact"/>
              <w:rPr>
                <w:sz w:val="20"/>
                <w:szCs w:val="20"/>
                <w:color w:val="auto"/>
              </w:rPr>
            </w:pPr>
            <w:r>
              <w:rPr>
                <w:rFonts w:ascii="Arial" w:cs="Arial" w:eastAsia="Arial" w:hAnsi="Arial"/>
                <w:sz w:val="14"/>
                <w:szCs w:val="14"/>
                <w:b w:val="1"/>
                <w:bCs w:val="1"/>
                <w:color w:val="auto"/>
              </w:rPr>
              <w:t>(in millions, except per share and employee data)</w:t>
            </w: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Continuing Operations </w:t>
            </w:r>
            <w:r>
              <w:rPr>
                <w:rFonts w:ascii="Arial" w:cs="Arial" w:eastAsia="Arial" w:hAnsi="Arial"/>
                <w:sz w:val="15"/>
                <w:szCs w:val="15"/>
                <w:b w:val="1"/>
                <w:bCs w:val="1"/>
                <w:color w:val="auto"/>
              </w:rPr>
              <w:t>(2)</w:t>
            </w: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Net revenues</w:t>
            </w:r>
          </w:p>
        </w:tc>
        <w:tc>
          <w:tcPr>
            <w:tcW w:w="3000" w:type="dxa"/>
            <w:vAlign w:val="bottom"/>
            <w:tcBorders>
              <w:top w:val="single" w:sz="8" w:color="CCEEFF"/>
            </w:tcBorders>
            <w:gridSpan w:val="3"/>
          </w:tcPr>
          <w:p>
            <w:pPr>
              <w:spacing w:after="0"/>
              <w:rPr>
                <w:sz w:val="17"/>
                <w:szCs w:val="17"/>
                <w:color w:val="auto"/>
              </w:rPr>
            </w:pPr>
          </w:p>
        </w:tc>
        <w:tc>
          <w:tcPr>
            <w:tcW w:w="1800" w:type="dxa"/>
            <w:vAlign w:val="bottom"/>
            <w:tcBorders>
              <w:top w:val="single" w:sz="8" w:color="CCEEFF"/>
            </w:tcBorders>
            <w:gridSpan w:val="2"/>
          </w:tcPr>
          <w:p>
            <w:pPr>
              <w:jc w:val="right"/>
              <w:ind w:right="140"/>
              <w:spacing w:after="0" w:line="202" w:lineRule="exact"/>
              <w:rPr>
                <w:sz w:val="20"/>
                <w:szCs w:val="20"/>
                <w:color w:val="auto"/>
              </w:rPr>
            </w:pPr>
            <w:r>
              <w:rPr>
                <w:rFonts w:ascii="Arial" w:cs="Arial" w:eastAsia="Arial" w:hAnsi="Arial"/>
                <w:sz w:val="18"/>
                <w:szCs w:val="18"/>
                <w:color w:val="auto"/>
              </w:rPr>
              <w:t>$ 25,896</w:t>
            </w:r>
          </w:p>
        </w:tc>
        <w:tc>
          <w:tcPr>
            <w:tcW w:w="1260" w:type="dxa"/>
            <w:vAlign w:val="bottom"/>
            <w:tcBorders>
              <w:top w:val="single" w:sz="8" w:color="CCEEFF"/>
            </w:tcBorders>
          </w:tcPr>
          <w:p>
            <w:pPr>
              <w:jc w:val="right"/>
              <w:ind w:right="132"/>
              <w:spacing w:after="0" w:line="202" w:lineRule="exact"/>
              <w:rPr>
                <w:sz w:val="20"/>
                <w:szCs w:val="20"/>
                <w:color w:val="auto"/>
              </w:rPr>
            </w:pPr>
            <w:r>
              <w:rPr>
                <w:rFonts w:ascii="Arial" w:cs="Arial" w:eastAsia="Arial" w:hAnsi="Arial"/>
                <w:sz w:val="18"/>
                <w:szCs w:val="18"/>
                <w:color w:val="auto"/>
              </w:rPr>
              <w:t>$ 25,923</w:t>
            </w:r>
          </w:p>
        </w:tc>
        <w:tc>
          <w:tcPr>
            <w:tcW w:w="1180" w:type="dxa"/>
            <w:vAlign w:val="bottom"/>
            <w:tcBorders>
              <w:top w:val="single" w:sz="8" w:color="CCEEFF"/>
            </w:tcBorders>
          </w:tcPr>
          <w:p>
            <w:pPr>
              <w:jc w:val="right"/>
              <w:ind w:right="131"/>
              <w:spacing w:after="0" w:line="202" w:lineRule="exact"/>
              <w:rPr>
                <w:sz w:val="20"/>
                <w:szCs w:val="20"/>
                <w:color w:val="auto"/>
              </w:rPr>
            </w:pPr>
            <w:r>
              <w:rPr>
                <w:rFonts w:ascii="Arial" w:cs="Arial" w:eastAsia="Arial" w:hAnsi="Arial"/>
                <w:sz w:val="18"/>
                <w:szCs w:val="18"/>
                <w:color w:val="auto"/>
              </w:rPr>
              <w:t>$ 29,636</w:t>
            </w:r>
          </w:p>
        </w:tc>
        <w:tc>
          <w:tcPr>
            <w:tcW w:w="1240" w:type="dxa"/>
            <w:vAlign w:val="bottom"/>
            <w:tcBorders>
              <w:top w:val="single" w:sz="8" w:color="CCEEFF"/>
            </w:tcBorders>
          </w:tcPr>
          <w:p>
            <w:pPr>
              <w:jc w:val="right"/>
              <w:ind w:right="171"/>
              <w:spacing w:after="0" w:line="202" w:lineRule="exact"/>
              <w:rPr>
                <w:sz w:val="20"/>
                <w:szCs w:val="20"/>
                <w:color w:val="auto"/>
              </w:rPr>
            </w:pPr>
            <w:r>
              <w:rPr>
                <w:rFonts w:ascii="Arial" w:cs="Arial" w:eastAsia="Arial" w:hAnsi="Arial"/>
                <w:sz w:val="18"/>
                <w:szCs w:val="18"/>
                <w:color w:val="auto"/>
              </w:rPr>
              <w:t>$ 34,244</w:t>
            </w:r>
          </w:p>
        </w:tc>
        <w:tc>
          <w:tcPr>
            <w:tcW w:w="980" w:type="dxa"/>
            <w:vAlign w:val="bottom"/>
            <w:tcBorders>
              <w:top w:val="single" w:sz="8" w:color="CCEEFF"/>
            </w:tcBorders>
            <w:gridSpan w:val="2"/>
          </w:tcPr>
          <w:p>
            <w:pPr>
              <w:jc w:val="right"/>
              <w:ind w:right="60"/>
              <w:spacing w:after="0" w:line="202" w:lineRule="exact"/>
              <w:rPr>
                <w:sz w:val="20"/>
                <w:szCs w:val="20"/>
                <w:color w:val="auto"/>
              </w:rPr>
            </w:pPr>
            <w:r>
              <w:rPr>
                <w:rFonts w:ascii="Arial" w:cs="Arial" w:eastAsia="Arial" w:hAnsi="Arial"/>
                <w:sz w:val="18"/>
                <w:szCs w:val="18"/>
                <w:color w:val="auto"/>
              </w:rPr>
              <w:t>$ 35,299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net of taxes</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2,936</w:t>
            </w:r>
          </w:p>
        </w:tc>
        <w:tc>
          <w:tcPr>
            <w:tcW w:w="12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1,669</w:t>
            </w:r>
          </w:p>
        </w:tc>
        <w:tc>
          <w:tcPr>
            <w:tcW w:w="11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7,291</w:t>
            </w:r>
          </w:p>
        </w:tc>
        <w:tc>
          <w:tcPr>
            <w:tcW w:w="12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2,201</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tcPr>
          <w:p>
            <w:pPr>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Per share, basic</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1.93</w:t>
            </w:r>
          </w:p>
        </w:tc>
        <w:tc>
          <w:tcPr>
            <w:tcW w:w="12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1.07</w:t>
            </w:r>
          </w:p>
        </w:tc>
        <w:tc>
          <w:tcPr>
            <w:tcW w:w="11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4.49</w:t>
            </w:r>
          </w:p>
        </w:tc>
        <w:tc>
          <w:tcPr>
            <w:tcW w:w="12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1.29</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4"/>
          </w:tcPr>
          <w:p>
            <w:pPr>
              <w:ind w:left="160"/>
              <w:spacing w:after="0"/>
              <w:rPr>
                <w:sz w:val="20"/>
                <w:szCs w:val="20"/>
                <w:color w:val="auto"/>
              </w:rPr>
            </w:pPr>
            <w:r>
              <w:rPr>
                <w:rFonts w:ascii="Arial" w:cs="Arial" w:eastAsia="Arial" w:hAnsi="Arial"/>
                <w:sz w:val="18"/>
                <w:szCs w:val="18"/>
                <w:color w:val="auto"/>
              </w:rPr>
              <w:t>Per share, diluted</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4.44</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1.28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Cash Flow and Financial Position </w:t>
            </w:r>
            <w:r>
              <w:rPr>
                <w:rFonts w:ascii="Arial" w:cs="Arial" w:eastAsia="Arial" w:hAnsi="Arial"/>
                <w:sz w:val="15"/>
                <w:szCs w:val="15"/>
                <w:b w:val="1"/>
                <w:bCs w:val="1"/>
                <w:color w:val="auto"/>
              </w:rPr>
              <w:t>(3)</w:t>
            </w: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gridSpan w:val="4"/>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2,593</w:t>
            </w:r>
          </w:p>
        </w:tc>
        <w:tc>
          <w:tcPr>
            <w:tcW w:w="12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2,838</w:t>
            </w: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3,728</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3,562</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1,014</w:t>
            </w:r>
          </w:p>
        </w:tc>
        <w:tc>
          <w:tcPr>
            <w:tcW w:w="12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1,224</w:t>
            </w:r>
          </w:p>
        </w:tc>
        <w:tc>
          <w:tcPr>
            <w:tcW w:w="11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1,514</w:t>
            </w:r>
          </w:p>
        </w:tc>
        <w:tc>
          <w:tcPr>
            <w:tcW w:w="12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1,642</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8,677</w:t>
            </w:r>
          </w:p>
        </w:tc>
        <w:tc>
          <w:tcPr>
            <w:tcW w:w="12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8,229</w:t>
            </w: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8,362</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9,827</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63,109</w:t>
            </w:r>
          </w:p>
        </w:tc>
        <w:tc>
          <w:tcPr>
            <w:tcW w:w="12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61,538</w:t>
            </w:r>
          </w:p>
        </w:tc>
        <w:tc>
          <w:tcPr>
            <w:tcW w:w="11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62,843</w:t>
            </w:r>
          </w:p>
        </w:tc>
        <w:tc>
          <w:tcPr>
            <w:tcW w:w="12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66,771</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tcPr>
          <w:p>
            <w:pPr>
              <w:spacing w:after="0" w:line="202" w:lineRule="exact"/>
              <w:rPr>
                <w:sz w:val="20"/>
                <w:szCs w:val="20"/>
                <w:color w:val="auto"/>
              </w:rPr>
            </w:pPr>
            <w:r>
              <w:rPr>
                <w:rFonts w:ascii="Arial" w:cs="Arial" w:eastAsia="Arial" w:hAnsi="Arial"/>
                <w:sz w:val="18"/>
                <w:szCs w:val="18"/>
                <w:color w:val="auto"/>
              </w:rPr>
              <w:t>Long-term debt</w:t>
            </w:r>
          </w:p>
        </w:tc>
        <w:tc>
          <w:tcPr>
            <w:tcW w:w="1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12,972</w:t>
            </w:r>
          </w:p>
        </w:tc>
        <w:tc>
          <w:tcPr>
            <w:tcW w:w="12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13,217</w:t>
            </w: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14,557</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13,821</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26,111</w:t>
            </w:r>
          </w:p>
        </w:tc>
        <w:tc>
          <w:tcPr>
            <w:tcW w:w="12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25,161</w:t>
            </w:r>
          </w:p>
        </w:tc>
        <w:tc>
          <w:tcPr>
            <w:tcW w:w="11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28,012</w:t>
            </w:r>
          </w:p>
        </w:tc>
        <w:tc>
          <w:tcPr>
            <w:tcW w:w="12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27,750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32,373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 xml:space="preserve">Shares outstanding at year end </w:t>
            </w:r>
            <w:r>
              <w:rPr>
                <w:rFonts w:ascii="Arial" w:cs="Arial" w:eastAsia="Arial" w:hAnsi="Arial"/>
                <w:sz w:val="15"/>
                <w:szCs w:val="15"/>
                <w:color w:val="auto"/>
              </w:rPr>
              <w:t>(4)</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1,488</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1,528</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1,580</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1,664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Per Share and Other Data</w:t>
            </w: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gridSpan w:val="4"/>
          </w:tcPr>
          <w:p>
            <w:pPr>
              <w:spacing w:after="0" w:line="202" w:lineRule="exact"/>
              <w:rPr>
                <w:sz w:val="20"/>
                <w:szCs w:val="20"/>
                <w:color w:val="auto"/>
              </w:rPr>
            </w:pPr>
            <w:r>
              <w:rPr>
                <w:rFonts w:ascii="Arial" w:cs="Arial" w:eastAsia="Arial" w:hAnsi="Arial"/>
                <w:sz w:val="18"/>
                <w:szCs w:val="18"/>
                <w:color w:val="auto"/>
              </w:rPr>
              <w:t>Book value per shares outstanding</w:t>
            </w:r>
          </w:p>
        </w:tc>
        <w:tc>
          <w:tcPr>
            <w:tcW w:w="1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17.55</w:t>
            </w:r>
          </w:p>
        </w:tc>
        <w:tc>
          <w:tcPr>
            <w:tcW w:w="12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16.47</w:t>
            </w: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17.73</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16.68</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15"/>
                <w:szCs w:val="15"/>
                <w:color w:val="auto"/>
              </w:rPr>
              <w:t>(5)</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0.82</w:t>
            </w:r>
          </w:p>
        </w:tc>
        <w:tc>
          <w:tcPr>
            <w:tcW w:w="12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0.72</w:t>
            </w:r>
          </w:p>
        </w:tc>
        <w:tc>
          <w:tcPr>
            <w:tcW w:w="11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0.64</w:t>
            </w:r>
          </w:p>
        </w:tc>
        <w:tc>
          <w:tcPr>
            <w:tcW w:w="12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0.58</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tcPr>
          <w:p>
            <w:pPr>
              <w:spacing w:after="0" w:line="202" w:lineRule="exact"/>
              <w:rPr>
                <w:sz w:val="20"/>
                <w:szCs w:val="20"/>
                <w:color w:val="auto"/>
              </w:rPr>
            </w:pPr>
            <w:r>
              <w:rPr>
                <w:rFonts w:ascii="Arial" w:cs="Arial" w:eastAsia="Arial" w:hAnsi="Arial"/>
                <w:sz w:val="18"/>
                <w:szCs w:val="18"/>
                <w:color w:val="auto"/>
              </w:rPr>
              <w:t>Common Stock closing price at year end</w:t>
            </w:r>
          </w:p>
        </w:tc>
        <w:tc>
          <w:tcPr>
            <w:tcW w:w="1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42.80</w:t>
            </w:r>
          </w:p>
        </w:tc>
        <w:tc>
          <w:tcPr>
            <w:tcW w:w="12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44.33</w:t>
            </w: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44.84</w:t>
            </w:r>
          </w:p>
        </w:tc>
        <w:tc>
          <w:tcPr>
            <w:tcW w:w="124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36.33</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Number of employees</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83,000</w:t>
            </w:r>
          </w:p>
        </w:tc>
        <w:tc>
          <w:tcPr>
            <w:tcW w:w="12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90,000</w:t>
            </w:r>
          </w:p>
        </w:tc>
        <w:tc>
          <w:tcPr>
            <w:tcW w:w="11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99,000</w:t>
            </w:r>
          </w:p>
        </w:tc>
        <w:tc>
          <w:tcPr>
            <w:tcW w:w="12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104,000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107,000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80" w:hanging="332"/>
        <w:spacing w:after="0" w:line="245"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The selected financial data should be read in conjunction with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and our consolidated financial statements and related notes included elsewhere in this Annual Report on Form 10-K and Annual Reports on Form 10-K for earlier periods. A significant portion of our business is exposed to currency exchange rate fluctuation as a large portion of our assets, liabilities, revenue and expenses must be translated into U.S. dollars for reporting purposes. Refer to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for a discussion of operating results on a constant currency basis where noted.</w:t>
      </w:r>
    </w:p>
    <w:p>
      <w:pPr>
        <w:spacing w:after="0" w:line="2"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Significant items impacting the comparability of our results from continuing operations include: Spin-Off Costs in 2013-2014; restructuring programs in 2013-2017; cost savings initiatives in 2013; the contribution of our global coffee businesses and investment in JDE and related gain in 2015; gain on equity method investment transactions in 2016-2017; other divestitures and sales of property in 2013 and 2015-2017; acquisitions in 2013 and 2015-2016; the Cadbury acquisition-related Integration Program in 2013-2014; the benefit from the Cadbury acquisition-related indemnification resolution in 2013; losses on debt extinguishment in 2013-2017; unrealized gains on the coffee business transaction currency hedges in 2014-2015; debt tender offers completed in 2013-2016; loss on deconsolidation of Venezuela in 2015; the remeasurement of net monetary assets in Venezuela in 2013-2015; accounting calendar changes in 2013 and 2015; impairment charges related to intangible assets in 2014-2017; losses related to interest rate swaps in 2015-2016; benefits from the resolution of tax matters in 2017; CEO transition remuneration in 2017; malware incident incremental expenses in 2017; and our provision for income taxes in all years, including the U.S. tax reform discrete net tax benefit in 2017. Please refer to Notes 1, </w:t>
      </w:r>
      <w:r>
        <w:rPr>
          <w:rFonts w:ascii="Arial" w:cs="Arial" w:eastAsia="Arial" w:hAnsi="Arial"/>
          <w:sz w:val="14"/>
          <w:szCs w:val="14"/>
          <w:i w:val="1"/>
          <w:iCs w:val="1"/>
          <w:color w:val="auto"/>
        </w:rPr>
        <w:t>Summary of Significant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w:t>
      </w:r>
      <w:r>
        <w:rPr>
          <w:rFonts w:ascii="Arial" w:cs="Arial" w:eastAsia="Arial" w:hAnsi="Arial"/>
          <w:sz w:val="14"/>
          <w:szCs w:val="14"/>
          <w:color w:val="auto"/>
        </w:rPr>
        <w:t>; 2,</w:t>
      </w:r>
      <w:r>
        <w:rPr>
          <w:rFonts w:ascii="Arial" w:cs="Arial" w:eastAsia="Arial" w:hAnsi="Arial"/>
          <w:sz w:val="14"/>
          <w:szCs w:val="14"/>
          <w:i w:val="1"/>
          <w:iCs w:val="1"/>
          <w:color w:val="auto"/>
        </w:rPr>
        <w:t xml:space="preserve"> Divestitures and Acquisitions</w:t>
      </w:r>
      <w:r>
        <w:rPr>
          <w:rFonts w:ascii="Arial" w:cs="Arial" w:eastAsia="Arial" w:hAnsi="Arial"/>
          <w:sz w:val="14"/>
          <w:szCs w:val="14"/>
          <w:color w:val="auto"/>
        </w:rPr>
        <w:t>; 5,</w:t>
      </w:r>
      <w:r>
        <w:rPr>
          <w:rFonts w:ascii="Arial" w:cs="Arial" w:eastAsia="Arial" w:hAnsi="Arial"/>
          <w:sz w:val="14"/>
          <w:szCs w:val="14"/>
          <w:i w:val="1"/>
          <w:iCs w:val="1"/>
          <w:color w:val="auto"/>
        </w:rPr>
        <w:t xml:space="preserve"> Goodwill and Intangible Assets</w:t>
      </w:r>
      <w:r>
        <w:rPr>
          <w:rFonts w:ascii="Arial" w:cs="Arial" w:eastAsia="Arial" w:hAnsi="Arial"/>
          <w:sz w:val="14"/>
          <w:szCs w:val="14"/>
          <w:color w:val="auto"/>
        </w:rPr>
        <w:t>; 6,</w:t>
      </w:r>
      <w:r>
        <w:rPr>
          <w:rFonts w:ascii="Arial" w:cs="Arial" w:eastAsia="Arial" w:hAnsi="Arial"/>
          <w:sz w:val="14"/>
          <w:szCs w:val="14"/>
          <w:i w:val="1"/>
          <w:iCs w:val="1"/>
          <w:color w:val="auto"/>
        </w:rPr>
        <w:t xml:space="preserve"> 2014-2018 Restructuring Program</w:t>
      </w:r>
      <w:r>
        <w:rPr>
          <w:rFonts w:ascii="Arial" w:cs="Arial" w:eastAsia="Arial" w:hAnsi="Arial"/>
          <w:sz w:val="14"/>
          <w:szCs w:val="14"/>
          <w:color w:val="auto"/>
        </w:rPr>
        <w:t>; 7,</w:t>
      </w:r>
      <w:r>
        <w:rPr>
          <w:rFonts w:ascii="Arial" w:cs="Arial" w:eastAsia="Arial" w:hAnsi="Arial"/>
          <w:sz w:val="14"/>
          <w:szCs w:val="14"/>
          <w:i w:val="1"/>
          <w:iCs w:val="1"/>
          <w:color w:val="auto"/>
        </w:rPr>
        <w:t xml:space="preserve"> Debt and Borrowing Arrangements</w:t>
      </w:r>
      <w:r>
        <w:rPr>
          <w:rFonts w:ascii="Arial" w:cs="Arial" w:eastAsia="Arial" w:hAnsi="Arial"/>
          <w:sz w:val="14"/>
          <w:szCs w:val="14"/>
          <w:color w:val="auto"/>
        </w:rPr>
        <w:t>; 8,</w:t>
      </w:r>
      <w:r>
        <w:rPr>
          <w:rFonts w:ascii="Arial" w:cs="Arial" w:eastAsia="Arial" w:hAnsi="Arial"/>
          <w:sz w:val="14"/>
          <w:szCs w:val="14"/>
          <w:i w:val="1"/>
          <w:iCs w:val="1"/>
          <w:color w:val="auto"/>
        </w:rPr>
        <w:t xml:space="preserve"> Financial Instruments</w:t>
      </w:r>
      <w:r>
        <w:rPr>
          <w:rFonts w:ascii="Arial" w:cs="Arial" w:eastAsia="Arial" w:hAnsi="Arial"/>
          <w:sz w:val="14"/>
          <w:szCs w:val="14"/>
          <w:color w:val="auto"/>
        </w:rPr>
        <w:t>; 12,</w:t>
      </w:r>
      <w:r>
        <w:rPr>
          <w:rFonts w:ascii="Arial" w:cs="Arial" w:eastAsia="Arial" w:hAnsi="Arial"/>
          <w:sz w:val="14"/>
          <w:szCs w:val="14"/>
          <w:i w:val="1"/>
          <w:iCs w:val="1"/>
          <w:color w:val="auto"/>
        </w:rPr>
        <w:t xml:space="preserve"> Commitments and Contingencies</w:t>
      </w:r>
      <w:r>
        <w:rPr>
          <w:rFonts w:ascii="Arial" w:cs="Arial" w:eastAsia="Arial" w:hAnsi="Arial"/>
          <w:sz w:val="14"/>
          <w:szCs w:val="14"/>
          <w:color w:val="auto"/>
        </w:rPr>
        <w:t>; 14,</w:t>
      </w:r>
      <w:r>
        <w:rPr>
          <w:rFonts w:ascii="Arial" w:cs="Arial" w:eastAsia="Arial" w:hAnsi="Arial"/>
          <w:sz w:val="14"/>
          <w:szCs w:val="14"/>
          <w:i w:val="1"/>
          <w:iCs w:val="1"/>
          <w:color w:val="auto"/>
        </w:rPr>
        <w:t xml:space="preserve"> Income Taxes</w:t>
      </w:r>
      <w:r>
        <w:rPr>
          <w:rFonts w:ascii="Arial" w:cs="Arial" w:eastAsia="Arial" w:hAnsi="Arial"/>
          <w:sz w:val="14"/>
          <w:szCs w:val="14"/>
          <w:color w:val="auto"/>
        </w:rPr>
        <w:t>; and 16,</w:t>
      </w:r>
      <w:r>
        <w:rPr>
          <w:rFonts w:ascii="Arial" w:cs="Arial" w:eastAsia="Arial" w:hAnsi="Arial"/>
          <w:sz w:val="14"/>
          <w:szCs w:val="14"/>
          <w:i w:val="1"/>
          <w:iCs w:val="1"/>
          <w:color w:val="auto"/>
        </w:rPr>
        <w:t xml:space="preserve"> Segment Reporting</w:t>
      </w:r>
      <w:r>
        <w:rPr>
          <w:rFonts w:ascii="Arial" w:cs="Arial" w:eastAsia="Arial" w:hAnsi="Arial"/>
          <w:sz w:val="14"/>
          <w:szCs w:val="14"/>
          <w:color w:val="auto"/>
        </w:rPr>
        <w:t>, for additional information regarding items affecting comparability of our</w:t>
      </w:r>
      <w:r>
        <w:rPr>
          <w:rFonts w:ascii="Arial" w:cs="Arial" w:eastAsia="Arial" w:hAnsi="Arial"/>
          <w:sz w:val="14"/>
          <w:szCs w:val="14"/>
          <w:i w:val="1"/>
          <w:iCs w:val="1"/>
          <w:color w:val="auto"/>
        </w:rPr>
        <w:t xml:space="preserve"> </w:t>
      </w:r>
      <w:r>
        <w:rPr>
          <w:rFonts w:ascii="Arial" w:cs="Arial" w:eastAsia="Arial" w:hAnsi="Arial"/>
          <w:sz w:val="14"/>
          <w:szCs w:val="14"/>
          <w:color w:val="auto"/>
        </w:rPr>
        <w:t>results from continuing operations.</w:t>
      </w:r>
    </w:p>
    <w:p>
      <w:pPr>
        <w:spacing w:after="0" w:line="166" w:lineRule="exact"/>
        <w:rPr>
          <w:rFonts w:ascii="Arial" w:cs="Arial" w:eastAsia="Arial" w:hAnsi="Arial"/>
          <w:sz w:val="14"/>
          <w:szCs w:val="14"/>
          <w:color w:val="auto"/>
        </w:rPr>
      </w:pPr>
    </w:p>
    <w:p>
      <w:pPr>
        <w:ind w:left="340" w:right="200" w:hanging="332"/>
        <w:spacing w:after="0" w:line="24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Items impacting comparability primarily relate to the Keurig and JDE coffee business transactions in 2014-2016, the loss on deconsolidation of Venezuela in 2015 and the receipt of net cash proceeds from the resolution of the Starbucks arbitration in 2013. Refer to the Annual Report on Form 10-K for the year ended December 31, 2015, for additional information on the resolution of the Starbucks arbitration in 2013. Beginning in 2015, debt issuance costs related to recognized debt liabilities were recorded as a deduction from the related debt obligations instead of as long-term other assets on the consolidated balance sheet. We made this reclassification in the prior periods presented for consistency.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Capital Stock</w:t>
      </w:r>
      <w:r>
        <w:rPr>
          <w:rFonts w:ascii="Arial" w:cs="Arial" w:eastAsia="Arial" w:hAnsi="Arial"/>
          <w:sz w:val="14"/>
          <w:szCs w:val="14"/>
          <w:color w:val="auto"/>
        </w:rPr>
        <w:t>, for additional information on our share repurchase program in 2013-2017.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Equity and Dividends</w:t>
      </w:r>
      <w:r>
        <w:rPr>
          <w:rFonts w:ascii="Arial" w:cs="Arial" w:eastAsia="Arial" w:hAnsi="Arial"/>
          <w:sz w:val="14"/>
          <w:szCs w:val="14"/>
          <w:color w:val="auto"/>
        </w:rPr>
        <w:t xml:space="preserve"> section within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for information on our dividends.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4"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Item 8, </w:t>
      </w:r>
      <w:r>
        <w:rPr>
          <w:rFonts w:ascii="Arial" w:cs="Arial" w:eastAsia="Arial" w:hAnsi="Arial"/>
          <w:sz w:val="18"/>
          <w:szCs w:val="18"/>
          <w:i w:val="1"/>
          <w:iCs w:val="1"/>
          <w:color w:val="auto"/>
        </w:rPr>
        <w:t>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and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160 countries.</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aim to deliver strong, profitable long-term growth by accelerating our core snacks business and expanding the reach of our Power Brands globally. To fuel investments in our Power Brands and global and digital reach, we have been working to optimize our cost structure. These efforts include reinventing our supply chain operations and aggressively managing overhead costs. Through these actions, we’re leveraging our brands, platforms and capabilities to drive long-term value and return on investment for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but not limited to a reduction in the U.S. federal tax rate from 35% to 21% as well as provisions that limit or eliminate various deductions or credits. The legislation also causes U.S. allocated expenses (e.g. interest and general administrative expenses) to be taxed and imposes a new tax on U.S. cross-border payments. Furthermore, the legislation includes a one-time transition tax on accumulated foreign earnings and profits.</w:t>
      </w:r>
    </w:p>
    <w:p>
      <w:pPr>
        <w:spacing w:after="0" w:line="20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response to the enactment of U.S. tax reform, the SEC issued guidance to address the complexity in accounting for this new legislation. When the initial accounting for items under the new legislation is incomplete, the guidance allows us to recognize provisional amounts when reasonable estimates can be made or to continue to apply the prior tax law if a reasonable estimate of the impact cannot be made. The SEC has provided up to a one-year window for companies to finalize the accounting for the impacts of this new legislation and we anticipate finalizing our accounting during 2018.</w:t>
      </w:r>
    </w:p>
    <w:p>
      <w:pPr>
        <w:spacing w:after="0" w:line="20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While our accounting for the new U.S. tax legislation is not complete, we have made reasonable estimates for some provisions and recognized a $59 million discrete net tax benefit in our 2017 financial statements. This net benefit is primarily comprised of a $1,311 million provisional deferred tax benefit from revaluing our net U.S. deferred tax liabilities to reflect the new U.S. corporate tax rate as well as an additional</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$61 million provisional deferred tax benefit related to changes in our indefinite reinvestment assertion, partially offset by a $1,317 million provisional charge for the estimated transition tax. However, as of the date of this Form 10-K, we are continuing to evaluate the accounting impacts of the legislation, as we continue to assemble and analyze all the information required to prepare and analyze these effects and await additional guidance from the U.S. Treasury Department, the IRS or other standard-setting bodies. Additionally, we continue to analyze other information and regulatory guidance, and accordingly we may record additional provisional amounts or adjustments to provisional amounts in future periods. See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details on the impacts of U.S. tax reform.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Malware Incident</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June 27, 2017, a global malware incident impacted our business. The malware affected a significant portion of our global sales, distribution and financial networks. In the last four days of the second quarter and during the third quarter, we executed business continuity and contingency plans to contain the impact, minimize damages and restore our systems environment. To date, we have not found, nor do we expect to find, any instances of Company or personal data released externally. We have now restored our main operating systems and processes as well as enhanced our system security.</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During 2017, we estimate that the loss of revenue as a result of the malware incident had a negative impact of 0.4% on our net revenue and Organic Net Revenue growth. We also incurred incremental expenses of $84 million predominantly during the second half of 2017 as part of the recovery effort. We believe the recovery from this incident is largely resolved, and we do not expect significant ongoing impacts or incremental expenses from this incident in future periods. We also continue to make progress on our efforts to strengthen our security measures and mitigate cybersecurity risk. Refer to our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for a discussion of potential risks to our operations from cybersecurity threats.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Coffee Business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to create a new company, Jacob Douwe Egberts (“JDE”). In connection with these transactions, in 2015, we recorded a final pre-tax gain of $6.8 billion ($6.6 billion after-tax) from the deconsolidation of our legacy coffee businesses. We also recorded approximately $1.0 billion of cumulative pre-tax net gains ($ 436 million in 2015 and $628 million in 2014) and cash related to currency hedging. See Note 2,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and Acquisitions</w:t>
      </w:r>
      <w:r>
        <w:rPr>
          <w:rFonts w:ascii="Arial" w:cs="Arial" w:eastAsia="Arial" w:hAnsi="Arial"/>
          <w:sz w:val="18"/>
          <w:szCs w:val="18"/>
          <w:color w:val="auto"/>
        </w:rPr>
        <w:t>—</w:t>
      </w:r>
      <w:r>
        <w:rPr>
          <w:rFonts w:ascii="Arial" w:cs="Arial" w:eastAsia="Arial" w:hAnsi="Arial"/>
          <w:sz w:val="18"/>
          <w:szCs w:val="18"/>
          <w:i w:val="1"/>
          <w:iCs w:val="1"/>
          <w:color w:val="auto"/>
        </w:rPr>
        <w:t>JDE Coffee Business Transactions</w:t>
      </w:r>
      <w:r>
        <w:rPr>
          <w:rFonts w:ascii="Arial" w:cs="Arial" w:eastAsia="Arial" w:hAnsi="Arial"/>
          <w:sz w:val="18"/>
          <w:szCs w:val="18"/>
          <w:color w:val="auto"/>
        </w:rPr>
        <w:t>, for additional details. As further described below, in March 2016, we exchanged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investment in JDE for an investment in Keurig Green Mountain Inc. (“Keurig”). As of December 31, 2017, we hold a 26.5% voting interest, a 26.4% ownership interest and a 26.2% profit and dividend sharing interest in JDE. We recorded JDE equity earnings of $129 million in 2017 and $100 million in 2016 and equity losses of $58 million in 2015. We also recorded $49 million of cash dividends received during the first quarter of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Following the March 3, 2016 Acorn Holdings B.V. acquisition of Keurig, on March 7, 2016, we exchanged a portion of our equity interest in JDE for an interest in Keurig valued at $2.0 billion. We recorded the difference between the fair value of the Keurig interest and our basis in JDE shares as a $43 million gain. Following the exchange, our ownership interest in JDE became 26.5% and we owned a 24.2% interest in Keurig. Our initial $2.0 billion investment in Keurig includes a $1.6 billion Keurig equity interest and a $0.4 billion shareholder loan receivable, which are reported on a combined basis within equity method investments on our consolidated balance sheet. The shareholder loan has a 5.5% interest rate and is payable at the end of a seven-year term on February 27, 2023. We recorded Keurig equity earnings of $208 million in 2017 (of which, approximately $119 million relates to the provisional tax benefit Keurig recorded as a result of U.S. tax reform), and $77 million in 2016. We recorded shareholder loan interest of $24 million in 2017 and $20 million in 2016. Additionally, we received shareholder loan interest payments of $30 million in 2017 and $ 14 million in 2016 and dividends of $14 million in 2017 and $4 million in 2016. See Note 2,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Acquisitions, </w:t>
      </w:r>
      <w:r>
        <w:rPr>
          <w:rFonts w:ascii="Arial" w:cs="Arial" w:eastAsia="Arial" w:hAnsi="Arial"/>
          <w:sz w:val="18"/>
          <w:szCs w:val="18"/>
          <w:color w:val="auto"/>
        </w:rPr>
        <w:t>for additional details on the Keurig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Keurig Dr Pepper Transaction:</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On January 29, 2018, we announced that we would exchange our ownership interest in Keurig for equity in Keurig Dr Pepper, which is contingent upon the successful completion of a planned merger of Keurig with Dr Pepper Snapple Group, Inc. Following the close of the merger in mid-2018, we expect our ownership in Keurig Dr Pepper to be 13-14%. We expect to account for this new investment under the equity method as we have for Keurig, resulting in our recognizing our share of their earnings within our earnings and our share of their dividends within our cash flows. We will have the right to nominate two directors to the board of Keurig Dr Pepper and will have certain governance rights over Keurig Dr Pepper following the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 Deconsolidation</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Effective as of the close of the 2015 fiscal year, we deconsolidated our Venezuelan subsidiaries due to a loss of control over our Venezuelan operations and an other-than-temporary lack of currency exchangeability. We recorded a $778 million pretax loss on December 31, 2015 as we reduced the value of our investment in Venezuela and all Venezuelan receivables held by our other subsidiaries to realizable fair value, resulting in full impairment.</w:t>
      </w:r>
    </w:p>
    <w:p>
      <w:pPr>
        <w:spacing w:after="0" w:line="202"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 xml:space="preserve">As of the start of 2016, we no longer included net revenues, earnings or net assets of our Venezuelan subsidiaries within our GAAP consolidated financial statements and we excluded Venezuela from our non-GAAP results for all historical periods presented to facilitate comparisons of operating results.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Currency Translation and Highly Inflationary</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Venezuela</w:t>
      </w:r>
      <w:r>
        <w:rPr>
          <w:rFonts w:ascii="Arial" w:cs="Arial" w:eastAsia="Arial" w:hAnsi="Arial"/>
          <w:sz w:val="18"/>
          <w:szCs w:val="18"/>
          <w:color w:val="auto"/>
        </w:rPr>
        <w:t>, for more information on our Venezuela operations, including currency remeasurement losses and the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deconsolidation.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900" w:right="460" w:hanging="325"/>
        <w:spacing w:after="0" w:line="23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revenues were approximately $25.9 billion in both 2017 and 2016, a decrease of 0.1% in 2017 and a decrease of 12.5% in 2016. Business deconsolidations and divestitures reduced net revenues during 2015-2017, with net revenues in 2016 most significantly affected by the deconsolidations of our historical coffee business and Venezuelan operations in 2015 as well as significant unfavorable currency translation impacts in 2016 and 2015.</w:t>
      </w:r>
    </w:p>
    <w:p>
      <w:pPr>
        <w:spacing w:after="0" w:line="228" w:lineRule="exact"/>
        <w:rPr>
          <w:rFonts w:ascii="Arial" w:cs="Arial" w:eastAsia="Arial" w:hAnsi="Arial"/>
          <w:sz w:val="18"/>
          <w:szCs w:val="18"/>
          <w:color w:val="auto"/>
        </w:rPr>
      </w:pPr>
    </w:p>
    <w:p>
      <w:pPr>
        <w:ind w:left="900" w:right="140" w:hanging="325"/>
        <w:spacing w:after="0" w:line="23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Organic Net Revenue increased 0.9% to $25.5 billion in 2017 and increased 1.5% to $26.4 billion in 2016. Organic Net Revenue is on a constant currency basis and excludes revenue from deconsolidated coffee and Venezuelan operations, divestitures and an acquisition.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29" w:lineRule="exact"/>
        <w:rPr>
          <w:rFonts w:ascii="Arial" w:cs="Arial" w:eastAsia="Arial" w:hAnsi="Arial"/>
          <w:sz w:val="18"/>
          <w:szCs w:val="18"/>
          <w:color w:val="auto"/>
        </w:rPr>
      </w:pPr>
    </w:p>
    <w:p>
      <w:pPr>
        <w:ind w:left="900" w:hanging="325"/>
        <w:spacing w:after="0" w:line="23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81.9% to $1.91 in 2017 and decreased 76.4% to $1.05 in 2016. Diluted EPS increased in 2017 as prior-year refinancing and higher restructuring activities drove lower interest and overhead costs in 2017. We also recorded benefits from resolving two local indirect tax matters and gains from divesting non-core businesses during 2017.</w:t>
      </w:r>
    </w:p>
    <w:p>
      <w:pPr>
        <w:spacing w:after="0" w:line="2" w:lineRule="exact"/>
        <w:rPr>
          <w:rFonts w:ascii="Arial" w:cs="Arial" w:eastAsia="Arial" w:hAnsi="Arial"/>
          <w:sz w:val="18"/>
          <w:szCs w:val="18"/>
          <w:color w:val="auto"/>
        </w:rPr>
      </w:pPr>
    </w:p>
    <w:p>
      <w:pPr>
        <w:ind w:left="900" w:right="100"/>
        <w:spacing w:after="0"/>
        <w:rPr>
          <w:rFonts w:ascii="Arial" w:cs="Arial" w:eastAsia="Arial" w:hAnsi="Arial"/>
          <w:sz w:val="18"/>
          <w:szCs w:val="18"/>
          <w:color w:val="auto"/>
        </w:rPr>
      </w:pPr>
      <w:r>
        <w:rPr>
          <w:rFonts w:ascii="Arial" w:cs="Arial" w:eastAsia="Arial" w:hAnsi="Arial"/>
          <w:sz w:val="18"/>
          <w:szCs w:val="18"/>
          <w:color w:val="auto"/>
        </w:rPr>
        <w:t xml:space="preserve">Diluted EPS was significantly lower in 2016 primarily as a result of the $6.8 billion gain recorded in 2015 in connection with the JDE coffee business transactions as well as a number of other significant items that affected the comparability of our reported results. See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appearing later in this section for further details.</w:t>
      </w:r>
    </w:p>
    <w:p>
      <w:pPr>
        <w:spacing w:after="0" w:line="229" w:lineRule="exact"/>
        <w:rPr>
          <w:rFonts w:ascii="Arial" w:cs="Arial" w:eastAsia="Arial" w:hAnsi="Arial"/>
          <w:sz w:val="18"/>
          <w:szCs w:val="18"/>
          <w:color w:val="auto"/>
        </w:rPr>
      </w:pPr>
    </w:p>
    <w:p>
      <w:pPr>
        <w:ind w:left="900" w:right="40" w:hanging="325"/>
        <w:spacing w:after="0" w:line="23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Adjusted EPS increased 15.1% to $2.14 in 2017 and increased 21.6% to $1.86 in 2016. On a constant currency basis, Adjusted EPS increased 14.5% to $2.13 in 2017 and increased 25.5% to $1.92 in 2016. Lower manufacturing costs and overhead costs, driven by strong productivity efforts, were significant drivers of Adjusted EPS growth in both years.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Measures </w:t>
      </w:r>
      <w:r>
        <w:rPr>
          <w:rFonts w:ascii="Arial" w:cs="Arial" w:eastAsia="Arial" w:hAnsi="Arial"/>
          <w:sz w:val="18"/>
          <w:szCs w:val="18"/>
          <w:color w:val="auto"/>
        </w:rPr>
        <w:t>appearing later in this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near-and long-term operating and strategic decisions. As such, we believe these metrics are useful to investors as they provide supplemental information in addition to our U.S. Generally Accepted Accounting Principles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within </w:t>
      </w:r>
      <w:r>
        <w:rPr>
          <w:rFonts w:ascii="Arial" w:cs="Arial" w:eastAsia="Arial" w:hAnsi="Arial"/>
          <w:sz w:val="18"/>
          <w:szCs w:val="18"/>
          <w:i w:val="1"/>
          <w:iCs w:val="1"/>
          <w:color w:val="auto"/>
        </w:rPr>
        <w:t xml:space="preserve">Non-GAAP Financial Measures </w:t>
      </w:r>
      <w:r>
        <w:rPr>
          <w:rFonts w:ascii="Arial" w:cs="Arial" w:eastAsia="Arial" w:hAnsi="Arial"/>
          <w:sz w:val="18"/>
          <w:szCs w:val="18"/>
          <w:color w:val="auto"/>
        </w:rPr>
        <w:t>appearing later in this section.</w:t>
      </w:r>
    </w:p>
    <w:p>
      <w:pPr>
        <w:spacing w:after="0" w:line="20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In addition to monitoring our key operating metrics, we monitor a number of developments and trends that could impact our revenue and profitability objectives.</w:t>
      </w:r>
    </w:p>
    <w:p>
      <w:pPr>
        <w:spacing w:after="0" w:line="17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Long-Term Demographics and Consumer Trends </w:t>
      </w:r>
      <w:r>
        <w:rPr>
          <w:rFonts w:ascii="Arial" w:cs="Arial" w:eastAsia="Arial" w:hAnsi="Arial"/>
          <w:sz w:val="18"/>
          <w:szCs w:val="18"/>
          <w:color w:val="auto"/>
        </w:rPr>
        <w:t>– Snack food consumption is highly correlated to GDP growth, urbanization of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rising discretionary income levels associated with a growing middle class, particularly in emerging markets. Over the long term, we expect these trends to continue leading to growth in consumer behaviors such as more frequent, smaller meals, snacking and greater use of convenience foods. We also recognize changing consumer trends such as the increased emphasis on well-being, time compression and wide participation across an evolving retail and digital landscape. To position ourselves for long-term growth, we are investing in our well-being and other snack offerings, product and marketing innovation and new routes to market including e-commerce.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 xml:space="preserve">Demand </w:t>
      </w:r>
      <w:r>
        <w:rPr>
          <w:rFonts w:ascii="Arial" w:cs="Arial" w:eastAsia="Arial" w:hAnsi="Arial"/>
          <w:sz w:val="18"/>
          <w:szCs w:val="18"/>
          <w:color w:val="auto"/>
        </w:rPr>
        <w:t>– We monitor consumer spending and our market share within the food and beverage categories in which we sell our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recent years, low GDP growth, economic recessionary pressures, weak consumer confidence, a historically strong U.S. dollar and changing consumer trends have slowed category and our net revenue growth. While we have begun to see some improvements in global economic growth and a weaker U.S. dollar in 2017, there are still geopolitical and economic uncertainties, and category growth continues to be soft. Growth in our global snacking categories (excluding Venezuela) decreased from approximately 3.4% in 2015 and 2.4% in 2016 to 2.1% in 2017. We continue to make investments in our brand and snacks portfolio, while building strong routes to market to address the needs of consumers in emerging and developed markets. In doing so, we anticipate driving demand in our categories and growing our position in these markets.</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i w:val="1"/>
          <w:iCs w:val="1"/>
          <w:color w:val="auto"/>
        </w:rPr>
        <w:t xml:space="preserve">Volatility of Global Markets </w:t>
      </w:r>
      <w:r>
        <w:rPr>
          <w:rFonts w:ascii="Arial" w:cs="Arial" w:eastAsia="Arial" w:hAnsi="Arial"/>
          <w:sz w:val="18"/>
          <w:szCs w:val="18"/>
          <w:color w:val="auto"/>
        </w:rPr>
        <w:t>– Our growth strategy depends in part on our ability to expand our operations, particularly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Some emerging markets have greater political, economic and currency volatility and greater vulnerability to infrastructure and labor disruptions than more established markets. Volatility in these markets affects demand for and the costs of our products and requires frequent changes in how we operate our business. Refer to Note 1, </w:t>
      </w:r>
      <w:r>
        <w:rPr>
          <w:rFonts w:ascii="Arial" w:cs="Arial" w:eastAsia="Arial" w:hAnsi="Arial"/>
          <w:sz w:val="18"/>
          <w:szCs w:val="18"/>
          <w:i w:val="1"/>
          <w:iCs w:val="1"/>
          <w:color w:val="auto"/>
        </w:rPr>
        <w:t>Summary of Significant Accounting Policies—Venezuela</w:t>
      </w:r>
      <w:r>
        <w:rPr>
          <w:rFonts w:ascii="Arial" w:cs="Arial" w:eastAsia="Arial" w:hAnsi="Arial"/>
          <w:sz w:val="18"/>
          <w:szCs w:val="18"/>
          <w:color w:val="auto"/>
        </w:rPr>
        <w:t>, for further discussion of these issues and their impacts on our Venezuela operations. We expect continued volatility across our markets, particularly emerging markets. As such, we are focused on investing in our global Power Brands and routes to market while we protect our margins through the management of costs and pricing.</w:t>
      </w:r>
    </w:p>
    <w:p>
      <w:pPr>
        <w:spacing w:after="0" w:line="118"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 We operate in highly competitive markets that include global, regional and local competitors. Our advantaged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new product innovations and product quality. We also continue to optimize our manufacturing and other operations and invest in our brands through ongoing research and development, advertising, marketing and consumer promotions.</w:t>
      </w:r>
    </w:p>
    <w:p>
      <w:pPr>
        <w:spacing w:after="0" w:line="118"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We adjust our product prices based on a number of variables including demand, the competitive environment and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input costs. Our net revenue growth and profitability may be affected as we adjust prices to address new conditions. Over 2015-2017, we generally increased prices in response to higher commodity costs, currency and other market factors. In 2018, we anticipate changing market conditions to continue to impact pricing. Price competition may continue to affect net revenues or market share in the near term as the market adjusts to changes in input costs and other market conditions.</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taxes, currency impacts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We manage these costs through cost saving and productivity initiatives, sourcing and hedging programs, pricing actions, refinancing and tax planning. We continue to renegotiate collective bargaining agreements covering eight U.S. facilities that expired beginning in February 2016. We have plans to ensure business continuity during the renegotiations. To remain competitive on our operating structure, we continue to work on programs to expand our profitability and margins, such as our 2014-2018 Restructuring Program, which is designed to bring about significant reductions in our operating cost structure in both our supply chain and overhead costs. Effective on October 1, 2016, we also integrated our EEMEA region operations into our Europe and Asia Pacific operating segments. This change had a favorable impact on our operating performance due to greater leverage of our European and AMEA regional businesses and resulting cost structure.</w:t>
      </w:r>
    </w:p>
    <w:p>
      <w:pPr>
        <w:spacing w:after="0" w:line="120"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 While the 2017 U.S. tax reform reduced the U.S. corporate tax rate and included beneficial depreciation provisions, other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could have an adverse effect on our results. Specifically, new provisions that cause U.S. allocated expenses (e.g. interest and general administrative expenses) to be taxed and impose a tax on U.S. cross-border payments could adversely impact our effective tax rate. We will continue to evaluate the impacts as additional guidance on implementing the legislation becomes available.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 As a global company with 75.8% of our net revenues generated outside the United States, we are continually exposed to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global economic conditions and currency movements. In 2017, the U.S. dollar began to weaken relative to other currencies in which we operate, while in 2015 and 2016, the U.S. dollar generally was stronger as a number of countries experienced significant declines in or devaluations of their currency. The currency movements created volatility in our reported results of operations. Unfavorable currency translation impacts were 12.6 percentage points (or 12.0 percentage points excluding currency impacts related to Venezuela) of the 13.5% net revenue decrease in 2015 and 4.6 percentage points of the 12.5% net revenue decrease in 2016. In 2017, the 0.1% net revenue decrease reflected 0.3 percentage points of favorable currency translation impacts as the U.S. dollar generally weakened against a number of currencies this past year. As currency movements can make comparisons of year-over-year operating performance challenging, we isolate the impact of currency and also report growth on a constant currency basis, holding prior-year currency exchange rates constant, so that prior-year and current-year results can be compared on a consistent basis.</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Historically, we have also been exposed to currency devaluation risks impacting earnings particularly, but not only, in connection with our Venezuela operations that were deconsolidated at the close of the 2015 fiscal year. In the months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In December 2017, the European Union and United Kingdom agreed to begin trade negotiations, and we could experience additional volatility in the British pound sterling as the Brexit negotiations move forward.</w:t>
      </w:r>
    </w:p>
    <w:p>
      <w:pPr>
        <w:spacing w:after="0" w:line="2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To partially offset the translation of certain of our overseas operations, including the United Kingdom, we enter into net investment hedges primarily in the form of local currency denominated debt and cross-currency swaps and other financial instruments. We generally do not hedge against currency translation and primarily seek to hedge against economic losses on cross-currency transactions. Due to limited markets for hedging currency transactions and other factors, we may not be able to effectively hedge all of our cross-currency transaction risks. Local economies, monetary policies and currency hedging availability can affect our ability to hedge against currency-related economic losses. While we work to mitigate our exposure to currency risks, factors such as continued global and local market volatility, actions by foreign governments, political uncertainty, limited hedging opportunities and other factors could lead to unfavorable currency impacts in the future. We monitor currency-related risks and economies at risk of qualifying for highly inflationary accounting under U.S. GAAP, such as Argentina and Ukraine. While we work to safeguard our business, currency devaluations could adversely affect future demand for our products, our financial results and operations, and our relationships with customers, suppliers and employees in the short or long-term. We may not be able to fully offset the increased risks related to currency devaluations and Brexit, which could impact profitability should the currency-related conditions continue. See Note 1, </w:t>
      </w:r>
      <w:r>
        <w:rPr>
          <w:rFonts w:ascii="Arial" w:cs="Arial" w:eastAsia="Arial" w:hAnsi="Arial"/>
          <w:sz w:val="18"/>
          <w:szCs w:val="18"/>
          <w:i w:val="1"/>
          <w:iCs w:val="1"/>
          <w:color w:val="auto"/>
        </w:rPr>
        <w:t>Summary of Significant Accounting Policies – Currency Translation and Highly Inflationary Accounting</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Financing Costs </w:t>
      </w:r>
      <w:r>
        <w:rPr>
          <w:rFonts w:ascii="Arial" w:cs="Arial" w:eastAsia="Arial" w:hAnsi="Arial"/>
          <w:sz w:val="18"/>
          <w:szCs w:val="18"/>
          <w:color w:val="auto"/>
        </w:rPr>
        <w:t>– We regularly evaluate our variable and fixed-rate debt. We continue to use low-cost, short- and long-term debt to finance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ongoing working capital, capital expenditures and other investments, dividends and share repurchases. We also expect to use existing cash or</w:t>
      </w:r>
    </w:p>
    <w:p>
      <w:pPr>
        <w:spacing w:after="0" w:line="234" w:lineRule="auto"/>
        <w:rPr>
          <w:sz w:val="20"/>
          <w:szCs w:val="20"/>
          <w:color w:val="auto"/>
        </w:rPr>
      </w:pPr>
      <w:r>
        <w:rPr>
          <w:rFonts w:ascii="Arial" w:cs="Arial" w:eastAsia="Arial" w:hAnsi="Arial"/>
          <w:sz w:val="18"/>
          <w:szCs w:val="18"/>
          <w:color w:val="auto"/>
        </w:rPr>
        <w:t>short-term borrowings to finance the estimated $1.3 billion U.S. tax reform transition tax liability payable through 2026. During 2017, we retired</w:t>
      </w:r>
    </w:p>
    <w:p>
      <w:pPr>
        <w:spacing w:after="0" w:line="235" w:lineRule="auto"/>
        <w:rPr>
          <w:sz w:val="20"/>
          <w:szCs w:val="20"/>
          <w:color w:val="auto"/>
        </w:rPr>
      </w:pPr>
      <w:r>
        <w:rPr>
          <w:rFonts w:ascii="Arial" w:cs="Arial" w:eastAsia="Arial" w:hAnsi="Arial"/>
          <w:sz w:val="18"/>
          <w:szCs w:val="18"/>
          <w:color w:val="auto"/>
        </w:rPr>
        <w:t>$1.5 billion of long-term debt and issued lower-cost, short-term commercial paper and long-term Swiss franc debt. During 2016, we retired</w:t>
      </w:r>
    </w:p>
    <w:p>
      <w:pPr>
        <w:spacing w:after="0" w:line="235" w:lineRule="auto"/>
        <w:rPr>
          <w:sz w:val="20"/>
          <w:szCs w:val="20"/>
          <w:color w:val="auto"/>
        </w:rPr>
      </w:pPr>
      <w:r>
        <w:rPr>
          <w:rFonts w:ascii="Arial" w:cs="Arial" w:eastAsia="Arial" w:hAnsi="Arial"/>
          <w:sz w:val="18"/>
          <w:szCs w:val="18"/>
          <w:color w:val="auto"/>
        </w:rPr>
        <w:t>$6.2 billion of our long-term debt and issued lower-cost, long-term euro, Swiss franc and U.S. dollar-denominated debt. Our weighted-average</w:t>
      </w:r>
    </w:p>
    <w:p>
      <w:pPr>
        <w:spacing w:after="0" w:line="235" w:lineRule="auto"/>
        <w:rPr>
          <w:sz w:val="20"/>
          <w:szCs w:val="20"/>
          <w:color w:val="auto"/>
        </w:rPr>
      </w:pPr>
      <w:r>
        <w:rPr>
          <w:rFonts w:ascii="Arial" w:cs="Arial" w:eastAsia="Arial" w:hAnsi="Arial"/>
          <w:sz w:val="18"/>
          <w:szCs w:val="18"/>
          <w:color w:val="auto"/>
        </w:rPr>
        <w:t>interest rate on our total debt as of December 31, 2017 was 2.1%, down from 2.2% as of December 31, 2016 and down from 3.7% as of</w:t>
      </w:r>
    </w:p>
    <w:p>
      <w:pPr>
        <w:spacing w:after="0" w:line="235" w:lineRule="auto"/>
        <w:rPr>
          <w:sz w:val="20"/>
          <w:szCs w:val="20"/>
          <w:color w:val="auto"/>
        </w:rPr>
      </w:pPr>
      <w:r>
        <w:rPr>
          <w:rFonts w:ascii="Arial" w:cs="Arial" w:eastAsia="Arial" w:hAnsi="Arial"/>
          <w:sz w:val="18"/>
          <w:szCs w:val="18"/>
          <w:color w:val="auto"/>
        </w:rPr>
        <w:t>December 31, 2015. We also continue to use interest rate swaps and other financial instruments to manage our exposure to interest rate and</w:t>
      </w:r>
    </w:p>
    <w:p>
      <w:pPr>
        <w:spacing w:after="0" w:line="235" w:lineRule="auto"/>
        <w:rPr>
          <w:sz w:val="20"/>
          <w:szCs w:val="20"/>
          <w:color w:val="auto"/>
        </w:rPr>
      </w:pPr>
      <w:r>
        <w:rPr>
          <w:rFonts w:ascii="Arial" w:cs="Arial" w:eastAsia="Arial" w:hAnsi="Arial"/>
          <w:sz w:val="18"/>
          <w:szCs w:val="18"/>
          <w:color w:val="auto"/>
        </w:rPr>
        <w:t>cash flow variability, protect the value of our existing currency assets and liabilities and protect the value of our debt. For example, through</w:t>
      </w:r>
    </w:p>
    <w:p>
      <w:pPr>
        <w:spacing w:after="0" w:line="235" w:lineRule="auto"/>
        <w:rPr>
          <w:sz w:val="20"/>
          <w:szCs w:val="20"/>
          <w:color w:val="auto"/>
        </w:rPr>
      </w:pPr>
      <w:r>
        <w:rPr>
          <w:rFonts w:ascii="Arial" w:cs="Arial" w:eastAsia="Arial" w:hAnsi="Arial"/>
          <w:sz w:val="18"/>
          <w:szCs w:val="18"/>
          <w:color w:val="auto"/>
        </w:rPr>
        <w:t>February 8, 2018, we entered into cross-currency interest rate swaps and forwards with an aggregate notional value of $3.2 billion to hedge our</w:t>
      </w:r>
    </w:p>
    <w:p>
      <w:pPr>
        <w:spacing w:after="0" w:line="235" w:lineRule="auto"/>
        <w:rPr>
          <w:sz w:val="20"/>
          <w:szCs w:val="20"/>
          <w:color w:val="auto"/>
        </w:rPr>
      </w:pPr>
      <w:r>
        <w:rPr>
          <w:rFonts w:ascii="Arial" w:cs="Arial" w:eastAsia="Arial" w:hAnsi="Arial"/>
          <w:sz w:val="18"/>
          <w:szCs w:val="18"/>
          <w:color w:val="auto"/>
        </w:rPr>
        <w:t>non-U.S. net investments against adverse movements in exchange rates. We designated these swaps and forwards as net investment hedges</w:t>
      </w:r>
    </w:p>
    <w:p>
      <w:pPr>
        <w:spacing w:after="0" w:line="235" w:lineRule="auto"/>
        <w:rPr>
          <w:sz w:val="20"/>
          <w:szCs w:val="20"/>
          <w:color w:val="auto"/>
        </w:rPr>
      </w:pPr>
      <w:r>
        <w:rPr>
          <w:rFonts w:ascii="Arial" w:cs="Arial" w:eastAsia="Arial" w:hAnsi="Arial"/>
          <w:sz w:val="18"/>
          <w:szCs w:val="18"/>
          <w:color w:val="auto"/>
        </w:rPr>
        <w:t>related to our operations in our Europe and AMEA regions. We expect a favorable impact on our prospective financing costs as we reduce</w:t>
      </w:r>
    </w:p>
    <w:p>
      <w:pPr>
        <w:spacing w:after="0" w:line="234" w:lineRule="auto"/>
        <w:rPr>
          <w:sz w:val="20"/>
          <w:szCs w:val="20"/>
          <w:color w:val="auto"/>
        </w:rPr>
      </w:pPr>
      <w:r>
        <w:rPr>
          <w:rFonts w:ascii="Arial" w:cs="Arial" w:eastAsia="Arial" w:hAnsi="Arial"/>
          <w:sz w:val="18"/>
          <w:szCs w:val="18"/>
          <w:color w:val="auto"/>
        </w:rPr>
        <w:t xml:space="preserve">some of the financing costs and related currency impacts within our interest costs.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 on our debt and derivative activity.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19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See Note</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top w:val="single" w:sz="8" w:color="auto"/>
            </w:tcBorders>
          </w:tcPr>
          <w:p>
            <w:pPr>
              <w:jc w:val="center"/>
              <w:ind w:right="479"/>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3"/>
          </w:tcPr>
          <w:p>
            <w:pPr>
              <w:jc w:val="center"/>
              <w:ind w:right="119"/>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3"/>
                <w:szCs w:val="13"/>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JDE coffee business transactions:</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rPr>
              <w:t>Note 2</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340"/>
              <w:spacing w:after="0"/>
              <w:rPr>
                <w:sz w:val="20"/>
                <w:szCs w:val="20"/>
                <w:color w:val="auto"/>
              </w:rPr>
            </w:pPr>
            <w:r>
              <w:rPr>
                <w:rFonts w:ascii="Arial" w:cs="Arial" w:eastAsia="Arial" w:hAnsi="Arial"/>
                <w:sz w:val="16"/>
                <w:szCs w:val="16"/>
                <w:color w:val="auto"/>
              </w:rPr>
              <w:t>Gain on contribution</w:t>
            </w:r>
          </w:p>
        </w:tc>
        <w:tc>
          <w:tcPr>
            <w:tcW w:w="148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6,809</w:t>
            </w:r>
          </w:p>
        </w:tc>
      </w:tr>
      <w:tr>
        <w:trPr>
          <w:trHeight w:val="203"/>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Incremental costs for readying the businesses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w:t>
            </w:r>
          </w:p>
        </w:tc>
      </w:tr>
      <w:tr>
        <w:trPr>
          <w:trHeight w:val="203"/>
        </w:trPr>
        <w:tc>
          <w:tcPr>
            <w:tcW w:w="6200" w:type="dxa"/>
            <w:vAlign w:val="bottom"/>
          </w:tcPr>
          <w:p>
            <w:pPr>
              <w:ind w:left="340"/>
              <w:spacing w:after="0" w:line="202" w:lineRule="exact"/>
              <w:rPr>
                <w:sz w:val="20"/>
                <w:szCs w:val="20"/>
                <w:color w:val="auto"/>
              </w:rPr>
            </w:pPr>
            <w:r>
              <w:rPr>
                <w:rFonts w:ascii="Arial" w:cs="Arial" w:eastAsia="Arial" w:hAnsi="Arial"/>
                <w:sz w:val="14"/>
                <w:szCs w:val="14"/>
                <w:color w:val="auto"/>
              </w:rPr>
              <w:t xml:space="preserve">Currency-related hedging net gains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436</w:t>
            </w: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Venezuela:</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rPr>
              <w:t>Note 1</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340"/>
              <w:spacing w:after="0" w:line="202" w:lineRule="exact"/>
              <w:rPr>
                <w:sz w:val="20"/>
                <w:szCs w:val="20"/>
                <w:color w:val="auto"/>
              </w:rPr>
            </w:pPr>
            <w:r>
              <w:rPr>
                <w:rFonts w:ascii="Arial" w:cs="Arial" w:eastAsia="Arial" w:hAnsi="Arial"/>
                <w:sz w:val="14"/>
                <w:szCs w:val="14"/>
                <w:color w:val="auto"/>
              </w:rPr>
              <w:t xml:space="preserve">Historical operating income </w:t>
            </w:r>
            <w:r>
              <w:rPr>
                <w:rFonts w:ascii="Arial" w:cs="Arial" w:eastAsia="Arial" w:hAnsi="Arial"/>
                <w:sz w:val="23"/>
                <w:szCs w:val="23"/>
                <w:color w:val="auto"/>
                <w:vertAlign w:val="superscript"/>
              </w:rPr>
              <w:t>(2)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266</w:t>
            </w:r>
          </w:p>
        </w:tc>
      </w:tr>
      <w:tr>
        <w:trPr>
          <w:trHeight w:val="197"/>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Remeasurement of net monetary assets: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6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Q1 2015: 11.50 to 12.00 bolivars to the U.S. dollar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r>
      <w:tr>
        <w:trPr>
          <w:trHeight w:val="203"/>
        </w:trPr>
        <w:tc>
          <w:tcPr>
            <w:tcW w:w="6200" w:type="dxa"/>
            <w:vAlign w:val="bottom"/>
          </w:tcPr>
          <w:p>
            <w:pPr>
              <w:ind w:left="340"/>
              <w:spacing w:after="0"/>
              <w:rPr>
                <w:sz w:val="20"/>
                <w:szCs w:val="20"/>
                <w:color w:val="auto"/>
              </w:rPr>
            </w:pPr>
            <w:r>
              <w:rPr>
                <w:rFonts w:ascii="Arial" w:cs="Arial" w:eastAsia="Arial" w:hAnsi="Arial"/>
                <w:sz w:val="16"/>
                <w:szCs w:val="16"/>
                <w:color w:val="auto"/>
              </w:rPr>
              <w:t>Loss on deconsolidation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(778)</w:t>
            </w: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2014-2018 Restructuring Program:</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rPr>
              <w:t>Note 6</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340"/>
              <w:spacing w:after="0"/>
              <w:rPr>
                <w:sz w:val="20"/>
                <w:szCs w:val="20"/>
                <w:color w:val="auto"/>
              </w:rPr>
            </w:pPr>
            <w:r>
              <w:rPr>
                <w:rFonts w:ascii="Arial" w:cs="Arial" w:eastAsia="Arial" w:hAnsi="Arial"/>
                <w:sz w:val="16"/>
                <w:szCs w:val="16"/>
                <w:color w:val="auto"/>
              </w:rPr>
              <w:t>Restructuring charges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(535)</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(714)</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(711)</w:t>
            </w:r>
          </w:p>
        </w:tc>
      </w:tr>
      <w:tr>
        <w:trPr>
          <w:trHeight w:val="203"/>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Implementation charges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(257)</w:t>
            </w: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4"/>
                <w:szCs w:val="14"/>
                <w:b w:val="1"/>
                <w:bCs w:val="1"/>
                <w:color w:val="auto"/>
              </w:rPr>
              <w:t xml:space="preserve">Gain on equity method investment transactions </w:t>
            </w:r>
            <w:r>
              <w:rPr>
                <w:rFonts w:ascii="Arial" w:cs="Arial" w:eastAsia="Arial" w:hAnsi="Arial"/>
                <w:sz w:val="23"/>
                <w:szCs w:val="23"/>
                <w:b w:val="1"/>
                <w:bCs w:val="1"/>
                <w:color w:val="auto"/>
                <w:vertAlign w:val="superscript"/>
              </w:rPr>
              <w:t>(3)</w:t>
            </w:r>
          </w:p>
        </w:tc>
        <w:tc>
          <w:tcPr>
            <w:tcW w:w="1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Note 2</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40</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43</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on debt extinguishment and related expenses</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rPr>
              <w:t>Note 7</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(753)</w:t>
            </w:r>
          </w:p>
        </w:tc>
      </w:tr>
      <w:tr>
        <w:trPr>
          <w:trHeight w:val="203"/>
        </w:trPr>
        <w:tc>
          <w:tcPr>
            <w:tcW w:w="6200" w:type="dxa"/>
            <w:vAlign w:val="bottom"/>
          </w:tcPr>
          <w:p>
            <w:pPr>
              <w:spacing w:after="0"/>
              <w:rPr>
                <w:sz w:val="20"/>
                <w:szCs w:val="20"/>
                <w:color w:val="auto"/>
              </w:rPr>
            </w:pPr>
            <w:r>
              <w:rPr>
                <w:rFonts w:ascii="Arial" w:cs="Arial" w:eastAsia="Arial" w:hAnsi="Arial"/>
                <w:sz w:val="16"/>
                <w:szCs w:val="16"/>
                <w:b w:val="1"/>
                <w:bCs w:val="1"/>
                <w:color w:val="auto"/>
              </w:rPr>
              <w:t>Loss related to interest rate swaps</w:t>
            </w:r>
          </w:p>
        </w:tc>
        <w:tc>
          <w:tcPr>
            <w:tcW w:w="1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Note 7 &amp; 8</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(97)</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CEO transition remuneration </w:t>
            </w:r>
            <w:r>
              <w:rPr>
                <w:rFonts w:ascii="Arial" w:cs="Arial" w:eastAsia="Arial" w:hAnsi="Arial"/>
                <w:sz w:val="23"/>
                <w:szCs w:val="23"/>
                <w:b w:val="1"/>
                <w:bCs w:val="1"/>
                <w:color w:val="auto"/>
                <w:vertAlign w:val="superscript"/>
              </w:rPr>
              <w:t>(4)</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rPr>
              <w:t>See (4) below</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tcPr>
          <w:p>
            <w:pPr>
              <w:spacing w:after="0"/>
              <w:rPr>
                <w:sz w:val="20"/>
                <w:szCs w:val="20"/>
                <w:color w:val="auto"/>
              </w:rPr>
            </w:pPr>
            <w:r>
              <w:rPr>
                <w:rFonts w:ascii="Arial" w:cs="Arial" w:eastAsia="Arial" w:hAnsi="Arial"/>
                <w:sz w:val="16"/>
                <w:szCs w:val="16"/>
                <w:b w:val="1"/>
                <w:bCs w:val="1"/>
                <w:color w:val="auto"/>
              </w:rPr>
              <w:t>Intangible asset impairment charges</w:t>
            </w:r>
          </w:p>
        </w:tc>
        <w:tc>
          <w:tcPr>
            <w:tcW w:w="1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Note 5</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(109)</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(137)</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Divestitures, acquisitions and sales of property</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rPr>
              <w:t>Note 2</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340"/>
              <w:spacing w:after="0"/>
              <w:rPr>
                <w:sz w:val="20"/>
                <w:szCs w:val="20"/>
                <w:color w:val="auto"/>
              </w:rPr>
            </w:pPr>
            <w:r>
              <w:rPr>
                <w:rFonts w:ascii="Arial" w:cs="Arial" w:eastAsia="Arial" w:hAnsi="Arial"/>
                <w:sz w:val="16"/>
                <w:szCs w:val="16"/>
                <w:color w:val="auto"/>
              </w:rPr>
              <w:t>Gain on sale of intangible assets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15</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gain on divestitures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186</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r>
      <w:tr>
        <w:trPr>
          <w:trHeight w:val="203"/>
        </w:trPr>
        <w:tc>
          <w:tcPr>
            <w:tcW w:w="6200" w:type="dxa"/>
            <w:vAlign w:val="bottom"/>
          </w:tcPr>
          <w:p>
            <w:pPr>
              <w:ind w:left="340"/>
              <w:spacing w:after="0" w:line="202" w:lineRule="exact"/>
              <w:rPr>
                <w:sz w:val="20"/>
                <w:szCs w:val="20"/>
                <w:color w:val="auto"/>
              </w:rPr>
            </w:pPr>
            <w:r>
              <w:rPr>
                <w:rFonts w:ascii="Arial" w:cs="Arial" w:eastAsia="Arial" w:hAnsi="Arial"/>
                <w:sz w:val="14"/>
                <w:szCs w:val="14"/>
                <w:color w:val="auto"/>
              </w:rPr>
              <w:t xml:space="preserve">Divestiture-related costs </w:t>
            </w:r>
            <w:r>
              <w:rPr>
                <w:rFonts w:ascii="Arial" w:cs="Arial" w:eastAsia="Arial" w:hAnsi="Arial"/>
                <w:sz w:val="23"/>
                <w:szCs w:val="23"/>
                <w:color w:val="auto"/>
                <w:vertAlign w:val="superscript"/>
              </w:rPr>
              <w:t>(5)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(34)</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(86)</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r>
      <w:tr>
        <w:trPr>
          <w:trHeight w:val="203"/>
        </w:trPr>
        <w:tc>
          <w:tcPr>
            <w:tcW w:w="6200" w:type="dxa"/>
            <w:vAlign w:val="bottom"/>
          </w:tcPr>
          <w:p>
            <w:pPr>
              <w:ind w:left="340"/>
              <w:spacing w:after="0"/>
              <w:rPr>
                <w:sz w:val="20"/>
                <w:szCs w:val="20"/>
                <w:color w:val="auto"/>
              </w:rPr>
            </w:pPr>
            <w:r>
              <w:rPr>
                <w:rFonts w:ascii="Arial" w:cs="Arial" w:eastAsia="Arial" w:hAnsi="Arial"/>
                <w:sz w:val="16"/>
                <w:szCs w:val="16"/>
                <w:color w:val="auto"/>
              </w:rPr>
              <w:t>Other acquisition integration costs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(3)</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(7)</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03"/>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property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4"/>
                <w:szCs w:val="14"/>
                <w:b w:val="1"/>
                <w:bCs w:val="1"/>
                <w:color w:val="auto"/>
              </w:rPr>
              <w:t xml:space="preserve">Mark-to-market (losses)/gains from derivatives </w:t>
            </w:r>
            <w:r>
              <w:rPr>
                <w:rFonts w:ascii="Arial" w:cs="Arial" w:eastAsia="Arial" w:hAnsi="Arial"/>
                <w:sz w:val="23"/>
                <w:szCs w:val="23"/>
                <w:b w:val="1"/>
                <w:bCs w:val="1"/>
                <w:color w:val="auto"/>
                <w:vertAlign w:val="superscript"/>
              </w:rPr>
              <w:t>(6)</w:t>
            </w:r>
          </w:p>
        </w:tc>
        <w:tc>
          <w:tcPr>
            <w:tcW w:w="1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Note 8</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(96)</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(94)</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56</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Benefits from the resolution of tax matters </w:t>
            </w:r>
            <w:r>
              <w:rPr>
                <w:rFonts w:ascii="Arial" w:cs="Arial" w:eastAsia="Arial" w:hAnsi="Arial"/>
                <w:sz w:val="23"/>
                <w:szCs w:val="23"/>
                <w:b w:val="1"/>
                <w:bCs w:val="1"/>
                <w:color w:val="auto"/>
                <w:vertAlign w:val="superscript"/>
              </w:rPr>
              <w:t>(7)</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w w:val="99"/>
              </w:rPr>
              <w:t>Note 12</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281</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tcPr>
          <w:p>
            <w:pPr>
              <w:spacing w:after="0"/>
              <w:rPr>
                <w:sz w:val="20"/>
                <w:szCs w:val="20"/>
                <w:color w:val="auto"/>
              </w:rPr>
            </w:pPr>
            <w:r>
              <w:rPr>
                <w:rFonts w:ascii="Arial" w:cs="Arial" w:eastAsia="Arial" w:hAnsi="Arial"/>
                <w:sz w:val="16"/>
                <w:szCs w:val="16"/>
                <w:b w:val="1"/>
                <w:bCs w:val="1"/>
                <w:color w:val="auto"/>
              </w:rPr>
              <w:t>Malware incident incremental expenses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(84)</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U.S. tax reform discrete net tax benefit </w:t>
            </w:r>
            <w:r>
              <w:rPr>
                <w:rFonts w:ascii="Arial" w:cs="Arial" w:eastAsia="Arial" w:hAnsi="Arial"/>
                <w:sz w:val="23"/>
                <w:szCs w:val="23"/>
                <w:b w:val="1"/>
                <w:bCs w:val="1"/>
                <w:color w:val="auto"/>
                <w:vertAlign w:val="superscript"/>
              </w:rPr>
              <w:t>(8)</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w w:val="99"/>
              </w:rPr>
              <w:t>Note 14</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59</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5"/>
        </w:trPr>
        <w:tc>
          <w:tcPr>
            <w:tcW w:w="6200" w:type="dxa"/>
            <w:vAlign w:val="bottom"/>
          </w:tcPr>
          <w:p>
            <w:pPr>
              <w:spacing w:after="0"/>
              <w:rPr>
                <w:sz w:val="20"/>
                <w:szCs w:val="20"/>
                <w:color w:val="auto"/>
              </w:rPr>
            </w:pPr>
            <w:r>
              <w:rPr>
                <w:rFonts w:ascii="Arial" w:cs="Arial" w:eastAsia="Arial" w:hAnsi="Arial"/>
                <w:sz w:val="16"/>
                <w:szCs w:val="16"/>
                <w:b w:val="1"/>
                <w:bCs w:val="1"/>
                <w:color w:val="auto"/>
              </w:rPr>
              <w:t>Effective tax rate</w:t>
            </w:r>
          </w:p>
        </w:tc>
        <w:tc>
          <w:tcPr>
            <w:tcW w:w="1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w w:val="99"/>
              </w:rPr>
              <w:t>Note 14</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22.0%</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8.9%</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r>
    </w:tbl>
    <w:p>
      <w:pPr>
        <w:spacing w:after="0" w:line="141" w:lineRule="exact"/>
        <w:rPr>
          <w:sz w:val="20"/>
          <w:szCs w:val="20"/>
          <w:color w:val="auto"/>
        </w:rPr>
      </w:pPr>
    </w:p>
    <w:p>
      <w:pPr>
        <w:ind w:left="114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To lock in an expected U.S. dollar value of the cash to be received in euros upon closing of the JDE coffee business transactions, we entered into currency exchange forward contracts beginning in May 2014, when the transaction was announced. We recognized related currency hedging net gains of $436 million in 2015. See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the JDE coffee business transactions and related hedging transactions.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the impact of remeasurement losses and 2014-2018 Restructuring Program charges that are shown separately.</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gain on equity method investment transactions is recorded outside of pre-tax operating results on the consolidated statement of earnings.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discussion of CEO transition remuneration.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Divestiture-related costs in 2017 totaled $34 million ($31 million in operating income and $3 million in interest and other expense, net).</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Unrealized gains or losses on commodity and forecasted currency transaction derivatives. 2015 amounts exclude coffee commodity and currency derivative impacts that are included within the coffee operating results throughout the following sections.</w:t>
      </w:r>
    </w:p>
    <w:p>
      <w:pPr>
        <w:ind w:left="1140" w:right="18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 Primarily includes the reversal of tax liabilities in connection with the resolution of a Brazilian indirect tax matter and settlement of pre-acquisition Cadbury tax matters.</w:t>
      </w:r>
    </w:p>
    <w:p>
      <w:pPr>
        <w:ind w:left="1140" w:hanging="33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the U.S. tax reform.</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2017 with 2016 and 2016 with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For the Years Ended</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720" w:type="dxa"/>
            <w:vAlign w:val="bottom"/>
            <w:tcBorders>
              <w:bottom w:val="single" w:sz="8" w:color="auto"/>
            </w:tcBorders>
            <w:gridSpan w:val="2"/>
          </w:tcPr>
          <w:p>
            <w:pPr>
              <w:jc w:val="center"/>
              <w:ind w:left="578"/>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200" w:type="dxa"/>
            <w:vAlign w:val="bottom"/>
          </w:tcPr>
          <w:p>
            <w:pPr>
              <w:jc w:val="right"/>
              <w:ind w:right="498"/>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3840" w:type="dxa"/>
            <w:vAlign w:val="bottom"/>
            <w:tcBorders>
              <w:top w:val="single" w:sz="8" w:color="auto"/>
            </w:tcBorders>
            <w:gridSpan w:val="6"/>
          </w:tcPr>
          <w:p>
            <w:pPr>
              <w:jc w:val="right"/>
              <w:ind w:right="653"/>
              <w:spacing w:after="0"/>
              <w:rPr>
                <w:sz w:val="20"/>
                <w:szCs w:val="20"/>
                <w:color w:val="auto"/>
              </w:rPr>
            </w:pPr>
            <w:r>
              <w:rPr>
                <w:rFonts w:ascii="Arial" w:cs="Arial" w:eastAsia="Arial" w:hAnsi="Arial"/>
                <w:sz w:val="14"/>
                <w:szCs w:val="14"/>
                <w:b w:val="1"/>
                <w:bCs w:val="1"/>
                <w:color w:val="auto"/>
              </w:rPr>
              <w:t>(in millions, except per share data)</w:t>
            </w:r>
          </w:p>
        </w:tc>
        <w:tc>
          <w:tcPr>
            <w:tcW w:w="5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   25,896</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25,923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38"/>
        </w:trPr>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Pr>
          <w:p>
            <w:pPr>
              <w:jc w:val="right"/>
              <w:ind w:right="198"/>
              <w:spacing w:after="0"/>
              <w:rPr>
                <w:sz w:val="20"/>
                <w:szCs w:val="20"/>
                <w:color w:val="auto"/>
              </w:rPr>
            </w:pPr>
            <w:r>
              <w:rPr>
                <w:rFonts w:ascii="Arial" w:cs="Arial" w:eastAsia="Arial" w:hAnsi="Arial"/>
                <w:sz w:val="18"/>
                <w:szCs w:val="18"/>
                <w:color w:val="auto"/>
              </w:rPr>
              <w:t>3,506</w:t>
            </w:r>
          </w:p>
        </w:tc>
        <w:tc>
          <w:tcPr>
            <w:tcW w:w="52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2,569</w:t>
            </w:r>
          </w:p>
        </w:tc>
        <w:tc>
          <w:tcPr>
            <w:tcW w:w="38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937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95"/>
        </w:trPr>
        <w:tc>
          <w:tcPr>
            <w:tcW w:w="5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2,936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1,669</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310"/>
        </w:trPr>
        <w:tc>
          <w:tcPr>
            <w:tcW w:w="5360" w:type="dxa"/>
            <w:vAlign w:val="bottom"/>
          </w:tcPr>
          <w:p>
            <w:pPr>
              <w:spacing w:after="0"/>
              <w:rPr>
                <w:sz w:val="20"/>
                <w:szCs w:val="20"/>
                <w:color w:val="auto"/>
              </w:rPr>
            </w:pPr>
            <w:r>
              <w:rPr>
                <w:rFonts w:ascii="Arial" w:cs="Arial" w:eastAsia="Arial" w:hAnsi="Arial"/>
                <w:sz w:val="18"/>
                <w:szCs w:val="18"/>
                <w:color w:val="auto"/>
              </w:rPr>
              <w:t>Net earnings attributable to</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1200" w:type="dxa"/>
            <w:vAlign w:val="bottom"/>
          </w:tcPr>
          <w:p>
            <w:pPr>
              <w:jc w:val="right"/>
              <w:ind w:right="198"/>
              <w:spacing w:after="0"/>
              <w:rPr>
                <w:sz w:val="20"/>
                <w:szCs w:val="20"/>
                <w:color w:val="auto"/>
              </w:rPr>
            </w:pPr>
            <w:r>
              <w:rPr>
                <w:rFonts w:ascii="Arial" w:cs="Arial" w:eastAsia="Arial" w:hAnsi="Arial"/>
                <w:sz w:val="18"/>
                <w:szCs w:val="18"/>
                <w:color w:val="auto"/>
              </w:rPr>
              <w:t>2,922</w:t>
            </w:r>
          </w:p>
        </w:tc>
        <w:tc>
          <w:tcPr>
            <w:tcW w:w="5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1,659</w:t>
            </w:r>
          </w:p>
        </w:tc>
        <w:tc>
          <w:tcPr>
            <w:tcW w:w="3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1,263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95"/>
        </w:trPr>
        <w:tc>
          <w:tcPr>
            <w:tcW w:w="5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share attributable to</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Mondelēz International</w:t>
            </w:r>
          </w:p>
        </w:tc>
        <w:tc>
          <w:tcPr>
            <w:tcW w:w="1200" w:type="dxa"/>
            <w:vAlign w:val="bottom"/>
            <w:shd w:val="clear" w:color="auto" w:fill="CCEEFF"/>
          </w:tcPr>
          <w:p>
            <w:pPr>
              <w:jc w:val="right"/>
              <w:ind w:right="198"/>
              <w:spacing w:after="0" w:line="203" w:lineRule="exact"/>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0.86</w:t>
            </w: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$27 million (0.1%) to $25,896 million in 2017, and Organic Net Revenue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$ 220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(0.9%) to $25,490 million. Power Brands net revenues increased 2.9%, including a favorable currency impact, and Power Brands Organic Net Revenue increased 2.1%. Emerging markets net revenues increased 3.7%, including a favorable currency impact, and emerging markets Organic Net Revenue increased 3.6%. The underlying changes in net revenues and Organic Net Revenue are detailed below:</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97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net revenues (by percentage point)</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b w:val="1"/>
                <w:bCs w:val="1"/>
                <w:color w:val="auto"/>
              </w:rPr>
              <w:t>Total change in net revenues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Add back the following items affecting comparability:</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80"/>
              <w:spacing w:after="0"/>
              <w:rPr>
                <w:sz w:val="20"/>
                <w:szCs w:val="20"/>
                <w:color w:val="auto"/>
              </w:rPr>
            </w:pPr>
            <w:r>
              <w:rPr>
                <w:rFonts w:ascii="Arial" w:cs="Arial" w:eastAsia="Arial" w:hAnsi="Arial"/>
                <w:sz w:val="18"/>
                <w:szCs w:val="18"/>
                <w:color w:val="auto"/>
              </w:rPr>
              <w:t>Favorable currency</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acquisition</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(0.2)pp</w:t>
            </w:r>
          </w:p>
        </w:tc>
        <w:tc>
          <w:tcPr>
            <w:tcW w:w="0" w:type="dxa"/>
            <w:vAlign w:val="bottom"/>
          </w:tcPr>
          <w:p>
            <w:pPr>
              <w:spacing w:after="0"/>
              <w:rPr>
                <w:sz w:val="1"/>
                <w:szCs w:val="1"/>
                <w:color w:val="auto"/>
              </w:rPr>
            </w:pPr>
          </w:p>
        </w:tc>
      </w:tr>
      <w:tr>
        <w:trPr>
          <w:trHeight w:val="216"/>
        </w:trPr>
        <w:tc>
          <w:tcPr>
            <w:tcW w:w="9740" w:type="dxa"/>
            <w:vAlign w:val="bottom"/>
          </w:tcPr>
          <w:p>
            <w:pPr>
              <w:ind w:left="180"/>
              <w:spacing w:after="0"/>
              <w:rPr>
                <w:sz w:val="20"/>
                <w:szCs w:val="20"/>
                <w:color w:val="auto"/>
              </w:rPr>
            </w:pPr>
            <w:r>
              <w:rPr>
                <w:rFonts w:ascii="Arial" w:cs="Arial" w:eastAsia="Arial" w:hAnsi="Arial"/>
                <w:sz w:val="18"/>
                <w:szCs w:val="18"/>
                <w:color w:val="auto"/>
              </w:rPr>
              <w:t>Impact of divestitures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1.5pp</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180"/>
              <w:spacing w:after="0"/>
              <w:rPr>
                <w:sz w:val="20"/>
                <w:szCs w:val="20"/>
                <w:color w:val="auto"/>
              </w:rPr>
            </w:pPr>
            <w:r>
              <w:rPr>
                <w:rFonts w:ascii="Arial" w:cs="Arial" w:eastAsia="Arial" w:hAnsi="Arial"/>
                <w:sz w:val="18"/>
                <w:szCs w:val="18"/>
                <w:color w:val="auto"/>
              </w:rPr>
              <w:t>Higher net pricing</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vMerge w:val="continue"/>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1.5pp</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(0.6)pp</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800"/>
        <w:spacing w:after="0"/>
        <w:tabs>
          <w:tab w:leader="none" w:pos="108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 decline of 0.1% was driven by the impact of divestitures, partially offset by our underlying Organic Net Revenue growth of 0.9%, favorable currency and the impact of an acquisition. The impact of divestitures resulted in a year-over-year decline in net revenues of $383 million for 2017. Our underlying Organic Net Revenue increase was driven by higher net pricing, partially offset by unfavorable volume/mix. Net pricing was up, which includes the benefit of carryover pricing from 2016 as well as the effects of input cost-driven pricing actions taken during 2017. Higher net pricing was reflected in Latin America and AMEA, partially offset by lower net pricing in North America and Europe. Unfavorable volume/mix was reflected in all segments except Europe, in part due to expected shipments that we did not realize following the second quarter malware incident. Favorable year-over-year currency impacts increased net revenues by $77 million, due primarily to the strength of several currencies relative to the U.S. dollar, including the Brazilian real, euro, Russian ruble, Australian dollar, Indian rupee and South African rand, partially offset by the strength of the U.S. dollar relative to several currencies, including the Egyptian pound, British pound sterling, Argentinean peso, Nigerian naira, Turkish lira, Philippine peso and Chinese yuan. The November 2, 2016 acquisition of a business and license to manufacture, market and sell Cadbury-branded biscuits in additional key markets added $59 million (constant currency basis) of incremental net revenues for 2017.</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$ 937 million (36.5%) to $ 3,506 million in 2017, Adjusted Operating Income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$376 million (9.9%) to $4,178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$376 million (9.9%) to $4,178 million due to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Income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(4)</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(7)</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Other/rounding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right="1500" w:hanging="359"/>
        <w:spacing w:after="0" w:line="263" w:lineRule="auto"/>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2016 </w:t>
      </w:r>
      <w:r>
        <w:rPr>
          <w:rFonts w:ascii="Arial" w:cs="Arial" w:eastAsia="Arial" w:hAnsi="Arial"/>
          <w:sz w:val="18"/>
          <w:szCs w:val="18"/>
          <w:color w:val="auto"/>
        </w:rPr>
        <w:t>Higher net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-135890</wp:posOffset>
            </wp:positionV>
            <wp:extent cx="67665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Higher input costs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Unfavorable volume/mix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Lower selling, general and administrative expenses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Gains on sales of property in 2016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VAT-related settlement in 2016</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Property insurance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(8)</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w:t>
      </w:r>
    </w:p>
    <w:p>
      <w:pPr>
        <w:spacing w:after="0" w:line="1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-1905</wp:posOffset>
            </wp:positionV>
            <wp:extent cx="548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-1905</wp:posOffset>
            </wp:positionV>
            <wp:extent cx="5829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(in millions)</w:t>
      </w:r>
    </w:p>
    <w:p>
      <w:pPr>
        <w:spacing w:after="0" w:line="12" w:lineRule="exact"/>
        <w:rPr>
          <w:sz w:val="20"/>
          <w:szCs w:val="20"/>
          <w:color w:val="auto"/>
        </w:rPr>
      </w:pPr>
    </w:p>
    <w:p>
      <w:pPr>
        <w:ind w:left="460" w:hanging="459"/>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2,569</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1,086</w:t>
      </w:r>
    </w:p>
    <w:p>
      <w:pPr>
        <w:spacing w:after="0" w:line="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137</w:t>
      </w:r>
    </w:p>
    <w:p>
      <w:pPr>
        <w:spacing w:after="0" w:line="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94</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7</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86</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(153)</w:t>
      </w:r>
    </w:p>
    <w:p>
      <w:pPr>
        <w:spacing w:after="0" w:line="9"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(9)</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(15)</w:t>
      </w:r>
    </w:p>
    <w:p>
      <w:pPr>
        <w:spacing w:after="0" w:line="9"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5829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460" w:hanging="459"/>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3,802</w:t>
      </w:r>
    </w:p>
    <w:p>
      <w:pPr>
        <w:spacing w:after="0" w:line="3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370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(173)</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(160)</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405</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(46)</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27</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8</w:t>
      </w:r>
    </w:p>
    <w:p>
      <w:pPr>
        <w:spacing w:after="0" w:line="6"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w:t>
      </w:r>
    </w:p>
    <w:p>
      <w:pPr>
        <w:spacing w:after="0" w:line="1" w:lineRule="exact"/>
        <w:rPr>
          <w:sz w:val="20"/>
          <w:szCs w:val="20"/>
          <w:color w:val="auto"/>
        </w:rPr>
      </w:pPr>
    </w:p>
    <w:p>
      <w:pPr>
        <w:sectPr>
          <w:pgSz w:w="11900" w:h="16838" w:orient="portrait"/>
          <w:cols w:equalWidth="0" w:num="2">
            <w:col w:w="8160" w:space="720"/>
            <w:col w:w="2540"/>
          </w:cols>
          <w:pgMar w:left="240" w:top="459" w:right="239" w:bottom="1440" w:gutter="0" w:footer="0" w:header="0"/>
          <w:type w:val="continuous"/>
        </w:sectPr>
      </w:pPr>
    </w:p>
    <w:tbl>
      <w:tblPr>
        <w:tblLayout w:type="fixed"/>
        <w:tblInd w:w="760" w:type="dxa"/>
        <w:tblCellMar>
          <w:top w:w="0" w:type="dxa"/>
          <w:left w:w="0" w:type="dxa"/>
          <w:bottom w:w="0" w:type="dxa"/>
          <w:right w:w="0" w:type="dxa"/>
        </w:tblCellMar>
      </w:tblPr>
      <w:tr>
        <w:trPr>
          <w:trHeight w:val="223"/>
        </w:trPr>
        <w:tc>
          <w:tcPr>
            <w:tcW w:w="8120" w:type="dxa"/>
            <w:vAlign w:val="bottom"/>
          </w:tcPr>
          <w:p>
            <w:pPr>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8"/>
                <w:szCs w:val="18"/>
                <w:color w:val="auto"/>
              </w:rPr>
            </w:pPr>
          </w:p>
        </w:tc>
      </w:tr>
      <w:tr>
        <w:trPr>
          <w:trHeight w:val="237"/>
        </w:trPr>
        <w:tc>
          <w:tcPr>
            <w:tcW w:w="8120" w:type="dxa"/>
            <w:vAlign w:val="bottom"/>
          </w:tcPr>
          <w:p>
            <w:pPr>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-7620</wp:posOffset>
            </wp:positionV>
            <wp:extent cx="5829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ind w:left="760"/>
        <w:spacing w:after="0"/>
        <w:rPr>
          <w:sz w:val="20"/>
          <w:szCs w:val="20"/>
          <w:color w:val="auto"/>
        </w:rPr>
      </w:pPr>
      <w:r>
        <w:rPr>
          <w:rFonts w:ascii="Arial" w:cs="Arial" w:eastAsia="Arial" w:hAnsi="Arial"/>
          <w:sz w:val="17"/>
          <w:szCs w:val="17"/>
          <w:b w:val="1"/>
          <w:bCs w:val="1"/>
          <w:color w:val="auto"/>
        </w:rPr>
        <w:t xml:space="preserve">Adjusted Operating Income </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-114935</wp:posOffset>
            </wp:positionV>
            <wp:extent cx="67665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(4)</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Malware incident incremental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(9)</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CEO transition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Other/rounding</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Income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60" w:hanging="459"/>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4,178</w:t>
      </w:r>
    </w:p>
    <w:p>
      <w:pPr>
        <w:spacing w:after="0" w:line="3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(792)</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(109)</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(96)</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(84)</w:t>
      </w:r>
    </w:p>
    <w:p>
      <w:pPr>
        <w:spacing w:after="0" w:line="9"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(3)</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(31)</w:t>
      </w:r>
    </w:p>
    <w:p>
      <w:pPr>
        <w:spacing w:after="0" w:line="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61</w:t>
      </w:r>
    </w:p>
    <w:p>
      <w:pPr>
        <w:spacing w:after="0" w:line="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186</w:t>
      </w:r>
    </w:p>
    <w:p>
      <w:pPr>
        <w:spacing w:after="0" w:line="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209</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(14)</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5829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tabs>
          <w:tab w:leader="none" w:pos="440" w:val="left"/>
          <w:tab w:leader="none" w:pos="19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3,506</w:t>
      </w:r>
      <w:r>
        <w:rPr>
          <w:sz w:val="20"/>
          <w:szCs w:val="20"/>
          <w:color w:val="auto"/>
        </w:rPr>
        <w:tab/>
      </w:r>
      <w:r>
        <w:rPr>
          <w:rFonts w:ascii="Arial" w:cs="Arial" w:eastAsia="Arial" w:hAnsi="Arial"/>
          <w:sz w:val="17"/>
          <w:szCs w:val="17"/>
          <w:b w:val="1"/>
          <w:bCs w:val="1"/>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5829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5829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540"/>
          </w:cols>
          <w:pgMar w:left="240" w:top="459" w:right="239" w:bottom="1440" w:gutter="0" w:footer="0" w:header="0"/>
          <w:type w:val="continuous"/>
        </w:sectPr>
      </w:pPr>
    </w:p>
    <w:p>
      <w:pPr>
        <w:spacing w:after="0" w:line="106" w:lineRule="exact"/>
        <w:rPr>
          <w:sz w:val="20"/>
          <w:szCs w:val="20"/>
          <w:color w:val="auto"/>
        </w:rPr>
      </w:pP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trademark impairments.</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 unrealized gains/losses on commodity and forecasted currency transaction derivatives.</w:t>
      </w: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acquisition of a biscuit business in Vietnam.</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sales of a confectionery business in France, a grocery business in Australia and New Zealand, certain licenses of KHC-owned brands used in our grocery business within our Europe region, sale of one of our equity method investments and sale of a confectionary business in Japan. Additionally, the 2016 amount includes a sale of a confectionery business in Costa Rica.</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60" w:hanging="335"/>
        <w:spacing w:after="0" w:line="252"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and other property sales in 2016.</w:t>
      </w:r>
    </w:p>
    <w:p>
      <w:pPr>
        <w:ind w:left="1140" w:right="320" w:hanging="335"/>
        <w:spacing w:after="0" w:line="258"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 Primarily includes the reversal of tax liabilities in connection with the resolution of a Brazilian indirect tax matter and settlement of pre-acquisition Cadbury tax matters.</w:t>
      </w:r>
    </w:p>
    <w:p>
      <w:pPr>
        <w:spacing w:after="0" w:line="18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2017, we realized higher net pricing while input costs increased modestly. Higher net pricing, which included the carryover impact of pricing actions taken in 2016 as well as the effects of input cost-driven pricing actions taken during 2017, was driven by Latin America and AMEA, partially offset by lower net pricing in North America and Europe. The increase in input costs was driven by higher raw material costs which were partially offset by lower manufacturing costs due to productivity. Unfavorable volume/mix was driven by North America, Latin America and AMEA, which was partially offset by favorable volume/mix in Europe.</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Total selling, general and administrative expenses decreased $629 million from 2016, due to a number of factors noted in the table above, including in part, the benefits from the resolution of tax matters, lower implementation costs incurred for the 2014-2018 Restructuring Program, lower divestiture-related costs, a property insurance recovery in AMEA and lower intangible asset impairment charges. The decreases were partially offset by gains on sales of property in 2016, unfavorable currency impact, Value-added tax (“VAT”) related settlements in 2016 and incremental expenses incurred due to the malware incident.</w:t>
      </w:r>
    </w:p>
    <w:p>
      <w:pPr>
        <w:spacing w:after="0" w:line="203"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Excluding the factors noted above, selling, general and administrative expenses decreased $405 million from 2016. The decrease was driven primarily by lower overhead costs and lower advertising and consumer promotion costs due to continued cost reduction efforts in both areas.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Currency changes during the year did not impact operating income as the strength of the U.S. dollar relative to several currencies, including the Egyptian pound, British pound sterling and Argentinean peso, was offset by the strength of several currencies relative to the U.S. dollar, including the euro, Brazilian real, Russian ruble, Australian dollar, Indian rupee and South African rand.</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income margin increased from 9.9% in 2016 to 13.5% in 2017. The increase in operating income margin was driven primarily by an increase in our Adjusted Operating Income margin, lower 2014-2018 Restructuring Program costs, the benefits from the resolution of tax matters, the net gain on divestitures and lower divestiture-related costs, partially offset by incremental costs related to the malware incident and CEO transition remuneration costs. Adjusted Operating Income margin increased from 15.0% in 2016 to 16.3% in 2017. The increase in Adjusted Operating Income margin was driven primarily by lower overheads and lower advertising and consumer promotion costs due to continued cost reduction efforts in both areas.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 xml:space="preserve">$2,922 million increased by $ 1,263 million (76.1%) in 2017. Diluted EPS attributable to Mondelēz International was $1.91 in 2017, up $0.86 (81.9%) from 2016. Adjusted EPS </w:t>
      </w:r>
      <w:r>
        <w:rPr>
          <w:rFonts w:ascii="Arial" w:cs="Arial" w:eastAsia="Arial" w:hAnsi="Arial"/>
          <w:sz w:val="15"/>
          <w:szCs w:val="15"/>
          <w:color w:val="auto"/>
        </w:rPr>
        <w:t>(1)</w:t>
      </w:r>
      <w:r>
        <w:rPr>
          <w:rFonts w:ascii="Arial" w:cs="Arial" w:eastAsia="Arial" w:hAnsi="Arial"/>
          <w:sz w:val="18"/>
          <w:szCs w:val="18"/>
          <w:color w:val="auto"/>
        </w:rPr>
        <w:t xml:space="preserve"> was $2.14 in 2017, up $0.28 (15.1%) from 2016.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$2.13 in 2017, up $0.27 (14.5%) from 2016.</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Diluted EPS Attributable to Mondelēz International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-109220</wp:posOffset>
            </wp:positionV>
            <wp:extent cx="67665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(4)</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(6)</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Increase in operations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Increase in equity method investment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Gains on sales of property in 2016 </w:t>
      </w:r>
      <w:r>
        <w:rPr>
          <w:rFonts w:ascii="Arial" w:cs="Arial" w:eastAsia="Arial" w:hAnsi="Arial"/>
          <w:sz w:val="15"/>
          <w:szCs w:val="15"/>
          <w:color w:val="auto"/>
        </w:rPr>
        <w:t>(2)</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VAT-related settlements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Property insurance recovery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(7)</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(9)</w:t>
      </w:r>
    </w:p>
    <w:p>
      <w:pPr>
        <w:spacing w:after="0" w:line="17" w:lineRule="exact"/>
        <w:rPr>
          <w:sz w:val="20"/>
          <w:szCs w:val="20"/>
          <w:color w:val="auto"/>
        </w:rPr>
      </w:pPr>
    </w:p>
    <w:p>
      <w:pPr>
        <w:ind w:left="1120" w:right="2440" w:hanging="359"/>
        <w:spacing w:after="0" w:line="266"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2017 </w:t>
      </w:r>
      <w:r>
        <w:rPr>
          <w:rFonts w:ascii="Arial" w:cs="Arial" w:eastAsia="Arial" w:hAnsi="Arial"/>
          <w:sz w:val="18"/>
          <w:szCs w:val="18"/>
          <w:color w:val="auto"/>
        </w:rPr>
        <w:t>Favorable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-276225</wp:posOffset>
            </wp:positionV>
            <wp:extent cx="67665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Malware incident incremental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(2)</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CEO transition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U.S. tax reform discrete net tax benefit </w:t>
      </w:r>
      <w:r>
        <w:rPr>
          <w:rFonts w:ascii="Arial" w:cs="Arial" w:eastAsia="Arial" w:hAnsi="Arial"/>
          <w:sz w:val="15"/>
          <w:szCs w:val="15"/>
          <w:color w:val="auto"/>
        </w:rPr>
        <w:t>(10)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(6)</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Diluted EPS Attributable to Mondelēz International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-109220</wp:posOffset>
            </wp:positionV>
            <wp:extent cx="67665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Diluted EPS</w:t>
      </w:r>
    </w:p>
    <w:p>
      <w:pPr>
        <w:spacing w:after="0" w:line="113" w:lineRule="exact"/>
        <w:rPr>
          <w:sz w:val="20"/>
          <w:szCs w:val="20"/>
          <w:color w:val="auto"/>
        </w:rPr>
      </w:pPr>
    </w:p>
    <w:p>
      <w:pPr>
        <w:ind w:left="560" w:hanging="560"/>
        <w:spacing w:after="0"/>
        <w:tabs>
          <w:tab w:leader="none" w:pos="5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1.05</w:t>
      </w:r>
    </w:p>
    <w:p>
      <w:pPr>
        <w:spacing w:after="0" w:line="3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0.51</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0.06</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0.05</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0.04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(0.03)</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1.86</w:t>
      </w:r>
    </w:p>
    <w:p>
      <w:pPr>
        <w:spacing w:after="0" w:line="3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0.22</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2.13</w:t>
      </w:r>
    </w:p>
    <w:p>
      <w:pPr>
        <w:spacing w:after="0" w:line="3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2.14</w:t>
      </w:r>
    </w:p>
    <w:p>
      <w:pPr>
        <w:spacing w:after="0" w:line="3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(0.39)</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(0.05)</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(0.06)</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(0.04)</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0.11</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0.13</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0.04</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829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5829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720"/>
            <w:col w:w="980"/>
          </w:cols>
          <w:pgMar w:left="240" w:top="459" w:right="299" w:bottom="1440" w:gutter="0" w:footer="0" w:header="0"/>
          <w:type w:val="continuous"/>
        </w:sectPr>
      </w:pPr>
    </w:p>
    <w:p>
      <w:pPr>
        <w:spacing w:after="0" w:line="106" w:lineRule="exact"/>
        <w:rPr>
          <w:sz w:val="20"/>
          <w:szCs w:val="20"/>
          <w:color w:val="auto"/>
        </w:rPr>
      </w:pPr>
    </w:p>
    <w:p>
      <w:pPr>
        <w:ind w:left="1140" w:hanging="335"/>
        <w:spacing w:after="0"/>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320" w:hanging="335"/>
        <w:spacing w:after="0" w:line="241"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effective the first quarter of 2016 due to changes in financing and hedging plans.</w:t>
      </w:r>
    </w:p>
    <w:p>
      <w:pPr>
        <w:ind w:left="1140" w:right="140" w:hanging="335"/>
        <w:spacing w:after="0" w:line="241"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tender offers.</w:t>
      </w:r>
    </w:p>
    <w:p>
      <w:pPr>
        <w:ind w:left="1140" w:hanging="335"/>
        <w:spacing w:after="0"/>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right="160" w:hanging="335"/>
        <w:spacing w:after="0" w:line="241"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Note 11,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for more information on our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the U.S. tax reform.</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 of an interest in one of our equity method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For the Years Ended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660" w:type="dxa"/>
            <w:vAlign w:val="bottom"/>
            <w:tcBorders>
              <w:bottom w:val="single" w:sz="8" w:color="auto"/>
            </w:tcBorders>
            <w:gridSpan w:val="2"/>
          </w:tcPr>
          <w:p>
            <w:pPr>
              <w:jc w:val="center"/>
              <w:ind w:left="558"/>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1160" w:type="dxa"/>
            <w:vAlign w:val="bottom"/>
          </w:tcPr>
          <w:p>
            <w:pPr>
              <w:jc w:val="right"/>
              <w:ind w:right="458"/>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3700" w:type="dxa"/>
            <w:vAlign w:val="bottom"/>
            <w:tcBorders>
              <w:top w:val="single" w:sz="8" w:color="auto"/>
            </w:tcBorders>
            <w:gridSpan w:val="6"/>
          </w:tcPr>
          <w:p>
            <w:pPr>
              <w:jc w:val="right"/>
              <w:ind w:right="573"/>
              <w:spacing w:after="0"/>
              <w:rPr>
                <w:sz w:val="20"/>
                <w:szCs w:val="20"/>
                <w:color w:val="auto"/>
              </w:rPr>
            </w:pPr>
            <w:r>
              <w:rPr>
                <w:rFonts w:ascii="Arial" w:cs="Arial" w:eastAsia="Arial" w:hAnsi="Arial"/>
                <w:sz w:val="14"/>
                <w:szCs w:val="14"/>
                <w:b w:val="1"/>
                <w:bCs w:val="1"/>
                <w:color w:val="auto"/>
              </w:rPr>
              <w:t>(in millions, except per share data)</w:t>
            </w:r>
          </w:p>
        </w:tc>
        <w:tc>
          <w:tcPr>
            <w:tcW w:w="5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5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   25,923</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29,636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38"/>
        </w:trPr>
        <w:tc>
          <w:tcPr>
            <w:tcW w:w="5500" w:type="dxa"/>
            <w:vAlign w:val="bottom"/>
          </w:tcPr>
          <w:p>
            <w:pPr>
              <w:spacing w:after="0"/>
              <w:rPr>
                <w:sz w:val="20"/>
                <w:szCs w:val="20"/>
                <w:color w:val="auto"/>
              </w:rPr>
            </w:pPr>
            <w:r>
              <w:rPr>
                <w:rFonts w:ascii="Arial" w:cs="Arial" w:eastAsia="Arial" w:hAnsi="Arial"/>
                <w:sz w:val="18"/>
                <w:szCs w:val="18"/>
                <w:color w:val="auto"/>
              </w:rPr>
              <w:t>Operating income</w:t>
            </w:r>
          </w:p>
        </w:tc>
        <w:tc>
          <w:tcPr>
            <w:tcW w:w="1160" w:type="dxa"/>
            <w:vAlign w:val="bottom"/>
          </w:tcPr>
          <w:p>
            <w:pPr>
              <w:jc w:val="right"/>
              <w:ind w:right="158"/>
              <w:spacing w:after="0"/>
              <w:rPr>
                <w:sz w:val="20"/>
                <w:szCs w:val="20"/>
                <w:color w:val="auto"/>
              </w:rPr>
            </w:pPr>
            <w:r>
              <w:rPr>
                <w:rFonts w:ascii="Arial" w:cs="Arial" w:eastAsia="Arial" w:hAnsi="Arial"/>
                <w:sz w:val="18"/>
                <w:szCs w:val="18"/>
                <w:color w:val="auto"/>
              </w:rPr>
              <w:t>2,569</w:t>
            </w:r>
          </w:p>
        </w:tc>
        <w:tc>
          <w:tcPr>
            <w:tcW w:w="5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8,897</w:t>
            </w:r>
          </w:p>
        </w:tc>
        <w:tc>
          <w:tcPr>
            <w:tcW w:w="36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(6,328)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1,669</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7,291</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(5,622)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338"/>
        </w:trPr>
        <w:tc>
          <w:tcPr>
            <w:tcW w:w="5500" w:type="dxa"/>
            <w:vAlign w:val="bottom"/>
          </w:tcPr>
          <w:p>
            <w:pPr>
              <w:spacing w:after="0"/>
              <w:rPr>
                <w:sz w:val="20"/>
                <w:szCs w:val="20"/>
                <w:color w:val="auto"/>
              </w:rPr>
            </w:pPr>
            <w:r>
              <w:rPr>
                <w:rFonts w:ascii="Arial" w:cs="Arial" w:eastAsia="Arial" w:hAnsi="Arial"/>
                <w:sz w:val="18"/>
                <w:szCs w:val="18"/>
                <w:color w:val="auto"/>
              </w:rPr>
              <w:t>Net earnings attributable to Mondelēz International</w:t>
            </w:r>
          </w:p>
        </w:tc>
        <w:tc>
          <w:tcPr>
            <w:tcW w:w="1160" w:type="dxa"/>
            <w:vAlign w:val="bottom"/>
          </w:tcPr>
          <w:p>
            <w:pPr>
              <w:jc w:val="right"/>
              <w:ind w:right="158"/>
              <w:spacing w:after="0"/>
              <w:rPr>
                <w:sz w:val="20"/>
                <w:szCs w:val="20"/>
                <w:color w:val="auto"/>
              </w:rPr>
            </w:pPr>
            <w:r>
              <w:rPr>
                <w:rFonts w:ascii="Arial" w:cs="Arial" w:eastAsia="Arial" w:hAnsi="Arial"/>
                <w:sz w:val="18"/>
                <w:szCs w:val="18"/>
                <w:color w:val="auto"/>
              </w:rPr>
              <w:t>1,659</w:t>
            </w:r>
          </w:p>
        </w:tc>
        <w:tc>
          <w:tcPr>
            <w:tcW w:w="5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7,267</w:t>
            </w:r>
          </w:p>
        </w:tc>
        <w:tc>
          <w:tcPr>
            <w:tcW w:w="36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(5,608)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share attributable to</w:t>
            </w: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Mondelēz International</w:t>
            </w:r>
          </w:p>
        </w:tc>
        <w:tc>
          <w:tcPr>
            <w:tcW w:w="1160" w:type="dxa"/>
            <w:vAlign w:val="bottom"/>
            <w:shd w:val="clear" w:color="auto" w:fill="CCEEFF"/>
          </w:tcPr>
          <w:p>
            <w:pPr>
              <w:jc w:val="right"/>
              <w:ind w:right="158"/>
              <w:spacing w:after="0" w:line="203" w:lineRule="exact"/>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4.44</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(3.39)</w:t>
            </w: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$3,713 million (12.5%) to $25,923 million in 2016, and Organic Net Revenue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p>
    <w:p>
      <w:pPr>
        <w:spacing w:after="0" w:line="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$390 million (1.5%) to $26,411 million. Power Brands net revenues decreased 10.9%, primarily due to the deconsolidation of our historical coffee business, unfavorable currency and the deconsolidation of our historical Venezuelan operations, and Power Brands Organic Net Revenue increased 3.3%. Emerging markets net revenues decreased 19.1%, primarily due to the deconsolidation of our historical Venezuelan operations, unfavorable currency and the deconsolidation of our historical coffee business, and emerging markets Organic Net Revenue increased 2.7%. The underlying changes in net revenues and Organic Net Revenue are detailed below:</w:t>
      </w:r>
    </w:p>
    <w:p>
      <w:pPr>
        <w:sectPr>
          <w:pgSz w:w="11900" w:h="16838" w:orient="portrait"/>
          <w:cols w:equalWidth="0" w:num="1">
            <w:col w:w="11420"/>
          </w:cols>
          <w:pgMar w:left="240" w:top="459" w:right="239" w:bottom="1440" w:gutter="0" w:footer="0" w:header="0"/>
        </w:sectPr>
      </w:pPr>
    </w:p>
    <w:p>
      <w:pPr>
        <w:spacing w:after="0" w:line="37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Change in net revenues (by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Total change in net revenues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 back of the following items affecting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Unfavorable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p>
      <w:pPr>
        <w:spacing w:after="0" w:line="1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Impact of accounting calendar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Impact of acquisitions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Impact of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(3)</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Higher net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Unfavorable volume/mix</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2016</w:t>
      </w:r>
    </w:p>
    <w:p>
      <w:pPr>
        <w:spacing w:after="0" w:line="221"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(12.5)%</w:t>
      </w:r>
    </w:p>
    <w:p>
      <w:pPr>
        <w:spacing w:after="0" w:line="25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5.6pp</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4.8pp</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3.7pp</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0.3pp</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(0.4)pp</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wp:posOffset>
            </wp:positionV>
            <wp:extent cx="5486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11430</wp:posOffset>
            </wp:positionV>
            <wp:extent cx="5486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28575</wp:posOffset>
            </wp:positionV>
            <wp:extent cx="5486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6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1.6pp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(0.1)pp</w:t>
      </w:r>
    </w:p>
    <w:p>
      <w:pPr>
        <w:spacing w:after="0" w:line="200" w:lineRule="exact"/>
        <w:rPr>
          <w:sz w:val="20"/>
          <w:szCs w:val="20"/>
          <w:color w:val="auto"/>
        </w:rPr>
      </w:pPr>
    </w:p>
    <w:p>
      <w:pPr>
        <w:sectPr>
          <w:pgSz w:w="11900" w:h="16838" w:orient="portrait"/>
          <w:cols w:equalWidth="0" w:num="2">
            <w:col w:w="10020" w:space="720"/>
            <w:col w:w="680"/>
          </w:cols>
          <w:pgMar w:left="240" w:top="459" w:right="239" w:bottom="1440" w:gutter="0" w:footer="0" w:header="0"/>
          <w:type w:val="continuous"/>
        </w:sectPr>
      </w:pPr>
    </w:p>
    <w:p>
      <w:pPr>
        <w:spacing w:after="0" w:line="42" w:lineRule="exact"/>
        <w:rPr>
          <w:sz w:val="20"/>
          <w:szCs w:val="20"/>
          <w:color w:val="auto"/>
        </w:rPr>
      </w:pPr>
    </w:p>
    <w:p>
      <w:pPr>
        <w:ind w:left="1140" w:right="420" w:hanging="335"/>
        <w:spacing w:after="0" w:line="252"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Non-GAAP Financial Measures </w:t>
      </w:r>
      <w:r>
        <w:rPr>
          <w:rFonts w:ascii="Arial" w:cs="Arial" w:eastAsia="Arial" w:hAnsi="Arial"/>
          <w:sz w:val="14"/>
          <w:szCs w:val="14"/>
          <w:color w:val="auto"/>
        </w:rPr>
        <w:t>appearing later in this section for more information.</w:t>
      </w:r>
    </w:p>
    <w:p>
      <w:pPr>
        <w:ind w:left="1140" w:right="22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(including Venezuela currency impacts) prior to the December 31, 2015 deconsolidation. Refer to Note 1, </w:t>
      </w:r>
      <w:r>
        <w:rPr>
          <w:rFonts w:ascii="Arial" w:cs="Arial" w:eastAsia="Arial" w:hAnsi="Arial"/>
          <w:sz w:val="14"/>
          <w:szCs w:val="14"/>
          <w:i w:val="1"/>
          <w:iCs w:val="1"/>
          <w:color w:val="auto"/>
        </w:rPr>
        <w:t>Summary of Significant Accounting Policies – Currency Translation and Highly Inflationary Accounting: Venezuela,</w:t>
      </w:r>
      <w:r>
        <w:rPr>
          <w:rFonts w:ascii="Arial" w:cs="Arial" w:eastAsia="Arial" w:hAnsi="Arial"/>
          <w:sz w:val="14"/>
          <w:szCs w:val="14"/>
          <w:color w:val="auto"/>
        </w:rPr>
        <w:t xml:space="preserve"> for more information.</w:t>
      </w: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Net revenue decline of 12.5% was driven by the impact of the deconsolidation of our historical coffee business, unfavorable currency, the deconsolidation of our historical Venezuelan operations and the year-over-year impact of the 2015 accounting calendar change, partially offset by our underlying Organic Net Revenue growth of 1.5%, and the impact of acquisitions. The adjustment for deconsolidating our historical coffee business resulted in a year-over-year decrease in net revenues of $ 1,627 million for 2016. Unfavorable currency impacts decreased net revenues by $1,233 million, due primarily to the strength of the U.S. dollar relative to several currencies, including the Argentinean peso, British pound sterling, Mexican peso, Brazilian real, Chinese yuan and Russian ruble. The deconsolidation of our historical Venezuelan operations resulted in a year-over-year decrease in net revenues of $1,217 million for 2016. The North America segment accounting calendar change in 2015 resulted in a year-over-year decrease in net revenues of $76 million for 2016. Our underlying Organic Net Revenue growth was driven by higher net pricing, partially offset by unfavorable volume/mix. Net pricing was up, which includes the benefit of carryover pricing from 2015 as well as the effects of input cost-driven pricing actions taken during 2016. Higher net pricing was reflected in Latin America and AMEA, partially offset by lower net pricing in Europe and North America. Unfavorable volume/mix was reflected in Latin America and AMEA, mostly offset by favorable volume/mix in Europe and North America. Unfavorable volume/mix in Latin America and AMEA was largely due to price elasticity as well as strategic decisions to exit certain low-margin product lines. The impact of acquisitions primarily includes the July 15, 2015 acquisition of a biscuit operation in Vietnam, which added $71 million of incremental net revenues for 2016, and the November 2, 2016 acquisition of a business and a license to manufacture, market and sell Cadbury-branded biscuits in additional key markets, which added $16 million of incremental net revenues for 2016.</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$6,328 million (71.1%) to $2,569 million in 2016, Adjusted Operating Income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$486 million (14.7%) to $ 3,802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$657 million (19.8%) to $3,973 million due to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Income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(6)</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(7)</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Loss on deconsolidation of Venezuela </w:t>
      </w:r>
      <w:r>
        <w:rPr>
          <w:rFonts w:ascii="Arial" w:cs="Arial" w:eastAsia="Arial" w:hAnsi="Arial"/>
          <w:sz w:val="15"/>
          <w:szCs w:val="15"/>
          <w:color w:val="auto"/>
        </w:rPr>
        <w:t>(7)</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Costs associated with the coffee business transactions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(8)</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Reclassification of historical coffee business operating income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(10)</w:t>
      </w:r>
    </w:p>
    <w:p>
      <w:pPr>
        <w:spacing w:after="0" w:line="14" w:lineRule="exact"/>
        <w:rPr>
          <w:sz w:val="20"/>
          <w:szCs w:val="20"/>
          <w:color w:val="auto"/>
        </w:rPr>
      </w:pPr>
    </w:p>
    <w:p>
      <w:pPr>
        <w:ind w:left="1120" w:right="1231" w:hanging="359"/>
        <w:spacing w:after="0" w:line="263" w:lineRule="auto"/>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2015 </w:t>
      </w:r>
      <w:r>
        <w:rPr>
          <w:rFonts w:ascii="Arial" w:cs="Arial" w:eastAsia="Arial" w:hAnsi="Arial"/>
          <w:sz w:val="18"/>
          <w:szCs w:val="18"/>
          <w:color w:val="auto"/>
        </w:rPr>
        <w:t>Higher net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-273050</wp:posOffset>
            </wp:positionV>
            <wp:extent cx="67665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Higher input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Favorable volume/mix</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Lower 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(11)</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Higher 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(11)</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891"/>
        <w:spacing w:after="0"/>
        <w:rPr>
          <w:sz w:val="20"/>
          <w:szCs w:val="20"/>
          <w:color w:val="auto"/>
        </w:rPr>
      </w:pPr>
      <w:r>
        <w:rPr>
          <w:rFonts w:ascii="Arial" w:cs="Arial" w:eastAsia="Arial" w:hAnsi="Arial"/>
          <w:sz w:val="14"/>
          <w:szCs w:val="14"/>
          <w:b w:val="1"/>
          <w:bCs w:val="1"/>
          <w:color w:val="auto"/>
        </w:rPr>
        <w:t>Operating</w:t>
      </w:r>
    </w:p>
    <w:p>
      <w:pPr>
        <w:spacing w:after="0" w:line="19" w:lineRule="exact"/>
        <w:rPr>
          <w:sz w:val="20"/>
          <w:szCs w:val="20"/>
          <w:color w:val="auto"/>
        </w:rPr>
      </w:pPr>
    </w:p>
    <w:p>
      <w:pPr>
        <w:ind w:left="209"/>
        <w:spacing w:after="0"/>
        <w:tabs>
          <w:tab w:leader="none" w:pos="1829" w:val="left"/>
        </w:tabs>
        <w:rPr>
          <w:sz w:val="20"/>
          <w:szCs w:val="20"/>
          <w:color w:val="auto"/>
        </w:rPr>
      </w:pP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-1905</wp:posOffset>
            </wp:positionV>
            <wp:extent cx="5486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49"/>
        <w:spacing w:after="0"/>
        <w:rPr>
          <w:sz w:val="20"/>
          <w:szCs w:val="20"/>
          <w:color w:val="auto"/>
        </w:rPr>
      </w:pPr>
      <w:r>
        <w:rPr>
          <w:rFonts w:ascii="Arial" w:cs="Arial" w:eastAsia="Arial" w:hAnsi="Arial"/>
          <w:sz w:val="14"/>
          <w:szCs w:val="14"/>
          <w:b w:val="1"/>
          <w:bCs w:val="1"/>
          <w:color w:val="auto"/>
        </w:rPr>
        <w:t>(in millions)</w:t>
      </w:r>
    </w:p>
    <w:p>
      <w:pPr>
        <w:spacing w:after="0" w:line="12" w:lineRule="exact"/>
        <w:rPr>
          <w:sz w:val="20"/>
          <w:szCs w:val="20"/>
          <w:color w:val="auto"/>
        </w:rPr>
      </w:pPr>
    </w:p>
    <w:p>
      <w:pPr>
        <w:ind w:left="469" w:hanging="469"/>
        <w:spacing w:after="0"/>
        <w:tabs>
          <w:tab w:leader="none" w:pos="469"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8,897</w:t>
      </w:r>
    </w:p>
    <w:p>
      <w:pPr>
        <w:spacing w:after="0" w:line="9" w:lineRule="exact"/>
        <w:rPr>
          <w:rFonts w:ascii="Arial" w:cs="Arial" w:eastAsia="Arial" w:hAnsi="Arial"/>
          <w:sz w:val="18"/>
          <w:szCs w:val="18"/>
          <w:b w:val="1"/>
          <w:bCs w:val="1"/>
          <w:color w:val="auto"/>
        </w:rPr>
      </w:pPr>
    </w:p>
    <w:p>
      <w:pPr>
        <w:ind w:left="749"/>
        <w:spacing w:after="0"/>
        <w:rPr>
          <w:rFonts w:ascii="Arial" w:cs="Arial" w:eastAsia="Arial" w:hAnsi="Arial"/>
          <w:sz w:val="18"/>
          <w:szCs w:val="18"/>
          <w:b w:val="1"/>
          <w:bCs w:val="1"/>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1,002</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71</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(56)</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(182)</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(281)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778</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278</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(6,809)</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(342)</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469" w:hanging="469"/>
        <w:spacing w:after="0"/>
        <w:tabs>
          <w:tab w:leader="none" w:pos="469"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3,316</w:t>
      </w:r>
    </w:p>
    <w:p>
      <w:pPr>
        <w:spacing w:after="0" w:line="31" w:lineRule="exact"/>
        <w:rPr>
          <w:rFonts w:ascii="Arial" w:cs="Arial" w:eastAsia="Arial" w:hAnsi="Arial"/>
          <w:sz w:val="18"/>
          <w:szCs w:val="18"/>
          <w:b w:val="1"/>
          <w:bCs w:val="1"/>
          <w:color w:val="auto"/>
        </w:rPr>
      </w:pPr>
    </w:p>
    <w:p>
      <w:pPr>
        <w:ind w:left="609"/>
        <w:spacing w:after="0"/>
        <w:rPr>
          <w:rFonts w:ascii="Arial" w:cs="Arial" w:eastAsia="Arial" w:hAnsi="Arial"/>
          <w:sz w:val="18"/>
          <w:szCs w:val="18"/>
          <w:b w:val="1"/>
          <w:bCs w:val="1"/>
          <w:color w:val="auto"/>
        </w:rPr>
      </w:pPr>
      <w:r>
        <w:rPr>
          <w:rFonts w:ascii="Arial" w:cs="Arial" w:eastAsia="Arial" w:hAnsi="Arial"/>
          <w:sz w:val="18"/>
          <w:szCs w:val="18"/>
          <w:color w:val="auto"/>
        </w:rPr>
        <w:t>422</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(131)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318</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46</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(36)</w:t>
      </w:r>
    </w:p>
    <w:p>
      <w:pPr>
        <w:spacing w:after="0" w:line="6"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w:t>
      </w:r>
    </w:p>
    <w:p>
      <w:pPr>
        <w:spacing w:after="0" w:line="1" w:lineRule="exact"/>
        <w:rPr>
          <w:sz w:val="20"/>
          <w:szCs w:val="20"/>
          <w:color w:val="auto"/>
        </w:rPr>
      </w:pPr>
    </w:p>
    <w:p>
      <w:pPr>
        <w:sectPr>
          <w:pgSz w:w="11900" w:h="16838" w:orient="portrait"/>
          <w:cols w:equalWidth="0" w:num="2">
            <w:col w:w="7891" w:space="720"/>
            <w:col w:w="2809"/>
          </w:cols>
          <w:pgMar w:left="240" w:top="459" w:right="239" w:bottom="1440" w:gutter="0" w:footer="0" w:header="0"/>
          <w:type w:val="continuous"/>
        </w:sectPr>
      </w:pPr>
    </w:p>
    <w:tbl>
      <w:tblPr>
        <w:tblLayout w:type="fixed"/>
        <w:tblInd w:w="760" w:type="dxa"/>
        <w:tblCellMar>
          <w:top w:w="0" w:type="dxa"/>
          <w:left w:w="0" w:type="dxa"/>
          <w:bottom w:w="0" w:type="dxa"/>
          <w:right w:w="0" w:type="dxa"/>
        </w:tblCellMar>
      </w:tblPr>
      <w:tr>
        <w:trPr>
          <w:trHeight w:val="223"/>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90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9"/>
              </w:rPr>
              <w:t>657</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Unfavorable currency translation</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(171)</w:t>
            </w:r>
          </w:p>
        </w:tc>
        <w:tc>
          <w:tcPr>
            <w:tcW w:w="122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900" w:type="dxa"/>
            <w:vAlign w:val="bottom"/>
            <w:tcBorders>
              <w:top w:val="single" w:sz="8" w:color="auto"/>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9"/>
              </w:rPr>
              <w:t>486</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ind w:left="760"/>
        <w:spacing w:after="0"/>
        <w:rPr>
          <w:sz w:val="20"/>
          <w:szCs w:val="20"/>
          <w:color w:val="auto"/>
        </w:rPr>
      </w:pPr>
      <w:r>
        <w:rPr>
          <w:rFonts w:ascii="Arial" w:cs="Arial" w:eastAsia="Arial" w:hAnsi="Arial"/>
          <w:sz w:val="17"/>
          <w:szCs w:val="17"/>
          <w:b w:val="1"/>
          <w:bCs w:val="1"/>
          <w:color w:val="auto"/>
        </w:rPr>
        <w:t xml:space="preserve">Adjusted Operating Income </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for the Year Ended December 31, 2016</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(13)</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(6)</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Other/rounding</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Income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69" w:hanging="469"/>
        <w:spacing w:after="0"/>
        <w:tabs>
          <w:tab w:leader="none" w:pos="469"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3,802</w:t>
      </w:r>
    </w:p>
    <w:p>
      <w:pPr>
        <w:spacing w:after="0" w:line="31" w:lineRule="exact"/>
        <w:rPr>
          <w:rFonts w:ascii="Arial" w:cs="Arial" w:eastAsia="Arial" w:hAnsi="Arial"/>
          <w:sz w:val="18"/>
          <w:szCs w:val="18"/>
          <w:b w:val="1"/>
          <w:bCs w:val="1"/>
          <w:color w:val="auto"/>
        </w:rPr>
      </w:pPr>
    </w:p>
    <w:p>
      <w:pPr>
        <w:ind w:left="409"/>
        <w:spacing w:after="0"/>
        <w:rPr>
          <w:rFonts w:ascii="Arial" w:cs="Arial" w:eastAsia="Arial" w:hAnsi="Arial"/>
          <w:sz w:val="18"/>
          <w:szCs w:val="18"/>
          <w:b w:val="1"/>
          <w:bCs w:val="1"/>
          <w:color w:val="auto"/>
        </w:rPr>
      </w:pPr>
      <w:r>
        <w:rPr>
          <w:rFonts w:ascii="Arial" w:cs="Arial" w:eastAsia="Arial" w:hAnsi="Arial"/>
          <w:sz w:val="18"/>
          <w:szCs w:val="18"/>
          <w:color w:val="auto"/>
        </w:rPr>
        <w:t>(1,086)</w:t>
      </w:r>
    </w:p>
    <w:p>
      <w:pPr>
        <w:spacing w:after="0" w:line="9" w:lineRule="exact"/>
        <w:rPr>
          <w:rFonts w:ascii="Arial" w:cs="Arial" w:eastAsia="Arial" w:hAnsi="Arial"/>
          <w:sz w:val="18"/>
          <w:szCs w:val="18"/>
          <w:b w:val="1"/>
          <w:bCs w:val="1"/>
          <w:color w:val="auto"/>
        </w:rPr>
      </w:pPr>
    </w:p>
    <w:p>
      <w:pPr>
        <w:ind w:left="549"/>
        <w:spacing w:after="0"/>
        <w:rPr>
          <w:rFonts w:ascii="Arial" w:cs="Arial" w:eastAsia="Arial" w:hAnsi="Arial"/>
          <w:sz w:val="18"/>
          <w:szCs w:val="18"/>
          <w:b w:val="1"/>
          <w:bCs w:val="1"/>
          <w:color w:val="auto"/>
        </w:rPr>
      </w:pPr>
      <w:r>
        <w:rPr>
          <w:rFonts w:ascii="Arial" w:cs="Arial" w:eastAsia="Arial" w:hAnsi="Arial"/>
          <w:sz w:val="18"/>
          <w:szCs w:val="18"/>
          <w:color w:val="auto"/>
        </w:rPr>
        <w:t>(137)</w:t>
      </w:r>
    </w:p>
    <w:p>
      <w:pPr>
        <w:spacing w:after="0" w:line="9"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(94)</w:t>
      </w:r>
    </w:p>
    <w:p>
      <w:pPr>
        <w:spacing w:after="0" w:line="9" w:lineRule="exact"/>
        <w:rPr>
          <w:rFonts w:ascii="Arial" w:cs="Arial" w:eastAsia="Arial" w:hAnsi="Arial"/>
          <w:sz w:val="18"/>
          <w:szCs w:val="18"/>
          <w:b w:val="1"/>
          <w:bCs w:val="1"/>
          <w:color w:val="auto"/>
        </w:rPr>
      </w:pPr>
    </w:p>
    <w:p>
      <w:pPr>
        <w:ind w:left="749"/>
        <w:spacing w:after="0"/>
        <w:rPr>
          <w:rFonts w:ascii="Arial" w:cs="Arial" w:eastAsia="Arial" w:hAnsi="Arial"/>
          <w:sz w:val="18"/>
          <w:szCs w:val="18"/>
          <w:b w:val="1"/>
          <w:bCs w:val="1"/>
          <w:color w:val="auto"/>
        </w:rPr>
      </w:pPr>
      <w:r>
        <w:rPr>
          <w:rFonts w:ascii="Arial" w:cs="Arial" w:eastAsia="Arial" w:hAnsi="Arial"/>
          <w:sz w:val="18"/>
          <w:szCs w:val="18"/>
          <w:color w:val="auto"/>
        </w:rPr>
        <w:t>(7)</w:t>
      </w:r>
    </w:p>
    <w:p>
      <w:pPr>
        <w:spacing w:after="0" w:line="9" w:lineRule="exact"/>
        <w:rPr>
          <w:rFonts w:ascii="Arial" w:cs="Arial" w:eastAsia="Arial" w:hAnsi="Arial"/>
          <w:sz w:val="18"/>
          <w:szCs w:val="18"/>
          <w:b w:val="1"/>
          <w:bCs w:val="1"/>
          <w:color w:val="auto"/>
        </w:rPr>
      </w:pPr>
    </w:p>
    <w:p>
      <w:pPr>
        <w:ind w:left="749"/>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(86)</w:t>
      </w:r>
    </w:p>
    <w:p>
      <w:pPr>
        <w:spacing w:after="0" w:line="9" w:lineRule="exact"/>
        <w:rPr>
          <w:rFonts w:ascii="Arial" w:cs="Arial" w:eastAsia="Arial" w:hAnsi="Arial"/>
          <w:sz w:val="18"/>
          <w:szCs w:val="18"/>
          <w:b w:val="1"/>
          <w:bCs w:val="1"/>
          <w:color w:val="auto"/>
        </w:rPr>
      </w:pPr>
    </w:p>
    <w:p>
      <w:pPr>
        <w:ind w:left="609"/>
        <w:spacing w:after="0"/>
        <w:rPr>
          <w:rFonts w:ascii="Arial" w:cs="Arial" w:eastAsia="Arial" w:hAnsi="Arial"/>
          <w:sz w:val="18"/>
          <w:szCs w:val="18"/>
          <w:b w:val="1"/>
          <w:bCs w:val="1"/>
          <w:color w:val="auto"/>
        </w:rPr>
      </w:pPr>
      <w:r>
        <w:rPr>
          <w:rFonts w:ascii="Arial" w:cs="Arial" w:eastAsia="Arial" w:hAnsi="Arial"/>
          <w:sz w:val="18"/>
          <w:szCs w:val="18"/>
          <w:color w:val="auto"/>
        </w:rPr>
        <w:t>153</w:t>
      </w:r>
    </w:p>
    <w:p>
      <w:pPr>
        <w:spacing w:after="0" w:line="9" w:lineRule="exact"/>
        <w:rPr>
          <w:rFonts w:ascii="Arial" w:cs="Arial" w:eastAsia="Arial" w:hAnsi="Arial"/>
          <w:sz w:val="18"/>
          <w:szCs w:val="18"/>
          <w:b w:val="1"/>
          <w:bCs w:val="1"/>
          <w:color w:val="auto"/>
        </w:rPr>
      </w:pPr>
    </w:p>
    <w:p>
      <w:pPr>
        <w:ind w:left="809"/>
        <w:spacing w:after="0"/>
        <w:rPr>
          <w:rFonts w:ascii="Arial" w:cs="Arial" w:eastAsia="Arial" w:hAnsi="Arial"/>
          <w:sz w:val="18"/>
          <w:szCs w:val="18"/>
          <w:b w:val="1"/>
          <w:bCs w:val="1"/>
          <w:color w:val="auto"/>
        </w:rPr>
      </w:pPr>
      <w:r>
        <w:rPr>
          <w:rFonts w:ascii="Arial" w:cs="Arial" w:eastAsia="Arial" w:hAnsi="Arial"/>
          <w:sz w:val="18"/>
          <w:szCs w:val="18"/>
          <w:color w:val="auto"/>
        </w:rPr>
        <w:t>9</w:t>
      </w:r>
    </w:p>
    <w:p>
      <w:pPr>
        <w:spacing w:after="0" w:line="9" w:lineRule="exact"/>
        <w:rPr>
          <w:rFonts w:ascii="Arial" w:cs="Arial" w:eastAsia="Arial" w:hAnsi="Arial"/>
          <w:sz w:val="18"/>
          <w:szCs w:val="18"/>
          <w:b w:val="1"/>
          <w:bCs w:val="1"/>
          <w:color w:val="auto"/>
        </w:rPr>
      </w:pPr>
    </w:p>
    <w:p>
      <w:pPr>
        <w:ind w:left="709"/>
        <w:spacing w:after="0"/>
        <w:rPr>
          <w:rFonts w:ascii="Arial" w:cs="Arial" w:eastAsia="Arial" w:hAnsi="Arial"/>
          <w:sz w:val="18"/>
          <w:szCs w:val="18"/>
          <w:b w:val="1"/>
          <w:bCs w:val="1"/>
          <w:color w:val="auto"/>
        </w:rPr>
      </w:pPr>
      <w:r>
        <w:rPr>
          <w:rFonts w:ascii="Arial" w:cs="Arial" w:eastAsia="Arial" w:hAnsi="Arial"/>
          <w:sz w:val="18"/>
          <w:szCs w:val="18"/>
          <w:color w:val="auto"/>
        </w:rPr>
        <w:t>15</w:t>
      </w:r>
    </w:p>
    <w:p>
      <w:pPr>
        <w:spacing w:after="0" w:line="9" w:lineRule="exact"/>
        <w:rPr>
          <w:rFonts w:ascii="Arial" w:cs="Arial" w:eastAsia="Arial" w:hAnsi="Arial"/>
          <w:sz w:val="18"/>
          <w:szCs w:val="18"/>
          <w:b w:val="1"/>
          <w:bCs w:val="1"/>
          <w:color w:val="auto"/>
        </w:rPr>
      </w:pPr>
    </w:p>
    <w:p>
      <w:pPr>
        <w:ind w:left="809"/>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1063625</wp:posOffset>
            </wp:positionH>
            <wp:positionV relativeFrom="paragraph">
              <wp:posOffset>-1905</wp:posOffset>
            </wp:positionV>
            <wp:extent cx="5486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tbl>
      <w:tblPr>
        <w:tblLayout w:type="fixed"/>
        <w:tblInd w:w="9" w:type="dxa"/>
        <w:tblCellMar>
          <w:top w:w="0" w:type="dxa"/>
          <w:left w:w="0" w:type="dxa"/>
          <w:bottom w:w="0" w:type="dxa"/>
          <w:right w:w="0" w:type="dxa"/>
        </w:tblCellMar>
      </w:tblPr>
      <w:tr>
        <w:trPr>
          <w:trHeight w:val="225"/>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2,569</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(71.1)%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91" w:space="720"/>
            <w:col w:w="2809"/>
          </w:cols>
          <w:pgMar w:left="240" w:top="459" w:right="239" w:bottom="1440" w:gutter="0" w:footer="0" w:header="0"/>
          <w:type w:val="continuous"/>
        </w:sectPr>
      </w:pPr>
    </w:p>
    <w:p>
      <w:pPr>
        <w:spacing w:after="0" w:line="47" w:lineRule="exact"/>
        <w:rPr>
          <w:sz w:val="20"/>
          <w:szCs w:val="20"/>
          <w:color w:val="auto"/>
        </w:rPr>
      </w:pPr>
    </w:p>
    <w:p>
      <w:pPr>
        <w:ind w:left="1140" w:hanging="335"/>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240" w:hanging="335"/>
        <w:spacing w:after="0" w:line="258"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 Refer to the Annual Report on Form 10-K for the year ended December 31, 2016 for additional information in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2016 and 2015 related to trademarks.</w:t>
      </w:r>
    </w:p>
    <w:p>
      <w:pPr>
        <w:spacing w:after="0" w:line="15"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gains and losses on commodity and forecasted currency transaction derivatives.</w:t>
      </w: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acquisition of a biscuit business in Vietnam.</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December 1, 2016 sale of a confectionery business in Costa Rica. The sale of the confectionery business in Costa Rica generated a pre-tax and after-tax gain of $9 million in 2016. Refer to our Annual Report on Form 10-K for the year ended December 31, 2016 for more information on the April 23, 2015 divestiture of Ajinomoto General Foods, Inc. (“AGF”). The divestiture of AGF generated a pre-tax gain of $13 million and after-tax loss of $9 million in 2015.</w:t>
      </w:r>
    </w:p>
    <w:p>
      <w:pPr>
        <w:spacing w:after="0" w:line="1" w:lineRule="exact"/>
        <w:rPr>
          <w:rFonts w:ascii="Arial" w:cs="Arial" w:eastAsia="Arial" w:hAnsi="Arial"/>
          <w:sz w:val="14"/>
          <w:szCs w:val="14"/>
          <w:color w:val="auto"/>
        </w:rPr>
      </w:pPr>
    </w:p>
    <w:p>
      <w:pPr>
        <w:ind w:left="1140" w:right="100" w:hanging="335"/>
        <w:spacing w:after="0" w:line="243"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Policies – Currency Translation and Highly Inflationary Accounting: Venezuela, </w:t>
      </w:r>
      <w:r>
        <w:rPr>
          <w:rFonts w:ascii="Arial" w:cs="Arial" w:eastAsia="Arial" w:hAnsi="Arial"/>
          <w:sz w:val="14"/>
          <w:szCs w:val="14"/>
          <w:color w:val="auto"/>
        </w:rPr>
        <w:t>for more information on the deconsolidation and remeasurement loss</w:t>
      </w:r>
      <w:r>
        <w:rPr>
          <w:rFonts w:ascii="Arial" w:cs="Arial" w:eastAsia="Arial" w:hAnsi="Arial"/>
          <w:sz w:val="14"/>
          <w:szCs w:val="14"/>
          <w:i w:val="1"/>
          <w:iCs w:val="1"/>
          <w:color w:val="auto"/>
        </w:rPr>
        <w:t xml:space="preserve"> </w:t>
      </w:r>
      <w:r>
        <w:rPr>
          <w:rFonts w:ascii="Arial" w:cs="Arial" w:eastAsia="Arial" w:hAnsi="Arial"/>
          <w:sz w:val="14"/>
          <w:szCs w:val="14"/>
          <w:color w:val="auto"/>
        </w:rPr>
        <w:t>in 2015.</w:t>
      </w:r>
    </w:p>
    <w:p>
      <w:pPr>
        <w:spacing w:after="0" w:line="160" w:lineRule="exact"/>
        <w:rPr>
          <w:rFonts w:ascii="Arial" w:cs="Arial" w:eastAsia="Arial" w:hAnsi="Arial"/>
          <w:sz w:val="14"/>
          <w:szCs w:val="14"/>
          <w:color w:val="auto"/>
        </w:rPr>
      </w:pP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jc w:val="both"/>
        <w:ind w:left="1140" w:right="44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divestiture.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after-tax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and other property sales in 2016.</w:t>
      </w: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 – Accounting Calendar Change</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During 2016, we realized higher net pricing while input costs increased modestly. Higher net pricing, which included the carryover impact of pricing actions taken in 2015, was reflected in Latin America and AMEA, partially offset by lower net pricing in Europe and North America. The increase in input costs was driven by higher raw material costs, in part due to higher currency exchange transaction costs on imported materials, which were partially offset by lower manufacturing costs due to productivity. Favorable volume/mix was driven by Europe and North America, which was mostly offset by unfavorable volume/mix in Latin America and AMEA.</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Total selling, general and administrative expenses decreased $1,037 million from 2015, due to a number of factors noted in the table above, including in part, the deconsolidation of our historical coffee business, a favorable currency impact, lower costs associated with the JDE coffee business transactions, the deconsolidation of our Venezuelan operations, gains on the sales of property, VAT-related settlements and the absence of devaluation charges related to our net monetary assets in Venezuela in 2016. The decreases were partially offset by increases from divestiture-related costs associated with the planned sale of a confectionery business in France, the reclassification of equity method investment earnings, higher implementation costs incurred for the 2014-2018 Restructuring Program and the impact of acquisitions.</w:t>
      </w:r>
    </w:p>
    <w:p>
      <w:pPr>
        <w:spacing w:after="0" w:line="12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Excluding the factors noted above, selling, general and administrative expenses decreased $318 million from 2015. The decrease was driven primarily by lower overhead costs due to continued cost reduction efforts.</w:t>
      </w:r>
    </w:p>
    <w:p>
      <w:pPr>
        <w:spacing w:after="0" w:line="12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recorded a benefit of $54 million in 2016 from VAT-related settlements in Latin America as compared to $ 30 million in 2015. Unfavorable currency impacts decreased operating income by $171 million due primarily to the strength of the U.S. dollar relative to most currencies, including the British pound sterling, Argentinean peso and Mexican peso.</w:t>
      </w:r>
    </w:p>
    <w:p>
      <w:pPr>
        <w:spacing w:after="0" w:line="1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Operating income margin decreased from 30.0% in 2015 to 9.9% in 2016. The decrease in operating income margin was driven primarily by last year’s pre-tax gain on the JDE coffee business transactions, the deconsolidation of our historical coffee business, the deconsolidation of our Venezuelan operations, the unfavorable year-over-year change in mark-to-market gains/losses from derivatives, higher costs incurred for the 2014-2018 Restructuring Program, divestiture-related costs associated with the planned sale of a confectionery business in France, higher intangible asset impairment charges and the reclassification of equity method earnings. The items that decreased our operating income margin were partially offset by the prior-year loss on the Venezuela deconsolidation, an increase in our Adjusted Operating Income margin and the absence of costs associated with the JDE coffee business transactions. Adjusted Operating Income margin increased from 12.7% in 2015 to 15.0% in 2016. The increase in Adjusted Operating Income margin was driven primarily by lower overheads from cost reduction programs, improved gross margin reflecting productivity efforts, gains on sales of property and VAT-related settlements.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$1,659 million decreased by $5,608 million (77.2%) in 2016. Diluted EPS attributable to Mondelēz International was $1.05 in 2016, down $3.39 (76.4%) from 2015. Adjusted EPS </w:t>
      </w:r>
      <w:r>
        <w:rPr>
          <w:rFonts w:ascii="Arial" w:cs="Arial" w:eastAsia="Arial" w:hAnsi="Arial"/>
          <w:sz w:val="15"/>
          <w:szCs w:val="15"/>
          <w:color w:val="auto"/>
        </w:rPr>
        <w:t>(1)</w:t>
      </w:r>
      <w:r>
        <w:rPr>
          <w:rFonts w:ascii="Arial" w:cs="Arial" w:eastAsia="Arial" w:hAnsi="Arial"/>
          <w:sz w:val="18"/>
          <w:szCs w:val="18"/>
          <w:color w:val="auto"/>
        </w:rPr>
        <w:t xml:space="preserve"> was $1.86 in 2016, up $0.33 (21.6%) from 2015.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$1.92 in 2016, up $0.39 (25.5%) from 2015.</w:t>
      </w:r>
    </w:p>
    <w:p>
      <w:pPr>
        <w:sectPr>
          <w:pgSz w:w="11900" w:h="16838" w:orient="portrait"/>
          <w:cols w:equalWidth="0" w:num="1">
            <w:col w:w="11360"/>
          </w:cols>
          <w:pgMar w:left="240" w:top="459" w:right="299" w:bottom="1440" w:gutter="0" w:footer="0" w:header="0"/>
        </w:sectPr>
      </w:pPr>
    </w:p>
    <w:p>
      <w:pPr>
        <w:spacing w:after="0" w:line="35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Diluted EPS Attributable to Mondelēz International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-109220</wp:posOffset>
            </wp:positionV>
            <wp:extent cx="673227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2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(4)</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-128905</wp:posOffset>
            </wp:positionV>
            <wp:extent cx="673227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(6)</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-128905</wp:posOffset>
            </wp:positionV>
            <wp:extent cx="673227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(7)</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Loss on deconsolidation of Venezuela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(8)</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(Income) / costs associated with the JDE coffee business transactions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-128905</wp:posOffset>
            </wp:positionV>
            <wp:extent cx="673227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(9)</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-128905</wp:posOffset>
            </wp:positionV>
            <wp:extent cx="673227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(11)</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-116205</wp:posOffset>
            </wp:positionV>
            <wp:extent cx="673227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Increase in operations</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Decrease in operations from historical coffee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-125730</wp:posOffset>
            </wp:positionV>
            <wp:extent cx="6732270"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270" cy="257175"/>
                    </a:xfrm>
                    <a:prstGeom prst="rect">
                      <a:avLst/>
                    </a:prstGeom>
                    <a:noFill/>
                  </pic:spPr>
                </pic:pic>
              </a:graphicData>
            </a:graphic>
          </wp:anchor>
        </w:drawing>
      </w:r>
    </w:p>
    <w:p>
      <w:pPr>
        <w:ind w:left="1360"/>
        <w:spacing w:after="0" w:line="237" w:lineRule="auto"/>
        <w:rPr>
          <w:sz w:val="20"/>
          <w:szCs w:val="20"/>
          <w:color w:val="auto"/>
        </w:rPr>
      </w:pPr>
      <w:r>
        <w:rPr>
          <w:rFonts w:ascii="Arial" w:cs="Arial" w:eastAsia="Arial" w:hAnsi="Arial"/>
          <w:sz w:val="18"/>
          <w:szCs w:val="18"/>
          <w:color w:val="auto"/>
        </w:rPr>
        <w:t xml:space="preserve">net of increase in equity method investment net earnings </w:t>
      </w:r>
      <w:r>
        <w:rPr>
          <w:rFonts w:ascii="Arial" w:cs="Arial" w:eastAsia="Arial" w:hAnsi="Arial"/>
          <w:sz w:val="15"/>
          <w:szCs w:val="15"/>
          <w:color w:val="auto"/>
        </w:rPr>
        <w:t>(12)</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(5)</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Impact of acquisitions </w:t>
      </w:r>
      <w:r>
        <w:rPr>
          <w:rFonts w:ascii="Arial" w:cs="Arial" w:eastAsia="Arial" w:hAnsi="Arial"/>
          <w:sz w:val="15"/>
          <w:szCs w:val="15"/>
          <w:color w:val="auto"/>
        </w:rPr>
        <w:t>(5)</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-128905</wp:posOffset>
            </wp:positionV>
            <wp:extent cx="673227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(14)</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(16)</w:t>
      </w:r>
    </w:p>
    <w:p>
      <w:pPr>
        <w:spacing w:after="0" w:line="17" w:lineRule="exact"/>
        <w:rPr>
          <w:sz w:val="20"/>
          <w:szCs w:val="20"/>
          <w:color w:val="auto"/>
        </w:rPr>
      </w:pPr>
    </w:p>
    <w:p>
      <w:pPr>
        <w:ind w:left="1180" w:right="2400" w:hanging="359"/>
        <w:spacing w:after="0" w:line="266"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2016 </w:t>
      </w:r>
      <w:r>
        <w:rPr>
          <w:rFonts w:ascii="Arial" w:cs="Arial" w:eastAsia="Arial" w:hAnsi="Arial"/>
          <w:sz w:val="18"/>
          <w:szCs w:val="18"/>
          <w:color w:val="auto"/>
        </w:rPr>
        <w:t>Unfavorable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-276225</wp:posOffset>
            </wp:positionV>
            <wp:extent cx="673227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-116205</wp:posOffset>
            </wp:positionV>
            <wp:extent cx="673227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(4)</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(6)</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(5)</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(10)</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(11)</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Diluted EPS Attributable to Mondelēz International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-109220</wp:posOffset>
            </wp:positionV>
            <wp:extent cx="673227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Diluted EPS</w:t>
      </w:r>
    </w:p>
    <w:p>
      <w:pPr>
        <w:spacing w:after="0" w:line="113" w:lineRule="exact"/>
        <w:rPr>
          <w:sz w:val="20"/>
          <w:szCs w:val="20"/>
          <w:color w:val="auto"/>
        </w:rPr>
      </w:pPr>
    </w:p>
    <w:p>
      <w:pPr>
        <w:ind w:left="560" w:hanging="560"/>
        <w:spacing w:after="0"/>
        <w:tabs>
          <w:tab w:leader="none" w:pos="5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4.44</w:t>
      </w:r>
    </w:p>
    <w:p>
      <w:pPr>
        <w:spacing w:after="0" w:line="3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0.45</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0.29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1.53</w:t>
      </w:r>
    </w:p>
    <w:p>
      <w:pPr>
        <w:spacing w:after="0" w:line="3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0.28</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1.92</w:t>
      </w:r>
    </w:p>
    <w:p>
      <w:pPr>
        <w:spacing w:after="0" w:line="3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1.86</w:t>
      </w:r>
    </w:p>
    <w:p>
      <w:pPr>
        <w:spacing w:after="0" w:line="3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(0.51)</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(0.06)</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(0.05)</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(0.05)</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0.08</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(0.04)</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(0.17)</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29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560" w:hanging="560"/>
        <w:spacing w:after="0"/>
        <w:tabs>
          <w:tab w:leader="none" w:pos="5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829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5829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9660" w:space="720"/>
            <w:col w:w="980"/>
          </w:cols>
          <w:pgMar w:left="240" w:top="459" w:right="299" w:bottom="1440" w:gutter="0" w:footer="0" w:header="0"/>
          <w:type w:val="continuous"/>
        </w:sectPr>
      </w:pPr>
    </w:p>
    <w:p>
      <w:pPr>
        <w:ind w:left="1140" w:hanging="335"/>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2016 and 2015 related to trademarks.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160" w:hanging="335"/>
        <w:spacing w:after="0" w:line="252"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gains and losses on commodity and forecasted currency transaction derivatives.</w:t>
      </w:r>
    </w:p>
    <w:p>
      <w:pPr>
        <w:ind w:left="1140" w:right="2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the 2016 purchase of a license to manufacture, market and sell Cadbury-branded biscuits in additional key markets, 2016 intangible asset sale in Finland, 2015 acquisitions of a biscuit operation in Vietnam and Enjoy Life Foods and other property sales in 2016.</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December 1, 2016 sale of a confectionery business in Costa Rica. The sale of the confectionery business in Costa Rica generated a pre-tax and after-tax gain of $9 million in 2016. Refer to our Annual Report on Form 10-K for the year ended December 31, 2016 for more information on the April 23, 2015 divestiture of AGF. The divestiture of AGF generated a pre-tax gain of $13 million and after-tax loss of $9 million in 2015.</w:t>
      </w:r>
    </w:p>
    <w:p>
      <w:pPr>
        <w:spacing w:after="0" w:line="1" w:lineRule="exact"/>
        <w:rPr>
          <w:rFonts w:ascii="Arial" w:cs="Arial" w:eastAsia="Arial" w:hAnsi="Arial"/>
          <w:sz w:val="14"/>
          <w:szCs w:val="14"/>
          <w:color w:val="auto"/>
        </w:rPr>
      </w:pPr>
    </w:p>
    <w:p>
      <w:pPr>
        <w:ind w:left="1140" w:right="100" w:hanging="335"/>
        <w:spacing w:after="0" w:line="243"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Policies – Currency Translation and Highly Inflationary Accounting: Venezuela, </w:t>
      </w:r>
      <w:r>
        <w:rPr>
          <w:rFonts w:ascii="Arial" w:cs="Arial" w:eastAsia="Arial" w:hAnsi="Arial"/>
          <w:sz w:val="14"/>
          <w:szCs w:val="14"/>
          <w:color w:val="auto"/>
        </w:rPr>
        <w:t>for more information on the deconsolidation and remeasurement loss</w:t>
      </w:r>
      <w:r>
        <w:rPr>
          <w:rFonts w:ascii="Arial" w:cs="Arial" w:eastAsia="Arial" w:hAnsi="Arial"/>
          <w:sz w:val="14"/>
          <w:szCs w:val="14"/>
          <w:i w:val="1"/>
          <w:iCs w:val="1"/>
          <w:color w:val="auto"/>
        </w:rPr>
        <w:t xml:space="preserve"> </w:t>
      </w:r>
      <w:r>
        <w:rPr>
          <w:rFonts w:ascii="Arial" w:cs="Arial" w:eastAsia="Arial" w:hAnsi="Arial"/>
          <w:sz w:val="14"/>
          <w:szCs w:val="14"/>
          <w:color w:val="auto"/>
        </w:rPr>
        <w:t>in 2015.</w:t>
      </w:r>
    </w:p>
    <w:p>
      <w:pPr>
        <w:spacing w:after="0" w:line="160" w:lineRule="exact"/>
        <w:rPr>
          <w:rFonts w:ascii="Arial" w:cs="Arial" w:eastAsia="Arial" w:hAnsi="Arial"/>
          <w:sz w:val="14"/>
          <w:szCs w:val="14"/>
          <w:color w:val="auto"/>
        </w:rPr>
      </w:pPr>
    </w:p>
    <w:p>
      <w:pPr>
        <w:jc w:val="both"/>
        <w:ind w:left="1140" w:right="20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$436 million in 2015 on the currency hedges related to the coffee business transactions were recorded in interest and other expense, net and are included in the income/(costs) associated with the coffee business transactions of $(0.01) in the table above.</w:t>
      </w:r>
    </w:p>
    <w:p>
      <w:pPr>
        <w:spacing w:after="0" w:line="1" w:lineRule="exact"/>
        <w:rPr>
          <w:rFonts w:ascii="Arial" w:cs="Arial" w:eastAsia="Arial" w:hAnsi="Arial"/>
          <w:sz w:val="14"/>
          <w:szCs w:val="14"/>
          <w:color w:val="auto"/>
        </w:rPr>
      </w:pPr>
    </w:p>
    <w:p>
      <w:pPr>
        <w:ind w:left="1140" w:right="24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due to a change in financing and hedging plans.</w:t>
      </w:r>
    </w:p>
    <w:p>
      <w:pPr>
        <w:ind w:left="1140" w:right="20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tender offers.</w:t>
      </w:r>
    </w:p>
    <w:p>
      <w:pPr>
        <w:ind w:left="1140" w:right="22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right="10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for more information on the accounting calendar change in 2015.</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Note 11,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for more information on our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items affecting income taxes.</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ind w:left="1140" w:hanging="335"/>
        <w:spacing w:after="0"/>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a new AMEA regional operating segment. We have reflected the segment change as if it had occurred in all periods presented.</w:t>
      </w:r>
    </w:p>
    <w:p>
      <w:pPr>
        <w:spacing w:after="0" w:line="20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For the six months ended December 31, 2015, after-tax equity method investment net earnings were less than $1 million on a combined basis. Earnings from equity method investments through July 2, 2015 recorded within segment operating income were $52 million in AMEA and</w:t>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$4 million in North America. See Note 1, </w:t>
      </w:r>
      <w:r>
        <w:rPr>
          <w:rFonts w:ascii="Arial" w:cs="Arial" w:eastAsia="Arial" w:hAnsi="Arial"/>
          <w:sz w:val="18"/>
          <w:szCs w:val="18"/>
          <w:i w:val="1"/>
          <w:iCs w:val="1"/>
          <w:color w:val="auto"/>
        </w:rPr>
        <w:t>Summary of Significant Accounting Policies – Principles of Consolidation,</w:t>
      </w:r>
      <w:r>
        <w:rPr>
          <w:rFonts w:ascii="Arial" w:cs="Arial" w:eastAsia="Arial" w:hAnsi="Arial"/>
          <w:sz w:val="18"/>
          <w:szCs w:val="18"/>
          <w:color w:val="auto"/>
        </w:rPr>
        <w:t xml:space="preserve"> and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for additional information.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2015, we also began to report stock-based compensation for our corporate employees within general corporate expenses that were reported within our North America region. We reclassified $32 million of corporate stock-based compensation expense in 2015 from the North America segment to general corporate expenses.</w:t>
      </w:r>
    </w:p>
    <w:p>
      <w:pPr>
        <w:spacing w:after="0" w:line="203"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left="415"/>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3,566</w:t>
            </w:r>
          </w:p>
        </w:tc>
        <w:tc>
          <w:tcPr>
            <w:tcW w:w="8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3,392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AMEA </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9,755</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25,896</w:t>
            </w:r>
          </w:p>
        </w:tc>
        <w:tc>
          <w:tcPr>
            <w:tcW w:w="6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25,923</w:t>
            </w:r>
          </w:p>
        </w:tc>
        <w:tc>
          <w:tcPr>
            <w:tcW w:w="6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29,636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0" w:hanging="335"/>
        <w:spacing w:after="0" w:line="242"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Net revenues of $1,217 million for 2015 from our Venezuelan subsidiaries are included in our consolidated financial statements. Beginning in 2016, we account for our Venezuelan subsidiaries using the cost method of accounting and no longer include net revenues of our Venezuelan subsidiaries within our consolidated financial statements. Refer to Note 1, </w:t>
      </w:r>
      <w:r>
        <w:rPr>
          <w:rFonts w:ascii="Arial" w:cs="Arial" w:eastAsia="Arial" w:hAnsi="Arial"/>
          <w:sz w:val="14"/>
          <w:szCs w:val="14"/>
          <w:i w:val="1"/>
          <w:iCs w:val="1"/>
          <w:color w:val="auto"/>
        </w:rPr>
        <w:t>Summary of Significant Accounting Policies – Currency Translation and Highly Inflationary Accounting: Venezuela,</w:t>
      </w:r>
      <w:r>
        <w:rPr>
          <w:rFonts w:ascii="Arial" w:cs="Arial" w:eastAsia="Arial" w:hAnsi="Arial"/>
          <w:sz w:val="14"/>
          <w:szCs w:val="14"/>
          <w:color w:val="auto"/>
        </w:rPr>
        <w:t xml:space="preserve"> for more information.</w:t>
      </w:r>
    </w:p>
    <w:p>
      <w:pPr>
        <w:spacing w:after="0" w:line="161" w:lineRule="exact"/>
        <w:rPr>
          <w:rFonts w:ascii="Arial" w:cs="Arial" w:eastAsia="Arial" w:hAnsi="Arial"/>
          <w:sz w:val="14"/>
          <w:szCs w:val="14"/>
          <w:color w:val="auto"/>
        </w:rPr>
      </w:pPr>
    </w:p>
    <w:p>
      <w:pPr>
        <w:ind w:left="1140" w:right="120" w:hanging="335"/>
        <w:spacing w:after="0" w:line="250"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and AMEA segments. Net revenues of our global coffee business were $1,561 million in Europe and $66 million in AMEA for the year ended December 31, 2015. Refer to Note 2, </w:t>
      </w:r>
      <w:r>
        <w:rPr>
          <w:rFonts w:ascii="Arial" w:cs="Arial" w:eastAsia="Arial" w:hAnsi="Arial"/>
          <w:sz w:val="14"/>
          <w:szCs w:val="14"/>
          <w:i w:val="1"/>
          <w:iCs w:val="1"/>
          <w:color w:val="auto"/>
        </w:rPr>
        <w:t>Divestitures and Acquisitions – JDE Coffee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 for more information.</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center"/>
              <w:ind w:left="432"/>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4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2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565</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AMEA</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1,120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(losses)/gains on hedging activities</w:t>
            </w: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(mark-to-market impacts)</w:t>
            </w: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Net gain on divestitures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deconsolidation of Venezuela</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Interest and other expense, net</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3,124</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20" w:type="dxa"/>
            <w:vAlign w:val="bottom"/>
            <w:vMerge w:val="restart"/>
          </w:tcPr>
          <w:p>
            <w:pPr>
              <w:jc w:val="right"/>
              <w:ind w:right="1330"/>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8" w:lineRule="exact"/>
        <w:rPr>
          <w:sz w:val="20"/>
          <w:szCs w:val="20"/>
          <w:color w:val="auto"/>
        </w:rPr>
      </w:pPr>
    </w:p>
    <w:tbl>
      <w:tblPr>
        <w:tblLayout w:type="fixed"/>
        <w:tblInd w:w="6040" w:type="dxa"/>
        <w:tblCellMar>
          <w:top w:w="0" w:type="dxa"/>
          <w:left w:w="0" w:type="dxa"/>
          <w:bottom w:w="0" w:type="dxa"/>
          <w:right w:w="0" w:type="dxa"/>
        </w:tblCellMar>
      </w:tblPr>
      <w:tr>
        <w:trPr>
          <w:trHeight w:val="162"/>
        </w:trPr>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588"/>
              <w:spacing w:after="0"/>
              <w:rPr>
                <w:sz w:val="20"/>
                <w:szCs w:val="20"/>
                <w:color w:val="auto"/>
              </w:rPr>
            </w:pPr>
            <w:r>
              <w:rPr>
                <w:rFonts w:ascii="Arial" w:cs="Arial" w:eastAsia="Arial" w:hAnsi="Arial"/>
                <w:sz w:val="14"/>
                <w:szCs w:val="14"/>
                <w:b w:val="1"/>
                <w:bCs w:val="1"/>
                <w:color w:val="auto"/>
              </w:rPr>
              <w:t>December 31,</w:t>
            </w:r>
          </w:p>
        </w:tc>
        <w:tc>
          <w:tcPr>
            <w:tcW w:w="206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 change</w:t>
            </w: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7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2016</w:t>
            </w:r>
          </w:p>
        </w:tc>
        <w:tc>
          <w:tcPr>
            <w:tcW w:w="206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3,566</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3,392</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8"/>
              <w:spacing w:after="0"/>
              <w:rPr>
                <w:sz w:val="20"/>
                <w:szCs w:val="20"/>
                <w:color w:val="auto"/>
              </w:rPr>
            </w:pPr>
            <w:r>
              <w:rPr>
                <w:rFonts w:ascii="Arial" w:cs="Arial" w:eastAsia="Arial" w:hAnsi="Arial"/>
                <w:sz w:val="18"/>
                <w:szCs w:val="18"/>
                <w:color w:val="auto"/>
              </w:rPr>
              <w:t>565</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294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351"/>
        </w:trPr>
        <w:tc>
          <w:tcPr>
            <w:tcW w:w="3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For the Years Ended</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49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66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7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3,392</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4,988</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(1,596)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8"/>
              <w:spacing w:after="0"/>
              <w:rPr>
                <w:sz w:val="20"/>
                <w:szCs w:val="20"/>
                <w:color w:val="auto"/>
              </w:rPr>
            </w:pPr>
            <w:r>
              <w:rPr>
                <w:rFonts w:ascii="Arial" w:cs="Arial" w:eastAsia="Arial" w:hAnsi="Arial"/>
                <w:sz w:val="18"/>
                <w:szCs w:val="18"/>
                <w:color w:val="auto"/>
              </w:rPr>
              <w:t>271</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(214)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revenues increased $174 million (5.1%), due to higher net pricing (7.7 pp) and favorable currency (1.9 pp), partially offset by unfavorable volume/mix (4.2 pp) and the impact of a divestiture (0.3 pp). Higher net pricing was reflected across all categories driven primarily by Argentina, Brazil and Mexico. Favorable currency impacts were due primarily to the strength of several currencies in the region relative to the U.S. dollar, primarily the Brazilian real, partially offset by the strength of the U.S. dollar relative to the Argentinean peso and Mexican peso. Unfavorable volume/mix, which occurred across most of the region, was largely due to the impact of pricing-related elasticity. In addition, only a portion of the shipments delayed at the end of the second quarter due to the malware incident was recovered. Unfavorable volume/mix was driven by declines in all categories except chocolate and candy. On December 1, 2016, we sold a small confectionery business in Costa Rica.</w:t>
      </w:r>
    </w:p>
    <w:p>
      <w:pPr>
        <w:spacing w:after="0" w:line="20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Segment operating income increased $294 million (108.5%), primarily due to higher net pricing, the benefit from the resolution of a Brazilian indirect tax matter of $153 million, lower manufacturing costs, lower costs incurred for the 2014-2018 Restructuring Program, favorable currency and lower advertising and consumer promotion costs. These favorable items were partially offset by higher raw material costs, unfavorable volume/mix and higher other selling, general and administrative expenses (net of prior-year VAT-related settlements).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revenues decreased $1,596 million (32.0%), due to the deconsolidation of our Venezuelan operations (21.9 pp), unfavorable currency (14.8 pp), unfavorable volume/mix (5.3 pp) and the impact of a divestiture (0.1 pp), partially offset by higher net pricing (10.1 pp). The deconsolidation of our Venezuelan operations resulted in a year-over-year decrease in net revenues of $1,217 million. Unfavorable currency impacts were due primarily to the strength of the U.S. dollar relative to most currencies in the region, including the Argentinean peso and Mexican peso. Unfavorable volume/mix, which primarily occurred in Brazil and Argentina, was largely due to the impact of pricing-related elasticity as well as strategic decisions to exit certain low-margin product lines. Unfavorable volume/mix was driven by declines in all categories except for cheese &amp; grocery. Higher net pricing was reflected across all categories driven primarily by Argentina, Brazil and Mexico.</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Segment operating income decreased $ 214 million (44.1%), primarily due to higher raw material costs, the deconsolidation of our Venezuelan operations, unfavorable volume/mix and unfavorable currency. These unfavorable items were partially offset by higher net pricing, lower other selling, general and administrative expenses (including higher year-over year VAT-related settlements), lower manufacturing costs, lower advertising and consumer promotion costs, lower costs incurred for the 2014-2018 Restructuring Program and the absence of remeasurement losses in 2016 related to our net monetary assets in Venezuela.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248" w:lineRule="exact"/>
        <w:rPr>
          <w:sz w:val="20"/>
          <w:szCs w:val="20"/>
          <w:color w:val="auto"/>
        </w:rPr>
      </w:pPr>
    </w:p>
    <w:tbl>
      <w:tblPr>
        <w:tblLayout w:type="fixed"/>
        <w:tblInd w:w="6080" w:type="dxa"/>
        <w:tblCellMar>
          <w:top w:w="0" w:type="dxa"/>
          <w:left w:w="0" w:type="dxa"/>
          <w:bottom w:w="0" w:type="dxa"/>
          <w:right w:w="0" w:type="dxa"/>
        </w:tblCellMar>
      </w:tblPr>
      <w:tr>
        <w:trPr>
          <w:trHeight w:val="162"/>
        </w:trPr>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608"/>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 change</w:t>
            </w: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7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2016</w:t>
            </w:r>
          </w:p>
        </w:tc>
        <w:tc>
          <w:tcPr>
            <w:tcW w:w="202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left="728"/>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5,739</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5,816</w:t>
            </w: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9"/>
                <w:szCs w:val="19"/>
                <w:color w:val="auto"/>
              </w:rPr>
            </w:pPr>
          </w:p>
        </w:tc>
        <w:tc>
          <w:tcPr>
            <w:tcW w:w="1000" w:type="dxa"/>
            <w:vAlign w:val="bottom"/>
          </w:tcPr>
          <w:p>
            <w:pPr>
              <w:jc w:val="right"/>
              <w:ind w:right="198"/>
              <w:spacing w:after="0"/>
              <w:rPr>
                <w:sz w:val="20"/>
                <w:szCs w:val="20"/>
                <w:color w:val="auto"/>
              </w:rPr>
            </w:pPr>
            <w:r>
              <w:rPr>
                <w:rFonts w:ascii="Arial" w:cs="Arial" w:eastAsia="Arial" w:hAnsi="Arial"/>
                <w:sz w:val="18"/>
                <w:szCs w:val="18"/>
                <w:color w:val="auto"/>
              </w:rPr>
              <w:t>516</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4"/>
          </w:tcPr>
          <w:p>
            <w:pPr>
              <w:ind w:left="300"/>
              <w:spacing w:after="0"/>
              <w:rPr>
                <w:sz w:val="20"/>
                <w:szCs w:val="20"/>
                <w:color w:val="auto"/>
              </w:rPr>
            </w:pPr>
            <w:r>
              <w:rPr>
                <w:rFonts w:ascii="Arial" w:cs="Arial" w:eastAsia="Arial" w:hAnsi="Arial"/>
                <w:sz w:val="14"/>
                <w:szCs w:val="14"/>
                <w:b w:val="1"/>
                <w:bCs w:val="1"/>
                <w:color w:val="auto"/>
              </w:rPr>
              <w:t>For the Years Ended</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498"/>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6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5,816</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6,002</w:t>
            </w: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9"/>
                <w:szCs w:val="19"/>
                <w:color w:val="auto"/>
              </w:rPr>
            </w:pPr>
          </w:p>
        </w:tc>
        <w:tc>
          <w:tcPr>
            <w:tcW w:w="1000" w:type="dxa"/>
            <w:vAlign w:val="bottom"/>
          </w:tcPr>
          <w:p>
            <w:pPr>
              <w:jc w:val="right"/>
              <w:ind w:right="198"/>
              <w:spacing w:after="0"/>
              <w:rPr>
                <w:sz w:val="20"/>
                <w:szCs w:val="20"/>
                <w:color w:val="auto"/>
              </w:rPr>
            </w:pPr>
            <w:r>
              <w:rPr>
                <w:rFonts w:ascii="Arial" w:cs="Arial" w:eastAsia="Arial" w:hAnsi="Arial"/>
                <w:sz w:val="18"/>
                <w:szCs w:val="18"/>
                <w:color w:val="auto"/>
              </w:rPr>
              <w:t>506</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117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Net revenues decreased $77 million (1.3%), due to the impact of divestitures (2.2 pp), unfavorable currency (1.8 pp) and unfavorable volume/mix (0.2 pp), partially offset by higher net pricing (2.9 pp). The impact of divestitures, primarily related to the grocery &amp; cheese business in Australia and New Zealand that was divested on July 4, 2017, resulted in a year-over-year decline in net revenues of $128 million for 2017. Unfavorable currency impacts were due primarily to the strength of the U.S. dollar relative to several currencies in the region, including the Egyptian pound, Nigerian naira, Philippine peso, Chinese yuan and Japanese yen, partially offset by the strength of several other currencies in the region relative to the U.S. dollar, including the Australian dollar, Indian rupee and South African rand. Unfavorable volume/mix was driven by declines in refreshment beverages, cheese &amp; grocery, gum and candy, partially offset by gains in chocolate and biscuits. In addition, only a portion of the shipments delayed at the end of the second quarter due to the malware incident was recovered. Higher net pricing was reflected across all categories except cheese &amp; grocery.</w:t>
      </w:r>
    </w:p>
    <w:p>
      <w:pPr>
        <w:spacing w:after="0" w:line="20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Segment operating income increased $10 million (2.0%), primarily due to higher net pricing, lower other selling, general and administrative expenses (including a property insurance recovery), lower manufacturing costs and lower advertising and consumer promotion costs. These favorable items were mostly offset by higher raw material costs, unfavorable currency, unfavorable volume/mix, higher costs incurred for the 2014-2018 Restructuring Program, the impact of divestitures and higher intangible asset impairment charges.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Net revenues decreased $186 million (3.1%), due to unfavorable currency (3.9 pp), the adjustment for deconsolidating our historical coffee business (1.1 pp) and unfavorable volume/mix (1.0 pp), partially offset by higher net pricing (1.7 pp) and the impact of an acquisition (1.2 pp). Unfavorable currency impacts were due primarily to the strength of the U.S. dollar relative to most currencies in the region, including the Chinese yuan, Indian rupee, South African rand, Egyptian pound, Nigerian naira, Philippine peso and Australian dollar, partially offset by the strength of the Japanese yen relative to the U.S. dollar. The adjustment for deconsolidating our historical coffee business resulted in a year-over-year decrease in net revenues of $66 million. Unfavorable volume/mix, including the unfavorable impact of strategic decisions to exit certain low-margin product lines, was driven by declines in candy, refreshment beverages, cheese &amp; grocery and chocolate, partially offset by gains in biscuits and gum. Higher net pricing was driven by chocolate, candy, biscuits and refreshment beverages, partially offset by lower net pricing in gum and cheese &amp; grocery. The acquisition of a biscuit operation in Vietnam in July 2015 added net revenues of $71 million (constant currency basis).</w:t>
      </w:r>
    </w:p>
    <w:p>
      <w:pPr>
        <w:spacing w:after="0" w:line="20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Segment operating income increased $117 million (30.1%), primarily due to lower manufacturing costs, higher net pricing, lower other selling, general and administrative expenses, lower costs incurred for the 2014-2018 Restructuring Program, the absence of costs associated with the coffee business transactions and the impact of the Vietnam acquisition. These favorable items were partially offset by higher raw material costs, the reclassification of equity method investment earnings, unfavorable volume/mix, unfavorable currency, the deconsolidation of our historical coffee business and the impact of divestitures.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8" w:lineRule="exact"/>
        <w:rPr>
          <w:sz w:val="20"/>
          <w:szCs w:val="20"/>
          <w:color w:val="auto"/>
        </w:rPr>
      </w:pPr>
    </w:p>
    <w:tbl>
      <w:tblPr>
        <w:tblLayout w:type="fixed"/>
        <w:tblInd w:w="6280" w:type="dxa"/>
        <w:tblCellMar>
          <w:top w:w="0" w:type="dxa"/>
          <w:left w:w="0" w:type="dxa"/>
          <w:bottom w:w="0" w:type="dxa"/>
          <w:right w:w="0" w:type="dxa"/>
        </w:tblCellMar>
      </w:tblPr>
      <w:tr>
        <w:trPr>
          <w:trHeight w:val="162"/>
        </w:trPr>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588"/>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 change</w:t>
            </w: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68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2016</w:t>
            </w:r>
          </w:p>
        </w:tc>
        <w:tc>
          <w:tcPr>
            <w:tcW w:w="18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ind w:left="668"/>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9,794</w:t>
            </w: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9,755</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1,680</w:t>
            </w:r>
          </w:p>
        </w:tc>
        <w:tc>
          <w:tcPr>
            <w:tcW w:w="5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1,267</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c>
          <w:tcPr>
            <w:tcW w:w="4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351"/>
        </w:trPr>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Years Ended</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66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9,755</w:t>
            </w:r>
          </w:p>
        </w:tc>
        <w:tc>
          <w:tcPr>
            <w:tcW w:w="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11,672</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1,267</w:t>
            </w:r>
          </w:p>
        </w:tc>
        <w:tc>
          <w:tcPr>
            <w:tcW w:w="5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1,350</w:t>
            </w:r>
          </w:p>
        </w:tc>
        <w:tc>
          <w:tcPr>
            <w:tcW w:w="4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revenues increased $39 million (0.4%), due to favorable volume/mix (1.4 pp), favorable currency (1.0 pp), and the impact of an acquisition (0.6 pp), partially offset by the impact of divestitures (2.5 pp) and lower net pricing (0.1 pp). Favorable volume/mix was driven by chocolate and biscuits, partially offset by declines in gum, cheese &amp; grocery, candy and refreshment beverages. In addition, a portion of the shipments delayed at the end of the second quarter due to the malware incident was not recovered. Favorable currency impacts reflected the strength of several other currencies relative to the U.S. dollar, primarily the euro and Russian ruble, partially offset by the strength of the U.S. dollar against several currencies in the region, including the British pound sterling and Turkish lira. The November 2016 acquisition of a business and license to manufacture, market and sell Cadbury-branded biscuits added net revenues of $59 million (constant currency basis). The impact of divestitures, primarily due to the sale of a confectionery business in France, resulted in a year-over-year decline in net revenues of $234 million for 2017. Lower net pricing was driven by biscuits, mostly offset by higher net pricing in all other categories.</w:t>
      </w:r>
    </w:p>
    <w:p>
      <w:pPr>
        <w:spacing w:after="0" w:line="20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Segment operating income increased $413 million (32.6%), primarily due to lower manufacturing costs, lower costs incurred for the 2014-2018 Restructuring Program, lower other selling, general and administrative expenses, lower divestiture-related costs, lower advertising and consumer promotion costs, the benefit from the settlement of a Cadbury tax matter, favorable volume/mix, lower intangible asset impairment charges, favorable currency and the impact of an acquisition. These favorable items were partially offset by higher raw material costs, the impact of divestitures, incremental costs incurred due to the malware incident, lower net pricing and a prior-year gain on the sale of an intangible asset.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Net revenues decreased $1,917 million (16.4%), due to the adjustment for deconsolidating our historical coffee business (12.9 pp), unfavorable currency (4.4 pp), lower net pricing (0.4 pp) and the impact of divestitures (0.2 pp), partially offset by favorable volume/mix (1.3 pp) and the impact of an acquisition (0.2 pp). The adjustment for deconsolidating our historical coffee business resulted in a year-over-year decrease in net revenues of $1,561 million. Unfavorable currency impacts reflected the strength of the U.S. dollar against most currencies in the region, primarily the British pound sterling. Lower net pricing was reflected across most categories except candy and gum. Favorable volume/mix, including the unfavorable impact of strategic decisions to exit certain low-margin product lines, was driven by biscuits, chocolate and cheese &amp; grocery, partially offset by declines in gum, candy and refreshment beverages. The purchase of the license to manufacture, market and sell Cadbury-branded biscuits in November 2016 added net revenues of $16 million (constant currency basis).</w:t>
      </w:r>
    </w:p>
    <w:p>
      <w:pPr>
        <w:spacing w:after="0" w:line="2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Segment operating income decreased $83 million (6.1%), primarily due to the deconsolidation of our historical coffee business, unfavorable currency, higher raw material costs, divestiture-related costs, higher costs incurred for the 2014-2018 Restructuring Program, lower net pricing, higher intangible asset impairment charges and the impact of divestitures. These unfavorable items were partially offset by the absence of costs associated with the JDE coffee business transactions, lower manufacturing costs, lower other selling, general and administrative expenses, favorable volume/mix and a gain on the sale of an intangible asset.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8" w:lineRule="exact"/>
        <w:rPr>
          <w:sz w:val="20"/>
          <w:szCs w:val="20"/>
          <w:color w:val="auto"/>
        </w:rPr>
      </w:pPr>
    </w:p>
    <w:tbl>
      <w:tblPr>
        <w:tblLayout w:type="fixed"/>
        <w:tblInd w:w="6140" w:type="dxa"/>
        <w:tblCellMar>
          <w:top w:w="0" w:type="dxa"/>
          <w:left w:w="0" w:type="dxa"/>
          <w:bottom w:w="0" w:type="dxa"/>
          <w:right w:w="0" w:type="dxa"/>
        </w:tblCellMar>
      </w:tblPr>
      <w:tr>
        <w:trPr>
          <w:trHeight w:val="162"/>
        </w:trPr>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588"/>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 change</w:t>
            </w: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68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2016</w:t>
            </w:r>
          </w:p>
        </w:tc>
        <w:tc>
          <w:tcPr>
            <w:tcW w:w="202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ind w:left="708"/>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tbl>
      <w:tblPr>
        <w:tblLayout w:type="fixed"/>
        <w:tblInd w:w="1160" w:type="dxa"/>
        <w:tblCellMar>
          <w:top w:w="0" w:type="dxa"/>
          <w:left w:w="0" w:type="dxa"/>
          <w:bottom w:w="0" w:type="dxa"/>
          <w:right w:w="0" w:type="dxa"/>
        </w:tblCellMar>
      </w:tblPr>
      <w:tr>
        <w:trPr>
          <w:trHeight w:val="21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6,797</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6,960</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rPr>
              <w:t>1,120</w:t>
            </w:r>
          </w:p>
        </w:tc>
        <w:tc>
          <w:tcPr>
            <w:tcW w:w="5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1,078</w:t>
            </w:r>
          </w:p>
        </w:tc>
        <w:tc>
          <w:tcPr>
            <w:tcW w:w="5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351"/>
        </w:trPr>
        <w:tc>
          <w:tcPr>
            <w:tcW w:w="3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Years Ended</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c>
          <w:tcPr>
            <w:tcW w:w="66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6,960</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6,974</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rPr>
              <w:t>1,078</w:t>
            </w:r>
          </w:p>
        </w:tc>
        <w:tc>
          <w:tcPr>
            <w:tcW w:w="5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1,105</w:t>
            </w:r>
          </w:p>
        </w:tc>
        <w:tc>
          <w:tcPr>
            <w:tcW w:w="5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Net revenues decreased $ 163 million (2.3%), due to unfavorable volume/mix (1.8 pp), lower net pricing (0.6 pp) and the impact of divestitures (0.1 pp), partially offset by favorable currency (0.2 pp). Unfavorable volume/mix, primarily caused by shipments delayed at the end of the second quarter due to the malware incident that were not recovered, was driven by declines in gum, biscuits and candy, partially offset by a gain in chocolate. Lower net pricing was reflected in biscuits and chocolate, partially offset by higher net pricing in candy and gum. Favorable currency impact was due to the strength of the Canadian dollar relative to the U.S. dollar.</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Segment operating income increased $42 million (3.9%), primarily due to lower costs incurred for the 2014-2018 Restructuring Program, lower other selling, general and administrative expenses (net of the prior-year’s gain on sale of property), lower manufacturing costs, lower advertising and consumer promotion costs and lower raw material costs. These favorable items were partially offset by unfavorable volume/mix, incremental costs incurred due to the malware incident, lower net pricing, the impact of divestitures and prior-year gain on the sale of an intangible asset.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revenues decreased $14 million (0.2%), due to the impact of an accounting calendar change made in the prior year (1.1 pp), unfavorable currency (0.3 pp) and lower net pricing (0.2 pp), mostly offset by favorable volume/mix (1.4 pp). The prior-year change in North America’s accounting calendar resulted in a year-over-year decrease in net revenues of $76 million. Unfavorable currency impact was due to the strength of the U.S. dollar relative to the Canadian dollar. Lower net pricing was reflected in biscuits and candy, partially offset by higher net pricing in chocolate and gum. Favorable volume/ mix, including the unfavorable impact of strategic decisions to exit certain low-margin product lines, was driven by gains in biscuits and candy, partially offset by declines in gum and chocolate.</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Segment operating income decreased $27 million (2.4%), primarily due to higher costs incurred for the 2014-2018 Restructuring Program, higher advertising and consumer promotion costs, intangible asset impairment charges, the year-over-year impact of the prior-year accounting calendar change, higher raw material costs and lower net pricing. These unfavorable items were mostly offset by lower other selling, general and administrative expenses (including the gain on sale of property), lower manufacturing costs, favorable volume/mix and the gain on the sale of an intangible asset.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r>
        <w:rPr>
          <w:rFonts w:ascii="Arial" w:cs="Arial" w:eastAsia="Arial" w:hAnsi="Arial"/>
          <w:sz w:val="18"/>
          <w:szCs w:val="18"/>
          <w:color w:val="auto"/>
        </w:rPr>
        <w:t>:</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historically annually tested goodwill and non-amortizable intangible assets for impairment as of October 1. This year, we voluntarily changed the annual impairment assessment date from October 1 to July 1. We believe this measurement date, which represents a change in the method of applying an accounting principle, is preferable because it better aligns with our strategic business planning process and financial forecasts which are key components of the annual impairment tests. The change in the measurement date did not delay, accelerate or prevent an impairment charge. Each quarter, we have evaluated goodwill and intangible asset impairment risks and recognized any related impairments to date. As such, the change in the annual test date was applied on July 1, 2017.</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7.2% to discount the projected cash flows of those operations. For our Latin America and AMEA reporting units, we used a risk-rated discount rate of 10.2%. Estimating the fair value of individual reporting units requires us to make assumptions and estimates regarding our future plans and industry and economic conditions, and our actual results and conditions may differ over time. If the carrying value of a reporting unit’s net assets exceeds its fair value, we would recognize an impairment charge for the amount by which the carrying value exceeds the reporting unit fair value.</w:t>
      </w:r>
    </w:p>
    <w:p>
      <w:pPr>
        <w:spacing w:after="0" w:line="2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2017, 2016 and 2015, there were no impairments of goodwill. In connection with our 2017 annual impairment testing, each of our reporting units had sufficient fair value in excess of carrying value. While all reporting units passed our annual impairment testing, if we do not meet business performance expectations or specific valuation factors outside of our control, such as discount rates, change significantly, then the estimated fair values of a reporting unit or reporting units might decline and lead to a goodwill impairment in the future.</w:t>
      </w:r>
    </w:p>
    <w:p>
      <w:pPr>
        <w:spacing w:after="0" w:line="20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estimated fair value, the asset is impaired and its carrying value is reduced to the estimated fair value.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our 2017 annual testing of non-amortizable intangible assets, we recorded $70 million of impairment charges in the third quarter of 2017 related to five trademarks. The impairments arose due to lower than expected product growth in part driven by decisions to redirect support from these trademarks to other regional and global brands. We recorded charges related to candy and gum trademarks of $52 million in AMEA, $11 million in Europe, $5 million in Latin America and $2 million in North America. The impairment charges were calculated as the excess of the carrying value over the estimated fair value of the intangible assets on a global basis and were recorded within asset impairment and exit costs. We primarily use a relief of royalty valuation method, which utilizes estimates of future sales, growth rates, royalty rates and discount rates in determining a brand’s global fair value. We also noted thirteen brands, including the five impaired trademarks, with $963 million of aggregate book value as of December 31, 2017 that each had a fair value in excess of book value of 10% or less. We believe our current plans for each of these brands will allow them to continue to not be impaired, but if we do not meet the product line expectations or specific valuation factors outside of our control, such as discount rates, change significantly, then a brand or brands could become impaired in the future. In 2016, we recorded charges related to biscuits, candy and gum trademarks of $41 million in AMEA, $32 million in North America, $ 22 million in Europe, and $3 million in Latin America. In 2015, we recorded a $44 million charge related to candy and biscuit trademarks in AMEA, $22 million in Europe and $5 million in Latin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 and all marketing and advertising costs are recorded as an expense in the year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sponsor various employee benefit plans throughout the world. These include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0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As permitted by U.S. GAAP, we generally amortize the effect of changes in the assumptions over future periods. The cost or benefit of plan changes, such as increasing or decreasing benefits for prior employee service (prior service cost), is deferred and included in expense on a straight-line basis over the average remaining service period of the employees expected to receive benefits.</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The expected return on plan assets assumption affects our pension plan expenses, as many of our pension plans are partially funded. The assumptions for discount rates and expected rates of return and our process for setting these assumptions are described in Note 9,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While we do not anticipate further changes in the 2018 assumptions for our U.S. and non-U.S. pension and postretirement health care plans, as a sensitivity measure, a fifty-basis point change in our discount rates or the expected rate of return on plan assets would have the following effects, increase/(decrease), on our annual benefit plan costs:</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359"/>
              <w:spacing w:after="0"/>
              <w:rPr>
                <w:sz w:val="20"/>
                <w:szCs w:val="20"/>
                <w:color w:val="auto"/>
              </w:rPr>
            </w:pPr>
            <w:r>
              <w:rPr>
                <w:rFonts w:ascii="Arial" w:cs="Arial" w:eastAsia="Arial" w:hAnsi="Arial"/>
                <w:sz w:val="14"/>
                <w:szCs w:val="14"/>
                <w:b w:val="1"/>
                <w:bCs w:val="1"/>
                <w:color w:val="auto"/>
              </w:rPr>
              <w:t>As of December 31, 2017</w:t>
            </w: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U.S. Plans</w:t>
            </w:r>
          </w:p>
        </w:tc>
        <w:tc>
          <w:tcPr>
            <w:tcW w:w="8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center"/>
              <w:ind w:left="199"/>
              <w:spacing w:after="0" w:line="155" w:lineRule="exact"/>
              <w:rPr>
                <w:sz w:val="20"/>
                <w:szCs w:val="20"/>
                <w:color w:val="auto"/>
              </w:rPr>
            </w:pPr>
            <w:r>
              <w:rPr>
                <w:rFonts w:ascii="Arial" w:cs="Arial" w:eastAsia="Arial" w:hAnsi="Arial"/>
                <w:sz w:val="14"/>
                <w:szCs w:val="14"/>
                <w:b w:val="1"/>
                <w:bCs w:val="1"/>
                <w:color w:val="auto"/>
              </w:rPr>
              <w:t>Non-U.S. Plans</w:t>
            </w: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559"/>
              <w:spacing w:after="0" w:line="155" w:lineRule="exact"/>
              <w:rPr>
                <w:sz w:val="20"/>
                <w:szCs w:val="20"/>
                <w:color w:val="auto"/>
              </w:rPr>
            </w:pPr>
            <w:r>
              <w:rPr>
                <w:rFonts w:ascii="Arial" w:cs="Arial" w:eastAsia="Arial" w:hAnsi="Arial"/>
                <w:sz w:val="14"/>
                <w:szCs w:val="14"/>
                <w:b w:val="1"/>
                <w:bCs w:val="1"/>
                <w:color w:val="auto"/>
              </w:rPr>
              <w:t>Fifty-Basis-Point</w:t>
            </w: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center"/>
              <w:ind w:left="179"/>
              <w:spacing w:after="0" w:line="155" w:lineRule="exact"/>
              <w:rPr>
                <w:sz w:val="20"/>
                <w:szCs w:val="20"/>
                <w:color w:val="auto"/>
              </w:rPr>
            </w:pPr>
            <w:r>
              <w:rPr>
                <w:rFonts w:ascii="Arial" w:cs="Arial" w:eastAsia="Arial" w:hAnsi="Arial"/>
                <w:sz w:val="14"/>
                <w:szCs w:val="14"/>
                <w:b w:val="1"/>
                <w:bCs w:val="1"/>
                <w:color w:val="auto"/>
              </w:rPr>
              <w:t>Fifty-Basis-Point</w:t>
            </w: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Increase</w:t>
            </w: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Decrease</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Increase</w:t>
            </w:r>
          </w:p>
        </w:tc>
        <w:tc>
          <w:tcPr>
            <w:tcW w:w="1180" w:type="dxa"/>
            <w:vAlign w:val="bottom"/>
            <w:tcBorders>
              <w:bottom w:val="single" w:sz="8" w:color="auto"/>
            </w:tcBorders>
            <w:gridSpan w:val="2"/>
          </w:tcPr>
          <w:p>
            <w:pPr>
              <w:ind w:left="400"/>
              <w:spacing w:after="0" w:line="155" w:lineRule="exact"/>
              <w:rPr>
                <w:sz w:val="20"/>
                <w:szCs w:val="20"/>
                <w:color w:val="auto"/>
              </w:rPr>
            </w:pPr>
            <w:r>
              <w:rPr>
                <w:rFonts w:ascii="Arial" w:cs="Arial" w:eastAsia="Arial" w:hAnsi="Arial"/>
                <w:sz w:val="14"/>
                <w:szCs w:val="14"/>
                <w:b w:val="1"/>
                <w:bCs w:val="1"/>
                <w:color w:val="auto"/>
              </w:rPr>
              <w:t>Decrease</w:t>
            </w:r>
          </w:p>
        </w:tc>
        <w:tc>
          <w:tcPr>
            <w:tcW w:w="60" w:type="dxa"/>
            <w:vAlign w:val="bottom"/>
          </w:tcPr>
          <w:p>
            <w:pPr>
              <w:spacing w:after="0"/>
              <w:rPr>
                <w:sz w:val="13"/>
                <w:szCs w:val="13"/>
                <w:color w:val="auto"/>
              </w:rPr>
            </w:pPr>
          </w:p>
        </w:tc>
      </w:tr>
      <w:tr>
        <w:trPr>
          <w:trHeight w:val="156"/>
        </w:trPr>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gridSpan w:val="3"/>
          </w:tcPr>
          <w:p>
            <w:pPr>
              <w:jc w:val="center"/>
              <w:ind w:left="559"/>
              <w:spacing w:after="0" w:line="155" w:lineRule="exact"/>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change in discount rate on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pension costs</w:t>
            </w: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(67)</w:t>
            </w:r>
          </w:p>
        </w:tc>
        <w:tc>
          <w:tcPr>
            <w:tcW w:w="760" w:type="dxa"/>
            <w:vAlign w:val="bottom"/>
            <w:shd w:val="clear" w:color="auto" w:fill="CCEEFF"/>
          </w:tcPr>
          <w:p>
            <w:pPr>
              <w:jc w:val="right"/>
              <w:ind w:right="319"/>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76</w:t>
            </w: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Effect of change in expected rate of return 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440" w:type="dxa"/>
            <w:vAlign w:val="bottom"/>
          </w:tcPr>
          <w:p>
            <w:pPr>
              <w:ind w:left="180"/>
              <w:spacing w:after="0" w:line="203" w:lineRule="exact"/>
              <w:rPr>
                <w:sz w:val="20"/>
                <w:szCs w:val="20"/>
                <w:color w:val="auto"/>
              </w:rPr>
            </w:pPr>
            <w:r>
              <w:rPr>
                <w:rFonts w:ascii="Arial" w:cs="Arial" w:eastAsia="Arial" w:hAnsi="Arial"/>
                <w:sz w:val="18"/>
                <w:szCs w:val="18"/>
                <w:color w:val="auto"/>
              </w:rPr>
              <w:t>plan assets on pension costs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79"/>
              <w:spacing w:after="0" w:line="203" w:lineRule="exact"/>
              <w:rPr>
                <w:sz w:val="20"/>
                <w:szCs w:val="20"/>
                <w:color w:val="auto"/>
              </w:rPr>
            </w:pPr>
            <w:r>
              <w:rPr>
                <w:rFonts w:ascii="Arial" w:cs="Arial" w:eastAsia="Arial" w:hAnsi="Arial"/>
                <w:sz w:val="18"/>
                <w:szCs w:val="18"/>
                <w:color w:val="auto"/>
              </w:rPr>
              <w:t>(8)</w:t>
            </w:r>
          </w:p>
        </w:tc>
        <w:tc>
          <w:tcPr>
            <w:tcW w:w="380" w:type="dxa"/>
            <w:vAlign w:val="bottom"/>
          </w:tcPr>
          <w:p>
            <w:pPr>
              <w:spacing w:after="0"/>
              <w:rPr>
                <w:sz w:val="17"/>
                <w:szCs w:val="17"/>
                <w:color w:val="auto"/>
              </w:rPr>
            </w:pPr>
          </w:p>
        </w:tc>
        <w:tc>
          <w:tcPr>
            <w:tcW w:w="130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080" w:type="dxa"/>
            <w:vAlign w:val="bottom"/>
          </w:tcPr>
          <w:p>
            <w:pPr>
              <w:jc w:val="right"/>
              <w:ind w:right="179"/>
              <w:spacing w:after="0" w:line="203" w:lineRule="exact"/>
              <w:rPr>
                <w:sz w:val="20"/>
                <w:szCs w:val="20"/>
                <w:color w:val="auto"/>
              </w:rPr>
            </w:pPr>
            <w:r>
              <w:rPr>
                <w:rFonts w:ascii="Arial" w:cs="Arial" w:eastAsia="Arial" w:hAnsi="Arial"/>
                <w:sz w:val="18"/>
                <w:szCs w:val="18"/>
                <w:color w:val="auto"/>
              </w:rPr>
              <w:t>(43)</w:t>
            </w:r>
          </w:p>
        </w:tc>
        <w:tc>
          <w:tcPr>
            <w:tcW w:w="760" w:type="dxa"/>
            <w:vAlign w:val="bottom"/>
          </w:tcPr>
          <w:p>
            <w:pPr>
              <w:spacing w:after="0"/>
              <w:rPr>
                <w:sz w:val="17"/>
                <w:szCs w:val="17"/>
                <w:color w:val="auto"/>
              </w:rPr>
            </w:pPr>
          </w:p>
        </w:tc>
        <w:tc>
          <w:tcPr>
            <w:tcW w:w="4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43</w:t>
            </w: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change in discount rate on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postretirement health care costs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 and historical income tax provisions. The outcome of these final determinations could have a material effect on our provision for income taxes, net earnings or cash flows in the period in which the determination is made.</w:t>
      </w:r>
    </w:p>
    <w:p>
      <w:pPr>
        <w:spacing w:after="0" w:line="20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As a result of the U.S. tax reform and the related SEC guidance, we included provisional estimates in our consolidated financial statements for some impacts of the new tax legislation. We were unable to make a reasonable estimate for other provisions of the legislation and did not include an estimate in our consolidated financial statements. See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provisional amounts related to U.S. tax reform included in our financial statements and a discussion of the items for which no estimate could be made, as well as additional information on our effective tax rate, current and deferred taxes, valuation allowances and unrecognized tax benefits.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14" w:lineRule="exact"/>
        <w:rPr>
          <w:sz w:val="20"/>
          <w:szCs w:val="20"/>
          <w:color w:val="auto"/>
        </w:rPr>
      </w:pPr>
    </w:p>
    <w:p>
      <w:pPr>
        <w:jc w:val="center"/>
        <w:spacing w:after="0" w:line="418"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 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cash from operations, our revolving credit facilities and our authorized long-term financing will provide sufficient liquidity for our working capital needs, planned capital expenditures, future contractual obligations, share repurchases, transition tax liability on our historical accumulated foreign earnings due to the U.S. tax reform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Operating activities provided net cash of $2,593 million in 2017, $ 2,838 million in 2016 and $3,728 million in 2015. Cash flows from operating activities were lower in 2017 than 2016 primarily due to increases in working capital including higher tax and VAT-related payments in 2017 and lower operating cash flows from divested businesses, partially offset by higher net earnings and lower pension contributions in 2017. Cash flows from operating activities were lower in 2016 than 2015 due to higher contributions to our pension benefit plans in 2016 and higher working capital cash improvements in 2015 than in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$301 million in 2017 and $1,029 million in 2016 and net cash provided by investing activities was</w:t>
      </w:r>
    </w:p>
    <w:p>
      <w:pPr>
        <w:ind w:right="40"/>
        <w:spacing w:after="0" w:line="238" w:lineRule="auto"/>
        <w:rPr>
          <w:sz w:val="20"/>
          <w:szCs w:val="20"/>
          <w:color w:val="auto"/>
        </w:rPr>
      </w:pPr>
      <w:r>
        <w:rPr>
          <w:rFonts w:ascii="Arial" w:cs="Arial" w:eastAsia="Arial" w:hAnsi="Arial"/>
          <w:sz w:val="18"/>
          <w:szCs w:val="18"/>
          <w:color w:val="auto"/>
        </w:rPr>
        <w:t>$2,649 million in 2015. The decrease in net cash used in investing activities in 2017 relative to 2016 was due to higher net proceeds received from divestitures in 2017, no acquisition-related payments in 2017 as in 2016, and lower capital expenditures in 2017. The increase in net cash used in investing activities in 2016 relative to 2015 primarily relates to $4.7 billion of proceeds, net of divested cash and transaction costs, from the contribution of our global coffee businesses to JDE, the divestiture of AGF and the cash receipt of $1.0 billion due to the settlement of currency exchange forward contracts related to our coffee business transactions in 2015.</w:t>
      </w:r>
    </w:p>
    <w:p>
      <w:pPr>
        <w:spacing w:after="0" w:line="203"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Capital expenditures were $1,014 million in 2017, $1,224 million in 2016 and $1,514 million in 2015. We continue to make capital expenditures primarily to modernize manufacturing facilities and support new product and productivity initiatives. We expect 2018 capital expenditures to be up to $1.0 billion, including capital expenditures in connection with our 2014-2018 Restructuring Program. We expect to continue to fund these expenditures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Net cash used in financing activities was $ 3,361 million in 2017, $1,862 million in 2016 and $5,883 million in 2015. The increase in net cash used in financing activities in 2017 relative to 2016 was primarily due to lower net issuances of short-term and long-term debt as well as an increase in dividends paid, partly offset by lower Common Stock repurchases compared to the prior year. The decrease in net cash used in financing activities in 2016 relative to 2015 was primarily due to higher short-term debt issuances and $1.0 billion of lower share repurchases following the exceptional year of share repurchases using proceeds from the global coffee business transactions in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 xml:space="preserve">From time to time we refinance long-term and short-term debt.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tender offers, debt issuances and maturities during 2016-2017.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205"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74.5% (or $19.3 billion) of the $ 25.9 billion of consolidated net revenue during fiscal year 2017 and represented approximately 75.5% (or $19.8 billion) of the $26.2 billion of net assets as of December 31, 2017.</w:t>
      </w:r>
    </w:p>
    <w:p>
      <w:pPr>
        <w:spacing w:after="0" w:line="203"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On February 3, 2017, our Board of Directors approved a new $ 5 billion long-term financing authority to replace the prior authority. As of December 31, 2017, we had $4.7 billion of long-term financing authority remaining.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next 12 months, we expect $1.2 billion of long-term debt will mature as follows: fr.250 million Swiss franc notes ($257 million as of December 31, 2017) in January 2018, $478 million in February 2018, £76 million sterling notes ($103 million as of December 31, 2017) in July 2018, and $ 322 million in August 2018. We expect to fund these repayments with a combination of cash from operations and the issuance of commercial paper or long-term debt.</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Our total debt was $ 17.7 billion at December 31, 2017 and $17.2 billion at December 31, 2016. Our debt-to-capitalization ratio was 0.40 at December 31, 2017 and 0.41 at December 31, 2016. At December 31, 2017, the weighted-average term of our outstanding long-term debt was 6.2 years. Our average daily commercial borrowings were $4.4 billion in 2017, $2.2 billion in 2016 and $2.2 billion in 2015. We had $3.4 billion of commercial paper borrowings outstanding at December 31, 2017 and $2.4 billion outstanding as of December 31, 2016. We expect to continue to use commercial paper to finance various short and long-term financing needs and to continue to comply with our long-term debt covenants.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3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2017, the primary drivers of the increase in our aggregate commodity costs were higher currency-related costs on our commodity purchases and increased costs for dairy, cocoa, sugar, packaging and other raw materials.</w:t>
      </w:r>
    </w:p>
    <w:p>
      <w:pPr>
        <w:spacing w:after="0" w:line="2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expect price volatility and a slightly higher aggregate cost environment to continue in 2018. While the costs of our principal raw materials fluctuate, we believe there will continue to be an adequate supply of the raw materials we use and that they will generally remain available from numerous sources.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arrangements other than the contractual obligations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 -party guarantees primarily to cover the long-term obligations of our vendors. As part of these transactions, we guarantee that third parties will make contractual payments or achieve performance measures. At December 31, 2017, we had no material third-party guarantees recorded on our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Guarantees do not have, and we do not expect them to have, a material effect on our liquidity.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2017.</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Payments Due</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53"/>
              <w:spacing w:after="0" w:line="143" w:lineRule="exact"/>
              <w:rPr>
                <w:sz w:val="20"/>
                <w:szCs w:val="20"/>
                <w:color w:val="auto"/>
              </w:rPr>
            </w:pPr>
            <w:r>
              <w:rPr>
                <w:rFonts w:ascii="Arial" w:cs="Arial" w:eastAsia="Arial" w:hAnsi="Arial"/>
                <w:sz w:val="14"/>
                <w:szCs w:val="14"/>
                <w:b w:val="1"/>
                <w:bCs w:val="1"/>
                <w:color w:val="auto"/>
              </w:rPr>
              <w:t>2023 and</w:t>
            </w:r>
          </w:p>
        </w:tc>
        <w:tc>
          <w:tcPr>
            <w:tcW w:w="60" w:type="dxa"/>
            <w:vAlign w:val="bottom"/>
          </w:tcPr>
          <w:p>
            <w:pPr>
              <w:spacing w:after="0"/>
              <w:rPr>
                <w:sz w:val="12"/>
                <w:szCs w:val="12"/>
                <w:color w:val="auto"/>
              </w:rPr>
            </w:pPr>
          </w:p>
        </w:tc>
      </w:tr>
      <w:tr>
        <w:trPr>
          <w:trHeight w:val="175"/>
        </w:trPr>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rPr>
              <w:t>2019-20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b w:val="1"/>
                <w:bCs w:val="1"/>
                <w:color w:val="auto"/>
              </w:rPr>
              <w:t>2021-22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Thereafter</w:t>
            </w:r>
          </w:p>
        </w:tc>
      </w:tr>
      <w:tr>
        <w:trPr>
          <w:trHeight w:val="156"/>
        </w:trPr>
        <w:tc>
          <w:tcPr>
            <w:tcW w:w="4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44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3,330</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1,995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Inventory and production costs</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5,328</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3,083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1,645</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4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U.S. tax reform transition liability </w:t>
            </w:r>
            <w:r>
              <w:rPr>
                <w:rFonts w:ascii="Arial" w:cs="Arial" w:eastAsia="Arial" w:hAnsi="Arial"/>
                <w:sz w:val="15"/>
                <w:szCs w:val="15"/>
                <w:color w:val="auto"/>
              </w:rPr>
              <w:t>(5)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r>
      <w:tr>
        <w:trPr>
          <w:trHeight w:val="27"/>
        </w:trPr>
        <w:tc>
          <w:tcPr>
            <w:tcW w:w="4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8,847</w:t>
            </w:r>
          </w:p>
        </w:tc>
      </w:tr>
      <w:tr>
        <w:trPr>
          <w:trHeight w:val="20"/>
        </w:trPr>
        <w:tc>
          <w:tcPr>
            <w:tcW w:w="4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0" w:hanging="335"/>
        <w:spacing w:after="0" w:line="243" w:lineRule="auto"/>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include the expected cash payments of our debt excluding capital leases, which are presented separately in the table above. The amounts also exclude $64 million of net unamortized non-cash bond premiums, discounts, bank fees and mark-to-market adjustments related to our interest rate swaps recorded in total debt.</w:t>
      </w:r>
    </w:p>
    <w:p>
      <w:pPr>
        <w:spacing w:after="0" w:line="160"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represent the expected cash payments of our interest expense on our long-term debt. Interest calculated on our euro, British pound sterling and Swiss franc notes was forecasted using currency exchange rates as of December 31, 2017. An insignificant amount of interest expense was excluded from the table for a portion of our other non-U.S. debt obligations due to the complexities involved in forecasting expected interest payments.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Operating lease payments represent the minimum rental commitments under non-cancelable operating leases.</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Purchase obligations for inventory and production costs (such as raw materials, indirect materials and supplies, packaging, co-manufacturing arrangements, storage and distribution) are commitments for projected needs to be utilized in the normal course of business. Other purchase obligations include commitments for marketing, advertising, capital expenditures, information technology and professional services. Arrangements are considered purchase obligations if a contract specifies all significant terms, including fixed or minimum quantities to be purchased, a pricing structure and approximate timing of the transaction. Most arrangements are cancelable without a significant penalty and with short notice (usually 30 days). Any amounts reflected on the consolidated balance sheet as accounts payable and accrued liabilities are excluded from the table above.</w:t>
      </w:r>
    </w:p>
    <w:p>
      <w:pPr>
        <w:spacing w:after="0" w:line="2"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 connection with the U.S. tax reform, we currently estimate paying a $1.3 billion transition tax liability through 2026. The amounts and timing of our tax payments are likely to change as a result of additional guidance expected to be issued in 2018. See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additional information on the U.S. tax reform and its impact on our financial statements.</w:t>
      </w:r>
    </w:p>
    <w:p>
      <w:pPr>
        <w:spacing w:after="0" w:line="1" w:lineRule="exact"/>
        <w:rPr>
          <w:rFonts w:ascii="Arial" w:cs="Arial" w:eastAsia="Arial" w:hAnsi="Arial"/>
          <w:sz w:val="14"/>
          <w:szCs w:val="14"/>
          <w:color w:val="auto"/>
        </w:rPr>
      </w:pPr>
    </w:p>
    <w:p>
      <w:pPr>
        <w:ind w:left="1140" w:right="80" w:hanging="335"/>
        <w:spacing w:after="0" w:line="244" w:lineRule="auto"/>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Other long-term liabilities include estimated future benefit payments for our postretirement health care plans through December 31, 2027 of $235 million. We are unable to reliably estimate the timing of the payments beyond 2027; as such, they are excluded from the above table. There are also another $126 million of various other long-term liabilities that are expected to be paid over the next 5 years. In addition, the following long-term liabilities included on the consolidated balance sheet are excluded from the table above: accrued pension costs, unrecognized tax benefits, insurance accruals and other accruals. As of December 31, 2017, our unrecognized tax benefit, including associated interest and penalties, classified as a long-term payable is $649 million. We currently expect to make approximately $289 million in contributions to our pension plans in 2018.</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 Plans</w:t>
      </w:r>
      <w:r>
        <w:rPr>
          <w:rFonts w:ascii="Arial" w:cs="Arial" w:eastAsia="Arial" w:hAnsi="Arial"/>
          <w:sz w:val="18"/>
          <w:szCs w:val="18"/>
          <w:color w:val="auto"/>
        </w:rPr>
        <w:t>, to the consolidated financial statements for more information on our stock plans and grant activity during 2015-2017.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Capital Stock</w:t>
      </w:r>
      <w:r>
        <w:rPr>
          <w:rFonts w:ascii="Arial" w:cs="Arial" w:eastAsia="Arial" w:hAnsi="Arial"/>
          <w:sz w:val="18"/>
          <w:szCs w:val="18"/>
          <w:color w:val="auto"/>
        </w:rPr>
        <w:t>, to the consolidated financial statements for more information on our share repurchase program.</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We repurchased approximately $13 billion of shares ($2.2 billion in 2017, $2.6 billion in 2016,</w:t>
      </w:r>
    </w:p>
    <w:p>
      <w:pPr>
        <w:spacing w:after="0" w:line="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$3.6 billion in 2015, $1.9 billion in 2014 and $2.7 billion in 2013), at a weighted-average cost of $38.86 per share, through December 31, 2017.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paid dividends of $1,198 million in 2017, $1,094 million in 2016 and $1,008 million in 2015. On August 2, 2017, the Finance Committee,</w:t>
      </w:r>
    </w:p>
    <w:p>
      <w:pPr>
        <w:spacing w:after="0" w:line="234" w:lineRule="auto"/>
        <w:rPr>
          <w:sz w:val="20"/>
          <w:szCs w:val="20"/>
          <w:color w:val="auto"/>
        </w:rPr>
      </w:pPr>
      <w:r>
        <w:rPr>
          <w:rFonts w:ascii="Arial" w:cs="Arial" w:eastAsia="Arial" w:hAnsi="Arial"/>
          <w:sz w:val="18"/>
          <w:szCs w:val="18"/>
          <w:color w:val="auto"/>
        </w:rPr>
        <w:t>with authorization delegated from our Board of Directors, approved a 16% increase in the quarterly dividend to $0.22 per common share or</w:t>
      </w:r>
    </w:p>
    <w:p>
      <w:pPr>
        <w:spacing w:after="0" w:line="235" w:lineRule="auto"/>
        <w:rPr>
          <w:sz w:val="20"/>
          <w:szCs w:val="20"/>
          <w:color w:val="auto"/>
        </w:rPr>
      </w:pPr>
      <w:r>
        <w:rPr>
          <w:rFonts w:ascii="Arial" w:cs="Arial" w:eastAsia="Arial" w:hAnsi="Arial"/>
          <w:sz w:val="18"/>
          <w:szCs w:val="18"/>
          <w:color w:val="auto"/>
        </w:rPr>
        <w:t>$0.88 per common share on an annualized basis. On July 19, 2016, our Board of Directors approved a 12% increase in the quarterly dividend</w:t>
      </w:r>
    </w:p>
    <w:p>
      <w:pPr>
        <w:spacing w:after="0" w:line="235" w:lineRule="auto"/>
        <w:rPr>
          <w:sz w:val="20"/>
          <w:szCs w:val="20"/>
          <w:color w:val="auto"/>
        </w:rPr>
      </w:pPr>
      <w:r>
        <w:rPr>
          <w:rFonts w:ascii="Arial" w:cs="Arial" w:eastAsia="Arial" w:hAnsi="Arial"/>
          <w:sz w:val="18"/>
          <w:szCs w:val="18"/>
          <w:color w:val="auto"/>
        </w:rPr>
        <w:t>to $0.19 per common share or $0.76 per common share on an annual basis. On July 23, 2015, our Board of Directors approved a 13%</w:t>
      </w:r>
    </w:p>
    <w:p>
      <w:pPr>
        <w:spacing w:after="0" w:line="235" w:lineRule="auto"/>
        <w:rPr>
          <w:sz w:val="20"/>
          <w:szCs w:val="20"/>
          <w:color w:val="auto"/>
        </w:rPr>
      </w:pPr>
      <w:r>
        <w:rPr>
          <w:rFonts w:ascii="Arial" w:cs="Arial" w:eastAsia="Arial" w:hAnsi="Arial"/>
          <w:sz w:val="18"/>
          <w:szCs w:val="18"/>
          <w:color w:val="auto"/>
        </w:rPr>
        <w:t>increase in the quarterly dividend to $0.17 per common share or $0.68 per common share on an annual basis. The declaration of dividends is</w:t>
      </w:r>
    </w:p>
    <w:p>
      <w:pPr>
        <w:spacing w:after="0" w:line="235" w:lineRule="auto"/>
        <w:rPr>
          <w:sz w:val="20"/>
          <w:szCs w:val="20"/>
          <w:color w:val="auto"/>
        </w:rPr>
      </w:pPr>
      <w:r>
        <w:rPr>
          <w:rFonts w:ascii="Arial" w:cs="Arial" w:eastAsia="Arial" w:hAnsi="Arial"/>
          <w:sz w:val="18"/>
          <w:szCs w:val="18"/>
          <w:color w:val="auto"/>
        </w:rPr>
        <w:t>subject to the discretion of our Board of Directors and depends on various factors, including our net earnings, financial condition, cash</w:t>
      </w:r>
    </w:p>
    <w:p>
      <w:pPr>
        <w:spacing w:after="0"/>
        <w:rPr>
          <w:sz w:val="20"/>
          <w:szCs w:val="20"/>
          <w:color w:val="auto"/>
        </w:rPr>
      </w:pPr>
      <w:r>
        <w:rPr>
          <w:rFonts w:ascii="Arial" w:cs="Arial" w:eastAsia="Arial" w:hAnsi="Arial"/>
          <w:sz w:val="18"/>
          <w:szCs w:val="18"/>
          <w:color w:val="auto"/>
        </w:rPr>
        <w:t>requirements, future prospects and other factors that our Board of Directors deems relevant to its analysis and decision making.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U.S. income tax purposes only, the Company has determined that 100% of the distributions paid to its shareholders in 2017 are characterized as a qualified dividend paid from U.S. earnings and profits. Shareholders should consult their tax advisors for a full understanding of the tax consequences of the receipt of dividends.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10-K.</w:t>
      </w:r>
    </w:p>
    <w:p>
      <w:pPr>
        <w:spacing w:after="0" w:line="16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5"/>
          <w:szCs w:val="15"/>
          <w:color w:val="auto"/>
        </w:rPr>
        <w:t>(1)</w:t>
      </w:r>
      <w:r>
        <w:rPr>
          <w:rFonts w:ascii="Arial" w:cs="Arial" w:eastAsia="Arial" w:hAnsi="Arial"/>
          <w:sz w:val="18"/>
          <w:szCs w:val="18"/>
          <w:color w:val="auto"/>
        </w:rPr>
        <w:t>.</w:t>
      </w:r>
    </w:p>
    <w:p>
      <w:pPr>
        <w:spacing w:after="0" w:line="200" w:lineRule="exact"/>
        <w:rPr>
          <w:sz w:val="20"/>
          <w:szCs w:val="20"/>
          <w:color w:val="auto"/>
        </w:rPr>
      </w:pPr>
    </w:p>
    <w:p>
      <w:pPr>
        <w:ind w:left="900" w:hanging="325"/>
        <w:spacing w:after="0" w:line="235"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(3)</w:t>
      </w:r>
      <w:r>
        <w:rPr>
          <w:rFonts w:ascii="Arial" w:cs="Arial" w:eastAsia="Arial" w:hAnsi="Arial"/>
          <w:sz w:val="18"/>
          <w:szCs w:val="18"/>
          <w:color w:val="auto"/>
        </w:rPr>
        <w:t xml:space="preserve">, our historical Venezuelan operations, accounting calendar changes and currency rate fluctuations </w:t>
      </w:r>
      <w:r>
        <w:rPr>
          <w:rFonts w:ascii="Arial" w:cs="Arial" w:eastAsia="Arial" w:hAnsi="Arial"/>
          <w:sz w:val="15"/>
          <w:szCs w:val="15"/>
          <w:color w:val="auto"/>
        </w:rPr>
        <w:t>(4)</w:t>
      </w:r>
      <w:r>
        <w:rPr>
          <w:rFonts w:ascii="Arial" w:cs="Arial" w:eastAsia="Arial" w:hAnsi="Arial"/>
          <w:sz w:val="18"/>
          <w:szCs w:val="18"/>
          <w:color w:val="auto"/>
        </w:rPr>
        <w:t>. We also evaluate Organic Net Revenue growth from emerging markets and our Power Brands.</w:t>
      </w:r>
    </w:p>
    <w:p>
      <w:pPr>
        <w:spacing w:after="0" w:line="2" w:lineRule="exact"/>
        <w:rPr>
          <w:rFonts w:ascii="Arial" w:cs="Arial" w:eastAsia="Arial" w:hAnsi="Arial"/>
          <w:sz w:val="18"/>
          <w:szCs w:val="18"/>
          <w:color w:val="auto"/>
        </w:rPr>
      </w:pPr>
    </w:p>
    <w:p>
      <w:pPr>
        <w:ind w:left="1480" w:right="220" w:hanging="446"/>
        <w:spacing w:after="0" w:line="234"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3" w:lineRule="exact"/>
        <w:rPr>
          <w:rFonts w:ascii="Arial" w:cs="Arial" w:eastAsia="Arial" w:hAnsi="Arial"/>
          <w:sz w:val="18"/>
          <w:szCs w:val="18"/>
          <w:color w:val="auto"/>
        </w:rPr>
      </w:pPr>
    </w:p>
    <w:p>
      <w:pPr>
        <w:ind w:left="1480" w:right="4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Lacta</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00" w:lineRule="exact"/>
        <w:rPr>
          <w:rFonts w:ascii="Arial" w:cs="Arial" w:eastAsia="Arial" w:hAnsi="Arial"/>
          <w:sz w:val="18"/>
          <w:szCs w:val="18"/>
          <w:color w:val="auto"/>
        </w:rPr>
      </w:pPr>
    </w:p>
    <w:p>
      <w:pPr>
        <w:ind w:left="900" w:right="80" w:hanging="325"/>
        <w:spacing w:after="0" w:line="23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(3)</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equity method investment earnings historically reported within operating income </w:t>
      </w:r>
      <w:r>
        <w:rPr>
          <w:rFonts w:ascii="Arial" w:cs="Arial" w:eastAsia="Arial" w:hAnsi="Arial"/>
          <w:sz w:val="15"/>
          <w:szCs w:val="15"/>
          <w:color w:val="auto"/>
        </w:rPr>
        <w:t>(7)</w:t>
      </w:r>
      <w:r>
        <w:rPr>
          <w:rFonts w:ascii="Arial" w:cs="Arial" w:eastAsia="Arial" w:hAnsi="Arial"/>
          <w:sz w:val="18"/>
          <w:szCs w:val="18"/>
          <w:color w:val="auto"/>
        </w:rPr>
        <w:t xml:space="preserve">; benefits from resolution of tax matters </w:t>
      </w:r>
      <w:r>
        <w:rPr>
          <w:rFonts w:ascii="Arial" w:cs="Arial" w:eastAsia="Arial" w:hAnsi="Arial"/>
          <w:sz w:val="15"/>
          <w:szCs w:val="15"/>
          <w:color w:val="auto"/>
        </w:rPr>
        <w:t>(8)</w:t>
      </w:r>
      <w:r>
        <w:rPr>
          <w:rFonts w:ascii="Arial" w:cs="Arial" w:eastAsia="Arial" w:hAnsi="Arial"/>
          <w:sz w:val="18"/>
          <w:szCs w:val="18"/>
          <w:color w:val="auto"/>
        </w:rPr>
        <w:t xml:space="preserve"> ; CEO transition remuneration </w:t>
      </w:r>
      <w:r>
        <w:rPr>
          <w:rFonts w:ascii="Arial" w:cs="Arial" w:eastAsia="Arial" w:hAnsi="Arial"/>
          <w:sz w:val="15"/>
          <w:szCs w:val="15"/>
          <w:color w:val="auto"/>
        </w:rPr>
        <w:t>(9)</w:t>
      </w:r>
      <w:r>
        <w:rPr>
          <w:rFonts w:ascii="Arial" w:cs="Arial" w:eastAsia="Arial" w:hAnsi="Arial"/>
          <w:sz w:val="18"/>
          <w:szCs w:val="18"/>
          <w:color w:val="auto"/>
        </w:rPr>
        <w:t xml:space="preserve"> and incremental expenses related to the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15"/>
          <w:szCs w:val="15"/>
          <w:color w:val="auto"/>
        </w:rPr>
        <w:t>(4)</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900" w:hanging="325"/>
        <w:spacing w:after="0" w:line="23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losses on debt extinguishment and related expenses;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transaction hedging gains or losses and net incremental costs; gain on equity method investment transactions; net earnings from divestitures </w:t>
      </w:r>
      <w:r>
        <w:rPr>
          <w:rFonts w:ascii="Arial" w:cs="Arial" w:eastAsia="Arial" w:hAnsi="Arial"/>
          <w:sz w:val="15"/>
          <w:szCs w:val="15"/>
          <w:color w:val="auto"/>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gains or losses on interest rate swaps no longer designated as accounting cash flow hedges due to changed financing and hedging plans; benefits from resolution of tax matters </w:t>
      </w:r>
      <w:r>
        <w:rPr>
          <w:rFonts w:ascii="Arial" w:cs="Arial" w:eastAsia="Arial" w:hAnsi="Arial"/>
          <w:sz w:val="15"/>
          <w:szCs w:val="15"/>
          <w:color w:val="auto"/>
        </w:rPr>
        <w:t>(8)</w:t>
      </w:r>
      <w:r>
        <w:rPr>
          <w:rFonts w:ascii="Arial" w:cs="Arial" w:eastAsia="Arial" w:hAnsi="Arial"/>
          <w:sz w:val="18"/>
          <w:szCs w:val="18"/>
          <w:color w:val="auto"/>
        </w:rPr>
        <w:t xml:space="preserve">; CEO transition remuneration </w:t>
      </w:r>
      <w:r>
        <w:rPr>
          <w:rFonts w:ascii="Arial" w:cs="Arial" w:eastAsia="Arial" w:hAnsi="Arial"/>
          <w:sz w:val="15"/>
          <w:szCs w:val="15"/>
          <w:color w:val="auto"/>
        </w:rPr>
        <w:t>(9)</w:t>
      </w:r>
      <w:r>
        <w:rPr>
          <w:rFonts w:ascii="Arial" w:cs="Arial" w:eastAsia="Arial" w:hAnsi="Arial"/>
          <w:sz w:val="18"/>
          <w:szCs w:val="18"/>
          <w:color w:val="auto"/>
        </w:rPr>
        <w:t xml:space="preserve">; incremental expenses related to the malware incident and the U.S. tax reform discrete impacts </w:t>
      </w:r>
      <w:r>
        <w:rPr>
          <w:rFonts w:ascii="Arial" w:cs="Arial" w:eastAsia="Arial" w:hAnsi="Arial"/>
          <w:sz w:val="15"/>
          <w:szCs w:val="15"/>
          <w:color w:val="auto"/>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15"/>
          <w:szCs w:val="15"/>
          <w:color w:val="auto"/>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15"/>
          <w:szCs w:val="15"/>
          <w:color w:val="auto"/>
        </w:rPr>
        <w:t>(4)</w:t>
      </w:r>
      <w:r>
        <w:rPr>
          <w:rFonts w:ascii="Arial" w:cs="Arial" w:eastAsia="Arial" w:hAnsi="Arial"/>
          <w:sz w:val="18"/>
          <w:szCs w:val="18"/>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right="4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When items no longer impact our current or future presentation of non-GAAP operating results, we remove these items from our non-GAAP definitions. During 2017, we added to the non-GAAP definitions the exclusion of: benefits from the resolution of tax matters (see footnote (8) below), CEO transition remuneration (see footnote (9) below), incremental expenses related to the malware incident (discussed under </w:t>
      </w:r>
      <w:r>
        <w:rPr>
          <w:rFonts w:ascii="Arial" w:cs="Arial" w:eastAsia="Arial" w:hAnsi="Arial"/>
          <w:sz w:val="14"/>
          <w:szCs w:val="14"/>
          <w:i w:val="1"/>
          <w:iCs w:val="1"/>
          <w:color w:val="auto"/>
        </w:rPr>
        <w:t>Malware Incident</w:t>
      </w:r>
      <w:r>
        <w:rPr>
          <w:rFonts w:ascii="Arial" w:cs="Arial" w:eastAsia="Arial" w:hAnsi="Arial"/>
          <w:sz w:val="14"/>
          <w:szCs w:val="14"/>
          <w:color w:val="auto"/>
        </w:rPr>
        <w:t>) and the U.S. tax reform discrete impacts (see footnote (10) below).</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and exits of major product lines upon completion of a sale or licensing agreement.</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continue to have an ongoing interest in the legacy coffee business we deconsolidated in 2015 as part of the JDE coffee business transactions. For historical periods prior to the July 15, 2015 coffee business deconsolidation, we have reclassified any net revenue or operating income from the historical coffee business and included them where the coffee equity method investment earnings are presented within Adjusted EPS. As such, Organic Net Revenue and Adjusted Operating Income in all periods do not include the results of our legacy coffee businesses, which are shown within Adjusted EPS.</w:t>
      </w:r>
    </w:p>
    <w:p>
      <w:pPr>
        <w:spacing w:after="0" w:line="1" w:lineRule="exact"/>
        <w:rPr>
          <w:rFonts w:ascii="Arial" w:cs="Arial" w:eastAsia="Arial" w:hAnsi="Arial"/>
          <w:sz w:val="14"/>
          <w:szCs w:val="14"/>
          <w:color w:val="auto"/>
        </w:rPr>
      </w:pPr>
    </w:p>
    <w:p>
      <w:pPr>
        <w:jc w:val="both"/>
        <w:ind w:left="1140" w:right="18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reflect costs incurred that relate to the objectives of our program to transform our supply chain network and organizational structure. Costs that do not meet the program objectives are not reflected in the non-GAAP adjustments. Refer to our Annual Report on Form 10-K for the year ended December 31, 2016 for more information on the 2012-2014 Restructuring Program.</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1140" w:right="24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in our Annual Report on Form 10-K for the year ended December 31, 2016 for more information.</w:t>
      </w:r>
    </w:p>
    <w:p>
      <w:pPr>
        <w:spacing w:after="0" w:line="1" w:lineRule="exact"/>
        <w:rPr>
          <w:rFonts w:ascii="Arial" w:cs="Arial" w:eastAsia="Arial" w:hAnsi="Arial"/>
          <w:sz w:val="14"/>
          <w:szCs w:val="14"/>
          <w:color w:val="auto"/>
        </w:rPr>
      </w:pPr>
    </w:p>
    <w:p>
      <w:pPr>
        <w:ind w:left="1140" w:right="70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During 2017, we recorded benefits from the reversal of tax liabilities in connection with the resolution of a Brazilian indirect tax matter and settlement of pre-acquisition Cadbury tax matters. See Note 12, </w:t>
      </w:r>
      <w:r>
        <w:rPr>
          <w:rFonts w:ascii="Arial" w:cs="Arial" w:eastAsia="Arial" w:hAnsi="Arial"/>
          <w:sz w:val="14"/>
          <w:szCs w:val="14"/>
          <w:i w:val="1"/>
          <w:iCs w:val="1"/>
          <w:color w:val="auto"/>
        </w:rPr>
        <w:t>Commitments and Contingencies—Tax Matters</w:t>
      </w:r>
      <w:r>
        <w:rPr>
          <w:rFonts w:ascii="Arial" w:cs="Arial" w:eastAsia="Arial" w:hAnsi="Arial"/>
          <w:sz w:val="14"/>
          <w:szCs w:val="14"/>
          <w:color w:val="auto"/>
        </w:rPr>
        <w:t>, for additional information.</w:t>
      </w:r>
    </w:p>
    <w:p>
      <w:pPr>
        <w:ind w:left="114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2017 and future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expect to exclude amounts paid for Ms. Rosenfeld’s service as Chairman and partial vesting of Mr. Van de Put’s and Ms. Rosenfeld’s equity grants.</w:t>
      </w:r>
    </w:p>
    <w:p>
      <w:pPr>
        <w:spacing w:after="0" w:line="3"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On December 22, 2017, the United States enacted tax reform legislation that included a broad range of business tax provisions. As further detailed in Note 14, </w:t>
      </w:r>
      <w:r>
        <w:rPr>
          <w:rFonts w:ascii="Arial" w:cs="Arial" w:eastAsia="Arial" w:hAnsi="Arial"/>
          <w:sz w:val="14"/>
          <w:szCs w:val="14"/>
          <w:i w:val="1"/>
          <w:iCs w:val="1"/>
          <w:color w:val="auto"/>
        </w:rPr>
        <w:t>Income Taxes</w:t>
      </w:r>
      <w:r>
        <w:rPr>
          <w:rFonts w:ascii="Arial" w:cs="Arial" w:eastAsia="Arial" w:hAnsi="Arial"/>
          <w:sz w:val="14"/>
          <w:szCs w:val="14"/>
          <w:color w:val="auto"/>
        </w:rPr>
        <w:t>, our accounting for the new legislation is not complete and we have made reasonable estimates for some tax provisions. We exclude the discrete</w:t>
      </w:r>
      <w:r>
        <w:rPr>
          <w:rFonts w:ascii="Arial" w:cs="Arial" w:eastAsia="Arial" w:hAnsi="Arial"/>
          <w:sz w:val="14"/>
          <w:szCs w:val="14"/>
          <w:i w:val="1"/>
          <w:iCs w:val="1"/>
          <w:color w:val="auto"/>
        </w:rPr>
        <w:t xml:space="preserve"> </w:t>
      </w:r>
      <w:r>
        <w:rPr>
          <w:rFonts w:ascii="Arial" w:cs="Arial" w:eastAsia="Arial" w:hAnsi="Arial"/>
          <w:sz w:val="14"/>
          <w:szCs w:val="14"/>
          <w:color w:val="auto"/>
        </w:rPr>
        <w:t>U.S. tax reform impacts from our Adjusted EPS as they do not reflect our ongoing tax obligations under U.S. tax reform.</w:t>
      </w:r>
    </w:p>
    <w:p>
      <w:pPr>
        <w:spacing w:after="0" w:line="1" w:lineRule="exact"/>
        <w:rPr>
          <w:rFonts w:ascii="Arial" w:cs="Arial" w:eastAsia="Arial" w:hAnsi="Arial"/>
          <w:sz w:val="14"/>
          <w:szCs w:val="14"/>
          <w:color w:val="auto"/>
        </w:rPr>
      </w:pPr>
    </w:p>
    <w:p>
      <w:pPr>
        <w:ind w:left="1140" w:right="380" w:hanging="335"/>
        <w:spacing w:after="0" w:line="244"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20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our historical Venezuelan operations, the adjustment for deconsolidating our historical coffee business, an accounting calendar change, acquisitions and divestitures.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rPr>
              <w:t>For the Year Ended 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Emerging</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Developed</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Emerging</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Developed</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9,707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25,896</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9,357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16,566</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(643)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Organic 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9,688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15,802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25,490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9,347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15,923</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rPr>
              <w:t xml:space="preserve">For the Year Ended December 31, 2016 </w:t>
            </w:r>
            <w:r>
              <w:rPr>
                <w:rFonts w:ascii="Arial" w:cs="Arial" w:eastAsia="Arial" w:hAnsi="Arial"/>
                <w:sz w:val="24"/>
                <w:szCs w:val="24"/>
                <w:b w:val="1"/>
                <w:bCs w:val="1"/>
                <w:color w:val="auto"/>
                <w:vertAlign w:val="superscript"/>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Power</w:t>
            </w:r>
          </w:p>
        </w:tc>
        <w:tc>
          <w:tcPr>
            <w:tcW w:w="1100" w:type="dxa"/>
            <w:vAlign w:val="bottom"/>
            <w:tcBorders>
              <w:top w:val="single" w:sz="8" w:color="auto"/>
            </w:tcBorders>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rPr>
              <w:t>Non-Power</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Power</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Non-Power</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Brands</w:t>
            </w: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Brands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18,913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6,983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25,896</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18,372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7,551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(653)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Organic 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18,757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6,733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25,490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18,372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6,898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rPr>
              <w:t>For the Year Ended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Emerging</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Developed</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Emerging</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Developed</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16,566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25,923</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11,570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18,066</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1,233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4"/>
                <w:szCs w:val="14"/>
                <w:color w:val="auto"/>
              </w:rPr>
              <w:t xml:space="preserve">Historical Venezuelan operations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4"/>
                <w:szCs w:val="14"/>
                <w:color w:val="auto"/>
              </w:rPr>
              <w:t xml:space="preserve">Historical coffee business </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(1,185)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accounting calendar change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acquisitions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divestitures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(687)</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Organic Net Revenue</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10,171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16,240</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26,411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9,903</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16,118</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rPr>
              <w:t xml:space="preserve">For the Year Ended December 31, 2015 </w:t>
            </w:r>
            <w:r>
              <w:rPr>
                <w:rFonts w:ascii="Arial" w:cs="Arial" w:eastAsia="Arial" w:hAnsi="Arial"/>
                <w:sz w:val="24"/>
                <w:szCs w:val="24"/>
                <w:b w:val="1"/>
                <w:bCs w:val="1"/>
                <w:color w:val="auto"/>
                <w:vertAlign w:val="superscript"/>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Power</w:t>
            </w:r>
          </w:p>
        </w:tc>
        <w:tc>
          <w:tcPr>
            <w:tcW w:w="1100" w:type="dxa"/>
            <w:vAlign w:val="bottom"/>
            <w:tcBorders>
              <w:top w:val="single" w:sz="8" w:color="auto"/>
            </w:tcBorders>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rPr>
              <w:t>Non-Power</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Power</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Non-Power</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Brands</w:t>
            </w: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Brands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18,372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7,551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25,923</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20,612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9,024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856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1,233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4"/>
                <w:szCs w:val="14"/>
                <w:color w:val="auto"/>
              </w:rPr>
              <w:t xml:space="preserve">Historical Venezuelan operations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4"/>
                <w:szCs w:val="14"/>
                <w:color w:val="auto"/>
              </w:rPr>
              <w:t xml:space="preserve">Historical coffee business </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(1,199)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(428)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accounting calendar change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Impact of acquisitions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divestitures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Organic Net Revenue</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19,136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7,275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26,411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18,531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7,490</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140" w:hanging="332"/>
        <w:spacing w:after="0" w:line="252"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Currency Translation and Highly Inflationary Accounting: Venezuela, </w:t>
      </w:r>
      <w:r>
        <w:rPr>
          <w:rFonts w:ascii="Arial" w:cs="Arial" w:eastAsia="Arial" w:hAnsi="Arial"/>
          <w:sz w:val="14"/>
          <w:szCs w:val="14"/>
          <w:color w:val="auto"/>
        </w:rPr>
        <w:t>for more information.</w:t>
      </w:r>
    </w:p>
    <w:p>
      <w:pPr>
        <w:ind w:left="340" w:right="240" w:hanging="332"/>
        <w:spacing w:after="0" w:line="24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jc w:val="both"/>
        <w:ind w:left="340" w:right="200" w:hanging="332"/>
        <w:spacing w:after="0" w:line="25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2017, we made limited changes to our list of regional Power Brands and as such, we reclassified 2016 and 2015 Power Brand net revenues on a basis consistent with the current list of Power Brands.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2012-2014 Restructuring Program costs; 2014-2018 Restructuring Program costs; impairment charges related to intangible assets; mark-to-market impacts from commodity and forecasted currency transaction derivative contracts; incremental expenses related to the malware incident; acquisition integration costs; acquisition-related costs; divestiture-related costs; the operating results of divestitures; net gain on divestitures; gain on sale of intangible assets; benefits from the resolution of tax matters; CEO transition remuneration; Venezuela historical operating results and remeasurement and deconsolidation losses; the JDE coffee business transactions gain and net incremental costs; operating income from our historical coffee business and equity method investment earnings reclassified to after-tax earnings in Q3 2015 in connection with the coffee business transactions. We also present “Adjusted Operating Income margin,” which is subject to the same adjustments as Adjusted Operating Income, and evaluate Adjusted Operating Income on a constant currency basis. We believe these measures provide improved comparability of underlying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Years Ended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3,506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2,569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 xml:space="preserve">2014-2018 Restructuring Program costs </w:t>
            </w:r>
            <w:r>
              <w:rPr>
                <w:rFonts w:ascii="Arial" w:cs="Arial" w:eastAsia="Arial" w:hAnsi="Arial"/>
                <w:sz w:val="14"/>
                <w:szCs w:val="14"/>
                <w:color w:val="auto"/>
              </w:rPr>
              <w:t>(1)</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792</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1,086</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(294)</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Intangible asset impairment charges </w:t>
            </w:r>
            <w:r>
              <w:rPr>
                <w:rFonts w:ascii="Arial" w:cs="Arial" w:eastAsia="Arial" w:hAnsi="Arial"/>
                <w:sz w:val="14"/>
                <w:szCs w:val="14"/>
                <w:color w:val="auto"/>
              </w:rPr>
              <w:t>(2)</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 xml:space="preserve">Mark-to-market losses from derivatives </w:t>
            </w:r>
            <w:r>
              <w:rPr>
                <w:rFonts w:ascii="Arial" w:cs="Arial" w:eastAsia="Arial" w:hAnsi="Arial"/>
                <w:sz w:val="14"/>
                <w:szCs w:val="14"/>
                <w:color w:val="auto"/>
              </w:rPr>
              <w:t>(3)</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96</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Malware incident incremental expenses</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 xml:space="preserve">Acquisition integration costs </w:t>
            </w:r>
            <w:r>
              <w:rPr>
                <w:rFonts w:ascii="Arial" w:cs="Arial" w:eastAsia="Arial" w:hAnsi="Arial"/>
                <w:sz w:val="14"/>
                <w:szCs w:val="14"/>
                <w:color w:val="auto"/>
              </w:rPr>
              <w:t>(4)</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Acquisition-related costs </w:t>
            </w:r>
            <w:r>
              <w:rPr>
                <w:rFonts w:ascii="Arial" w:cs="Arial" w:eastAsia="Arial" w:hAnsi="Arial"/>
                <w:sz w:val="14"/>
                <w:szCs w:val="14"/>
                <w:color w:val="auto"/>
              </w:rPr>
              <w:t>(4)</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 xml:space="preserve">Divestiture-related costs </w:t>
            </w:r>
            <w:r>
              <w:rPr>
                <w:rFonts w:ascii="Arial" w:cs="Arial" w:eastAsia="Arial" w:hAnsi="Arial"/>
                <w:sz w:val="14"/>
                <w:szCs w:val="14"/>
                <w:color w:val="auto"/>
              </w:rPr>
              <w:t>(5)</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Operating income from divestiture </w:t>
            </w:r>
            <w:r>
              <w:rPr>
                <w:rFonts w:ascii="Arial" w:cs="Arial" w:eastAsia="Arial" w:hAnsi="Arial"/>
                <w:sz w:val="14"/>
                <w:szCs w:val="14"/>
                <w:color w:val="auto"/>
              </w:rPr>
              <w:t>(5)</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 xml:space="preserve">Net gain on divestitures </w:t>
            </w:r>
            <w:r>
              <w:rPr>
                <w:rFonts w:ascii="Arial" w:cs="Arial" w:eastAsia="Arial" w:hAnsi="Arial"/>
                <w:sz w:val="14"/>
                <w:szCs w:val="14"/>
                <w:color w:val="auto"/>
              </w:rPr>
              <w:t>(5)</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(186)</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(177)</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Gain on sale of intangible assets </w:t>
            </w:r>
            <w:r>
              <w:rPr>
                <w:rFonts w:ascii="Arial" w:cs="Arial" w:eastAsia="Arial" w:hAnsi="Arial"/>
                <w:sz w:val="14"/>
                <w:szCs w:val="14"/>
                <w:color w:val="auto"/>
              </w:rPr>
              <w:t>(6)</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 xml:space="preserve">Benefits from resolution of tax matters </w:t>
            </w:r>
            <w:r>
              <w:rPr>
                <w:rFonts w:ascii="Arial" w:cs="Arial" w:eastAsia="Arial" w:hAnsi="Arial"/>
                <w:sz w:val="14"/>
                <w:szCs w:val="14"/>
                <w:color w:val="auto"/>
              </w:rPr>
              <w:t>(7)</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(209)</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(209)</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CEO transition remuneration</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Other/rounding</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4,178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3,802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376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Currency translation</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(constant currency)</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4,178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3,802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376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Years Ended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7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2,569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8,897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(6,328)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2012-2014 Restructuring Program costs </w:t>
            </w:r>
            <w:r>
              <w:rPr>
                <w:rFonts w:ascii="Arial" w:cs="Arial" w:eastAsia="Arial" w:hAnsi="Arial"/>
                <w:sz w:val="14"/>
                <w:szCs w:val="14"/>
                <w:color w:val="auto"/>
              </w:rPr>
              <w:t>(1)</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2014-2018 Restructuring Program costs </w:t>
            </w:r>
            <w:r>
              <w:rPr>
                <w:rFonts w:ascii="Arial" w:cs="Arial" w:eastAsia="Arial" w:hAnsi="Arial"/>
                <w:sz w:val="14"/>
                <w:szCs w:val="14"/>
                <w:color w:val="auto"/>
              </w:rPr>
              <w:t>(1)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Intangible asset impairment charges </w:t>
            </w:r>
            <w:r>
              <w:rPr>
                <w:rFonts w:ascii="Arial" w:cs="Arial" w:eastAsia="Arial" w:hAnsi="Arial"/>
                <w:sz w:val="14"/>
                <w:szCs w:val="14"/>
                <w:color w:val="auto"/>
              </w:rPr>
              <w:t>(2)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66</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Mark-to-market losses/(gains) from derivatives </w:t>
            </w:r>
            <w:r>
              <w:rPr>
                <w:rFonts w:ascii="Arial" w:cs="Arial" w:eastAsia="Arial" w:hAnsi="Arial"/>
                <w:sz w:val="14"/>
                <w:szCs w:val="14"/>
                <w:color w:val="auto"/>
              </w:rPr>
              <w:t>(3)</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150</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Acquisition integration costs </w:t>
            </w:r>
            <w:r>
              <w:rPr>
                <w:rFonts w:ascii="Arial" w:cs="Arial" w:eastAsia="Arial" w:hAnsi="Arial"/>
                <w:sz w:val="14"/>
                <w:szCs w:val="14"/>
                <w:color w:val="auto"/>
              </w:rPr>
              <w:t>(4)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Acquisition-related costs </w:t>
            </w:r>
            <w:r>
              <w:rPr>
                <w:rFonts w:ascii="Arial" w:cs="Arial" w:eastAsia="Arial" w:hAnsi="Arial"/>
                <w:sz w:val="14"/>
                <w:szCs w:val="14"/>
                <w:color w:val="auto"/>
              </w:rPr>
              <w:t>(4)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Divestiture-related costs </w:t>
            </w:r>
            <w:r>
              <w:rPr>
                <w:rFonts w:ascii="Arial" w:cs="Arial" w:eastAsia="Arial" w:hAnsi="Arial"/>
                <w:sz w:val="14"/>
                <w:szCs w:val="14"/>
                <w:color w:val="auto"/>
              </w:rPr>
              <w:t>(5)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86</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Operating income from divestiture </w:t>
            </w:r>
            <w:r>
              <w:rPr>
                <w:rFonts w:ascii="Arial" w:cs="Arial" w:eastAsia="Arial" w:hAnsi="Arial"/>
                <w:sz w:val="14"/>
                <w:szCs w:val="14"/>
                <w:color w:val="auto"/>
              </w:rPr>
              <w:t>(5)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(153)</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Net gain on divestiture </w:t>
            </w:r>
            <w:r>
              <w:rPr>
                <w:rFonts w:ascii="Arial" w:cs="Arial" w:eastAsia="Arial" w:hAnsi="Arial"/>
                <w:sz w:val="14"/>
                <w:szCs w:val="14"/>
                <w:color w:val="auto"/>
              </w:rPr>
              <w:t>(5)</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Gain on sale of intangible assets </w:t>
            </w:r>
            <w:r>
              <w:rPr>
                <w:rFonts w:ascii="Arial" w:cs="Arial" w:eastAsia="Arial" w:hAnsi="Arial"/>
                <w:sz w:val="14"/>
                <w:szCs w:val="14"/>
                <w:color w:val="auto"/>
              </w:rPr>
              <w:t>(6)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Operating income from Venezuelan subsidiaries </w:t>
            </w:r>
            <w:r>
              <w:rPr>
                <w:rFonts w:ascii="Arial" w:cs="Arial" w:eastAsia="Arial" w:hAnsi="Arial"/>
                <w:sz w:val="14"/>
                <w:szCs w:val="14"/>
                <w:color w:val="auto"/>
              </w:rPr>
              <w:t>(8)</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281</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Remeasurement of net monetary assets in Venezuela </w:t>
            </w:r>
            <w:r>
              <w:rPr>
                <w:rFonts w:ascii="Arial" w:cs="Arial" w:eastAsia="Arial" w:hAnsi="Arial"/>
                <w:sz w:val="14"/>
                <w:szCs w:val="14"/>
                <w:color w:val="auto"/>
              </w:rPr>
              <w:t>(8)</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Loss on deconsolidation of Venezuela </w:t>
            </w:r>
            <w:r>
              <w:rPr>
                <w:rFonts w:ascii="Arial" w:cs="Arial" w:eastAsia="Arial" w:hAnsi="Arial"/>
                <w:sz w:val="14"/>
                <w:szCs w:val="14"/>
                <w:color w:val="auto"/>
              </w:rPr>
              <w:t>(8)</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(778)</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Costs associated with JDE coffee business transactions </w:t>
            </w:r>
            <w:r>
              <w:rPr>
                <w:rFonts w:ascii="Arial" w:cs="Arial" w:eastAsia="Arial" w:hAnsi="Arial"/>
                <w:sz w:val="14"/>
                <w:szCs w:val="14"/>
                <w:color w:val="auto"/>
              </w:rPr>
              <w:t>(9)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Gain on the JDE coffee business transactions </w:t>
            </w:r>
            <w:r>
              <w:rPr>
                <w:rFonts w:ascii="Arial" w:cs="Arial" w:eastAsia="Arial" w:hAnsi="Arial"/>
                <w:sz w:val="14"/>
                <w:szCs w:val="14"/>
                <w:color w:val="auto"/>
              </w:rPr>
              <w:t>(9)</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(6,809)</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6,809</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Reclassification of historical coffee business operating income </w:t>
            </w:r>
            <w:r>
              <w:rPr>
                <w:rFonts w:ascii="Arial" w:cs="Arial" w:eastAsia="Arial" w:hAnsi="Arial"/>
                <w:sz w:val="14"/>
                <w:szCs w:val="14"/>
                <w:color w:val="auto"/>
              </w:rPr>
              <w:t>(10)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342</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 xml:space="preserve">Reclassification of equity method investment earnings </w:t>
            </w:r>
            <w:r>
              <w:rPr>
                <w:rFonts w:ascii="Arial" w:cs="Arial" w:eastAsia="Arial" w:hAnsi="Arial"/>
                <w:sz w:val="14"/>
                <w:szCs w:val="14"/>
                <w:color w:val="auto"/>
              </w:rPr>
              <w:t>(11)</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51</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Other/rounding</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Operating Income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14.7%</w:t>
            </w: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3,802</w:t>
            </w:r>
          </w:p>
        </w:tc>
        <w:tc>
          <w:tcPr>
            <w:tcW w:w="2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3,316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486</w:t>
            </w: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Impact of unfavorable currency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171</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Operating Income (constant currency)</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19.8%</w:t>
            </w: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3,973</w:t>
            </w:r>
          </w:p>
        </w:tc>
        <w:tc>
          <w:tcPr>
            <w:tcW w:w="2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3,316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657</w:t>
            </w: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380" w:hanging="332"/>
        <w:spacing w:after="0" w:line="252"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 Refer to the Annual Report on Form 10-K for the year ended December 31, 2016 for additional information in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w:t>
      </w: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trademark impairments.</w:t>
      </w:r>
    </w:p>
    <w:p>
      <w:pPr>
        <w:spacing w:after="0" w:line="1" w:lineRule="exact"/>
        <w:rPr>
          <w:rFonts w:ascii="Arial" w:cs="Arial" w:eastAsia="Arial" w:hAnsi="Arial"/>
          <w:sz w:val="14"/>
          <w:szCs w:val="14"/>
          <w:color w:val="auto"/>
        </w:rPr>
      </w:pPr>
    </w:p>
    <w:p>
      <w:pPr>
        <w:ind w:left="340" w:right="44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earlier in this section for more information on these unrealized losses/gains on commodity and forecasted currency transaction derivatives.</w:t>
      </w: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the acquisition of a biscuit business in Vietnam.</w:t>
      </w:r>
    </w:p>
    <w:p>
      <w:pPr>
        <w:spacing w:after="0" w:line="1" w:lineRule="exact"/>
        <w:rPr>
          <w:rFonts w:ascii="Arial" w:cs="Arial" w:eastAsia="Arial" w:hAnsi="Arial"/>
          <w:sz w:val="14"/>
          <w:szCs w:val="14"/>
          <w:color w:val="auto"/>
        </w:rPr>
      </w:pPr>
    </w:p>
    <w:p>
      <w:pPr>
        <w:ind w:left="340" w:right="56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sales of a confectionery business in France, a grocery business in Australia and New Zealand, certain licenses of KHC-owned brands used in our grocery business within our Europe region, sale of one of our equity method investments and sale of a confectionary business in Japan. Additionally, the 2016 amount includes a sale of a confectionery business in Costa Rica.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 Primarily includes the reversal of tax liabilities in connection with the resolution of a Brazilian indirect tax matter and settlement of pre-acquisition Cadbury tax matters.</w:t>
      </w:r>
    </w:p>
    <w:p>
      <w:pPr>
        <w:ind w:left="340" w:right="14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Currency Translation and Highly Inflationary Accounting: Venezuela, </w:t>
      </w:r>
      <w:r>
        <w:rPr>
          <w:rFonts w:ascii="Arial" w:cs="Arial" w:eastAsia="Arial" w:hAnsi="Arial"/>
          <w:sz w:val="14"/>
          <w:szCs w:val="14"/>
          <w:color w:val="auto"/>
        </w:rPr>
        <w:t>for more information on the deconsolidation and remeasurement loss in 2015.</w:t>
      </w: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 xml:space="preserve">Divestitures and Acquisitions, </w:t>
      </w:r>
      <w:r>
        <w:rPr>
          <w:rFonts w:ascii="Arial" w:cs="Arial" w:eastAsia="Arial" w:hAnsi="Arial"/>
          <w:sz w:val="14"/>
          <w:szCs w:val="14"/>
          <w:color w:val="auto"/>
        </w:rPr>
        <w:t>and</w:t>
      </w:r>
      <w:r>
        <w:rPr>
          <w:rFonts w:ascii="Arial" w:cs="Arial" w:eastAsia="Arial" w:hAnsi="Arial"/>
          <w:sz w:val="14"/>
          <w:szCs w:val="14"/>
          <w:i w:val="1"/>
          <w:iCs w:val="1"/>
          <w:color w:val="auto"/>
        </w:rPr>
        <w:t xml:space="preserve"> Non-GAAP Financial Measures </w:t>
      </w:r>
      <w:r>
        <w:rPr>
          <w:rFonts w:ascii="Arial" w:cs="Arial" w:eastAsia="Arial" w:hAnsi="Arial"/>
          <w:sz w:val="14"/>
          <w:szCs w:val="14"/>
          <w:color w:val="auto"/>
        </w:rPr>
        <w:t>appearing later in this section for more information.</w:t>
      </w:r>
    </w:p>
    <w:p>
      <w:pPr>
        <w:spacing w:after="0" w:line="1" w:lineRule="exact"/>
        <w:rPr>
          <w:rFonts w:ascii="Arial" w:cs="Arial" w:eastAsia="Arial" w:hAnsi="Arial"/>
          <w:sz w:val="14"/>
          <w:szCs w:val="14"/>
          <w:color w:val="auto"/>
        </w:rPr>
      </w:pPr>
    </w:p>
    <w:p>
      <w:pPr>
        <w:ind w:left="340" w:right="220" w:hanging="332"/>
        <w:spacing w:after="0" w:line="247"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5"/>
          <w:szCs w:val="15"/>
          <w:color w:val="auto"/>
        </w:rPr>
        <w:t>(1)</w:t>
      </w:r>
      <w:r>
        <w:rPr>
          <w:rFonts w:ascii="Arial" w:cs="Arial" w:eastAsia="Arial" w:hAnsi="Arial"/>
          <w:sz w:val="18"/>
          <w:szCs w:val="18"/>
          <w:color w:val="auto"/>
        </w:rPr>
        <w:t>, the adjustments made to “diluted EPS attributable to Mondelēz International” (the most comparable U.S. GAAP financial measure) were to exclude 2014-2018 Restructuring Program costs; impairment charges related to intangible assets; mark-to-market impacts from commodity and forecasted currency transaction derivative contracts; incremental expenses related to the malware incident; acquisition integration costs; divestiture-related costs; net earnings from divestitures; after-tax gains/losses on divestitures; gain on sale of intangible assets; benefits from the resolution of tax matters; CEO transition remuneration; losses on interest rate swaps no longer designated as accounting cash flow hedges due to changed financing and hedging plans; losses on debt extinguishment and related expenses; U.S. tax reform discrete net tax benefit; Venezuela historical operating results and remeasurement and deconsolidation losses; the JDE coffee business transactions gain, hedging gains and net incremental costs; operating income from our historical coffee business; equity method investment earnings reclassified to after-tax earnings in Q3 2015 in connection with the coffee business transactions; gain on equity method investment transactions;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Years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0.86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(0.12)</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(0.01)</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Malware incident incremental expenses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(0.03)</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15"/>
                <w:szCs w:val="15"/>
                <w:color w:val="auto"/>
              </w:rPr>
              <w:t>(2)</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(0.11)</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(2)</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(2)</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CEO transition remuneration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(4)</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(0.17)</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U.S. tax reform discrete net tax benefit </w:t>
            </w:r>
            <w:r>
              <w:rPr>
                <w:rFonts w:ascii="Arial" w:cs="Arial" w:eastAsia="Arial" w:hAnsi="Arial"/>
                <w:sz w:val="15"/>
                <w:szCs w:val="15"/>
                <w:color w:val="auto"/>
              </w:rPr>
              <w:t>(5)</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15"/>
                <w:szCs w:val="15"/>
                <w:color w:val="auto"/>
              </w:rPr>
              <w:t>(6)</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Equity method investee acquisition-related</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and other adjustments </w:t>
            </w:r>
            <w:r>
              <w:rPr>
                <w:rFonts w:ascii="Arial" w:cs="Arial" w:eastAsia="Arial" w:hAnsi="Arial"/>
                <w:sz w:val="15"/>
                <w:szCs w:val="15"/>
                <w:color w:val="auto"/>
              </w:rPr>
              <w:t>(7)</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(0.05)</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EPS</w:t>
            </w: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line="20" w:lineRule="exact"/>
              <w:rPr>
                <w:sz w:val="1"/>
                <w:szCs w:val="1"/>
                <w:color w:val="auto"/>
              </w:rPr>
            </w:pPr>
          </w:p>
        </w:tc>
      </w:tr>
      <w:tr>
        <w:trPr>
          <w:trHeight w:val="223"/>
        </w:trPr>
        <w:tc>
          <w:tcPr>
            <w:tcW w:w="50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0.28</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favorable currency</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(0.01)</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EPS (constant currency)</w:t>
            </w: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line="20" w:lineRule="exact"/>
              <w:rPr>
                <w:sz w:val="1"/>
                <w:szCs w:val="1"/>
                <w:color w:val="auto"/>
              </w:rPr>
            </w:pPr>
          </w:p>
        </w:tc>
      </w:tr>
      <w:tr>
        <w:trPr>
          <w:trHeight w:val="223"/>
        </w:trPr>
        <w:tc>
          <w:tcPr>
            <w:tcW w:w="50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0.27</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60" w:type="dxa"/>
            <w:vAlign w:val="bottom"/>
            <w:vMerge w:val="restart"/>
          </w:tcPr>
          <w:p>
            <w:pPr>
              <w:jc w:val="right"/>
              <w:ind w:right="210"/>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For the Years Ended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4.44</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(3.39)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0.06</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15"/>
                <w:szCs w:val="15"/>
                <w:color w:val="auto"/>
              </w:rPr>
              <w:t>(2)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0.08</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 xml:space="preserve">Net loss on divestiture </w:t>
            </w:r>
            <w:r>
              <w:rPr>
                <w:rFonts w:ascii="Arial" w:cs="Arial" w:eastAsia="Arial" w:hAnsi="Arial"/>
                <w:sz w:val="15"/>
                <w:szCs w:val="15"/>
                <w:color w:val="auto"/>
              </w:rPr>
              <w:t>(2)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(0.01)</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0.10</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Loss on deconsolidation of Venezuela </w:t>
            </w:r>
            <w:r>
              <w:rPr>
                <w:rFonts w:ascii="Arial" w:cs="Arial" w:eastAsia="Arial" w:hAnsi="Arial"/>
                <w:sz w:val="15"/>
                <w:szCs w:val="15"/>
                <w:color w:val="auto"/>
              </w:rPr>
              <w:t>(8)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(0.48)</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4.05</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tcPr>
          <w:p>
            <w:pPr>
              <w:ind w:left="160"/>
              <w:spacing w:after="0" w:line="199" w:lineRule="exact"/>
              <w:rPr>
                <w:sz w:val="20"/>
                <w:szCs w:val="20"/>
                <w:color w:val="auto"/>
              </w:rPr>
            </w:pPr>
            <w:r>
              <w:rPr>
                <w:rFonts w:ascii="Arial" w:cs="Arial" w:eastAsia="Arial" w:hAnsi="Arial"/>
                <w:sz w:val="18"/>
                <w:szCs w:val="18"/>
                <w:color w:val="auto"/>
              </w:rPr>
              <w:t>(Income)/costs associated with the JDE coffee business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 xml:space="preserve">transactions </w:t>
            </w:r>
            <w:r>
              <w:rPr>
                <w:rFonts w:ascii="Arial" w:cs="Arial" w:eastAsia="Arial" w:hAnsi="Arial"/>
                <w:sz w:val="15"/>
                <w:szCs w:val="15"/>
                <w:color w:val="auto"/>
              </w:rPr>
              <w:t>(9)</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tcPr>
          <w:p>
            <w:pPr>
              <w:ind w:left="160"/>
              <w:spacing w:after="0" w:line="199" w:lineRule="exact"/>
              <w:rPr>
                <w:sz w:val="20"/>
                <w:szCs w:val="20"/>
                <w:color w:val="auto"/>
              </w:rPr>
            </w:pPr>
            <w:r>
              <w:rPr>
                <w:rFonts w:ascii="Arial" w:cs="Arial" w:eastAsia="Arial" w:hAnsi="Arial"/>
                <w:sz w:val="18"/>
                <w:szCs w:val="18"/>
                <w:color w:val="auto"/>
              </w:rPr>
              <w:t>Loss on debt extinguishment and related</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5"/>
                <w:szCs w:val="15"/>
                <w:color w:val="auto"/>
              </w:rPr>
              <w:t>(4)</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(0.12)</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15"/>
                <w:szCs w:val="15"/>
                <w:color w:val="auto"/>
              </w:rPr>
              <w:t>(6)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(0.03)</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tcPr>
          <w:p>
            <w:pPr>
              <w:ind w:left="160"/>
              <w:spacing w:after="0" w:line="199" w:lineRule="exact"/>
              <w:rPr>
                <w:sz w:val="20"/>
                <w:szCs w:val="20"/>
                <w:color w:val="auto"/>
              </w:rPr>
            </w:pPr>
            <w:r>
              <w:rPr>
                <w:rFonts w:ascii="Arial" w:cs="Arial" w:eastAsia="Arial" w:hAnsi="Arial"/>
                <w:sz w:val="18"/>
                <w:szCs w:val="18"/>
                <w:color w:val="auto"/>
              </w:rPr>
              <w:t>Equity method investee acquisition-related</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 xml:space="preserve">and other adjustments </w:t>
            </w:r>
            <w:r>
              <w:rPr>
                <w:rFonts w:ascii="Arial" w:cs="Arial" w:eastAsia="Arial" w:hAnsi="Arial"/>
                <w:sz w:val="15"/>
                <w:szCs w:val="15"/>
                <w:color w:val="auto"/>
              </w:rPr>
              <w:t>(7)</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(0.03)</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EPS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0.33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Impact of unfavorable currency</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0.06</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EPS (constant currency)</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0.39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0" w:hanging="332"/>
        <w:spacing w:after="0" w:line="24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60" w:hanging="314"/>
        <w:spacing w:after="0" w:line="241" w:lineRule="auto"/>
        <w:tabs>
          <w:tab w:leader="none" w:pos="660" w:val="left"/>
        </w:tabs>
        <w:numPr>
          <w:ilvl w:val="1"/>
          <w:numId w:val="53"/>
        </w:numPr>
        <w:rPr>
          <w:rFonts w:ascii="Arial" w:cs="Arial" w:eastAsia="Arial" w:hAnsi="Arial"/>
          <w:sz w:val="14"/>
          <w:szCs w:val="14"/>
          <w:color w:val="auto"/>
        </w:rPr>
      </w:pPr>
      <w:r>
        <w:rPr>
          <w:rFonts w:ascii="Arial" w:cs="Arial" w:eastAsia="Arial" w:hAnsi="Arial"/>
          <w:sz w:val="14"/>
          <w:szCs w:val="14"/>
          <w:color w:val="auto"/>
        </w:rPr>
        <w:t>For the year ended December 31, 2017, taxes for the: 2014-2018 Restructuring Program costs were $(190) million, intangible asset impairment charges were $(30) million, acquisition integration costs were zero, gain on equity method investment transactions were $15 million, net gain on divestitures were $7 million, net earnings on divestitures were $15 million, divestiture-related costs were $8 million, loss on debt extinguishment and related costs were $(4) million, malware incident incremental costs were $(27) million, benefits from resolution of tax matters were $75 million, equity method investee acquisition-related and other adjustments were $35 million, CEO transition remuneration were $(5) million, mark-to-market gains/(losses) from derivatives were $(6) million and U.S. tax reform were $(59) million.</w:t>
      </w:r>
    </w:p>
    <w:p>
      <w:pPr>
        <w:spacing w:after="0" w:line="1" w:lineRule="exact"/>
        <w:rPr>
          <w:rFonts w:ascii="Arial" w:cs="Arial" w:eastAsia="Arial" w:hAnsi="Arial"/>
          <w:sz w:val="14"/>
          <w:szCs w:val="14"/>
          <w:color w:val="auto"/>
        </w:rPr>
      </w:pPr>
    </w:p>
    <w:p>
      <w:pPr>
        <w:ind w:left="660" w:right="40" w:hanging="314"/>
        <w:spacing w:after="0" w:line="241" w:lineRule="auto"/>
        <w:tabs>
          <w:tab w:leader="none" w:pos="660" w:val="left"/>
        </w:tabs>
        <w:numPr>
          <w:ilvl w:val="1"/>
          <w:numId w:val="53"/>
        </w:numPr>
        <w:rPr>
          <w:rFonts w:ascii="Arial" w:cs="Arial" w:eastAsia="Arial" w:hAnsi="Arial"/>
          <w:sz w:val="14"/>
          <w:szCs w:val="14"/>
          <w:color w:val="auto"/>
        </w:rPr>
      </w:pPr>
      <w:r>
        <w:rPr>
          <w:rFonts w:ascii="Arial" w:cs="Arial" w:eastAsia="Arial" w:hAnsi="Arial"/>
          <w:sz w:val="14"/>
          <w:szCs w:val="14"/>
          <w:color w:val="auto"/>
        </w:rPr>
        <w:t>For the year ended December 31, 2016, taxes for the: 2014-2018 Restructuring Program costs were $(288) million, intangible asset impairment charges were $(37) million, gain on sale of intangible assets were $3 million, acquisition integration costs were zero, net earnings from divestitures were $40 million, divestiture-related costs were $(15) million, loss on debt extinguishment and related costs were $(163) million, loss related to interest rate swaps were $(36) million and mark-to-market gains/(losses) from derivatives were $(11) million.</w:t>
      </w:r>
    </w:p>
    <w:p>
      <w:pPr>
        <w:spacing w:after="0" w:line="1" w:lineRule="exact"/>
        <w:rPr>
          <w:rFonts w:ascii="Arial" w:cs="Arial" w:eastAsia="Arial" w:hAnsi="Arial"/>
          <w:sz w:val="14"/>
          <w:szCs w:val="14"/>
          <w:color w:val="auto"/>
        </w:rPr>
      </w:pPr>
    </w:p>
    <w:p>
      <w:pPr>
        <w:ind w:left="660" w:right="100" w:hanging="314"/>
        <w:spacing w:after="0" w:line="241" w:lineRule="auto"/>
        <w:tabs>
          <w:tab w:leader="none" w:pos="660" w:val="left"/>
        </w:tabs>
        <w:numPr>
          <w:ilvl w:val="1"/>
          <w:numId w:val="53"/>
        </w:numPr>
        <w:rPr>
          <w:rFonts w:ascii="Arial" w:cs="Arial" w:eastAsia="Arial" w:hAnsi="Arial"/>
          <w:sz w:val="14"/>
          <w:szCs w:val="14"/>
          <w:color w:val="auto"/>
        </w:rPr>
      </w:pPr>
      <w:r>
        <w:rPr>
          <w:rFonts w:ascii="Arial" w:cs="Arial" w:eastAsia="Arial" w:hAnsi="Arial"/>
          <w:sz w:val="14"/>
          <w:szCs w:val="14"/>
          <w:color w:val="auto"/>
        </w:rPr>
        <w:t>For the year ended December 31, 2015, taxes for the: 2014-2018 Restructuring Program costs were $(262) million, income/costs associated with the JDE coffee business transactions were $145 million, net earnings from Venezuelan subsidiaries were $107 million, gain on the JDE coffee business transactions were $183 million, intangible asset impairment charges were $(13) million, net earnings from divestitures were $80 million, loss on debt extinguishment and related costs were $(275) million, loss related to interest rate swaps were $(13) million and mark-to-market gains/(losses) from derivatives were $15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first quarter of 2016 due to changes in financing and hedging plans.</w:t>
      </w: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discharge.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the U.S. tax reform.</w:t>
      </w:r>
    </w:p>
    <w:p>
      <w:pPr>
        <w:spacing w:after="0" w:line="1" w:lineRule="exact"/>
        <w:rPr>
          <w:rFonts w:ascii="Arial" w:cs="Arial" w:eastAsia="Arial" w:hAnsi="Arial"/>
          <w:sz w:val="14"/>
          <w:szCs w:val="14"/>
          <w:color w:val="auto"/>
        </w:rPr>
      </w:pPr>
    </w:p>
    <w:p>
      <w:pPr>
        <w:ind w:left="340" w:right="480" w:hanging="332"/>
        <w:spacing w:after="0" w:line="24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 of one of our equity method investments and the 2016 acquisition of an interest in Keurig.</w:t>
      </w:r>
    </w:p>
    <w:p>
      <w:pPr>
        <w:ind w:left="340" w:right="260" w:hanging="332"/>
        <w:spacing w:after="0" w:line="24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right="140" w:hanging="332"/>
        <w:spacing w:after="0" w:line="24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Currency Translation and Highly Inflationary Accounting: Venezuela, </w:t>
      </w:r>
      <w:r>
        <w:rPr>
          <w:rFonts w:ascii="Arial" w:cs="Arial" w:eastAsia="Arial" w:hAnsi="Arial"/>
          <w:sz w:val="14"/>
          <w:szCs w:val="14"/>
          <w:color w:val="auto"/>
        </w:rPr>
        <w:t>for more information on the deconsolidation and remeasurement loss in 2015.</w:t>
      </w:r>
    </w:p>
    <w:p>
      <w:pPr>
        <w:ind w:left="340" w:right="20" w:hanging="332"/>
        <w:spacing w:after="0" w:line="250"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$436 million in 2015 on the currency hedges related to the JDE coffee business transactions were recorded in interest and other expense, net and are included in (income)/costs associated with the JDE coffee business transactions of $(0.01) in the table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For additional information on the impact of currency policies, recent currency devaluations, the deconsolidation of our Venezuelan operation and the historical remeasurement of our Venezuelan net monetary assets on our financial condition and results of operations, also see Note 1, </w:t>
      </w:r>
      <w:r>
        <w:rPr>
          <w:rFonts w:ascii="Arial" w:cs="Arial" w:eastAsia="Arial" w:hAnsi="Arial"/>
          <w:sz w:val="18"/>
          <w:szCs w:val="18"/>
          <w:i w:val="1"/>
          <w:iCs w:val="1"/>
          <w:color w:val="auto"/>
        </w:rPr>
        <w:t>Summary of Significant Accounting Policies—Currency Translation and Highly Inflationary Accounting</w:t>
      </w:r>
      <w:r>
        <w:rPr>
          <w:rFonts w:ascii="Arial" w:cs="Arial" w:eastAsia="Arial" w:hAnsi="Arial"/>
          <w:sz w:val="18"/>
          <w:szCs w:val="18"/>
          <w:color w:val="auto"/>
        </w:rPr>
        <w:t>.</w:t>
      </w:r>
    </w:p>
    <w:p>
      <w:pPr>
        <w:spacing w:after="0" w:line="20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Our weighted-average interest rate on our total debt was 2.1% as of December 31, 2017, down from 2.2% as of December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the types of derivative instruments we use to hedge our exposures between</w:t>
      </w:r>
    </w:p>
    <w:p>
      <w:pPr>
        <w:spacing w:after="0"/>
        <w:rPr>
          <w:sz w:val="20"/>
          <w:szCs w:val="20"/>
          <w:color w:val="auto"/>
        </w:rPr>
      </w:pPr>
      <w:r>
        <w:rPr>
          <w:rFonts w:ascii="Arial" w:cs="Arial" w:eastAsia="Arial" w:hAnsi="Arial"/>
          <w:sz w:val="18"/>
          <w:szCs w:val="18"/>
          <w:color w:val="auto"/>
        </w:rPr>
        <w:t xml:space="preserve">December 31, 2016 and December 31, 2017.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2017 and 2018 derivative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2017 and 2016,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0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As of December 31, 2017 and December 31, 2016,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rPr>
              <w:t>Pre-Tax Earnings Impact</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Fair Value Impact</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86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22"/>
              <w:spacing w:after="0" w:line="155" w:lineRule="exact"/>
              <w:rPr>
                <w:sz w:val="20"/>
                <w:szCs w:val="20"/>
                <w:color w:val="auto"/>
              </w:rPr>
            </w:pPr>
            <w:r>
              <w:rPr>
                <w:rFonts w:ascii="Arial" w:cs="Arial" w:eastAsia="Arial" w:hAnsi="Arial"/>
                <w:sz w:val="14"/>
                <w:szCs w:val="14"/>
                <w:b w:val="1"/>
                <w:bCs w:val="1"/>
                <w:color w:val="auto"/>
              </w:rPr>
              <w:t>At 12/31/17</w:t>
            </w:r>
          </w:p>
        </w:tc>
        <w:tc>
          <w:tcPr>
            <w:tcW w:w="860" w:type="dxa"/>
            <w:vAlign w:val="bottom"/>
            <w:tcBorders>
              <w:bottom w:val="single" w:sz="8" w:color="auto"/>
            </w:tcBorders>
            <w:gridSpan w:val="2"/>
          </w:tcPr>
          <w:p>
            <w:pPr>
              <w:jc w:val="right"/>
              <w:ind w:right="119"/>
              <w:spacing w:after="0" w:line="155" w:lineRule="exact"/>
              <w:rPr>
                <w:sz w:val="20"/>
                <w:szCs w:val="20"/>
                <w:color w:val="auto"/>
              </w:rPr>
            </w:pPr>
            <w:r>
              <w:rPr>
                <w:rFonts w:ascii="Arial" w:cs="Arial" w:eastAsia="Arial" w:hAnsi="Arial"/>
                <w:sz w:val="14"/>
                <w:szCs w:val="14"/>
                <w:b w:val="1"/>
                <w:bCs w:val="1"/>
                <w:color w:val="auto"/>
              </w:rPr>
              <w:t>Average</w:t>
            </w:r>
          </w:p>
        </w:tc>
        <w:tc>
          <w:tcPr>
            <w:tcW w:w="840" w:type="dxa"/>
            <w:vAlign w:val="bottom"/>
            <w:tcBorders>
              <w:bottom w:val="single" w:sz="8" w:color="auto"/>
            </w:tcBorders>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99"/>
              </w:rPr>
              <w:t>Low</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9"/>
              <w:spacing w:after="0" w:line="155" w:lineRule="exact"/>
              <w:rPr>
                <w:sz w:val="20"/>
                <w:szCs w:val="20"/>
                <w:color w:val="auto"/>
              </w:rPr>
            </w:pPr>
            <w:r>
              <w:rPr>
                <w:rFonts w:ascii="Arial" w:cs="Arial" w:eastAsia="Arial" w:hAnsi="Arial"/>
                <w:sz w:val="14"/>
                <w:szCs w:val="14"/>
                <w:b w:val="1"/>
                <w:bCs w:val="1"/>
                <w:color w:val="auto"/>
              </w:rPr>
              <w:t>At 12/31/17</w:t>
            </w:r>
          </w:p>
        </w:tc>
        <w:tc>
          <w:tcPr>
            <w:tcW w:w="8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Average</w:t>
            </w:r>
          </w:p>
        </w:tc>
        <w:tc>
          <w:tcPr>
            <w:tcW w:w="800" w:type="dxa"/>
            <w:vAlign w:val="bottom"/>
            <w:tcBorders>
              <w:bottom w:val="single" w:sz="8" w:color="auto"/>
            </w:tcBorders>
            <w:gridSpan w:val="2"/>
          </w:tcPr>
          <w:p>
            <w:pPr>
              <w:jc w:val="right"/>
              <w:ind w:right="239"/>
              <w:spacing w:after="0" w:line="155"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2"/>
              </w:rPr>
              <w:t>Low</w:t>
            </w: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gridSpan w:val="4"/>
          </w:tcPr>
          <w:p>
            <w:pPr>
              <w:ind w:left="280"/>
              <w:spacing w:after="0" w:line="155"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Instruments sensitive to:</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860" w:type="dxa"/>
            <w:vAlign w:val="bottom"/>
          </w:tcPr>
          <w:p>
            <w:pPr>
              <w:ind w:left="180"/>
              <w:spacing w:after="0"/>
              <w:rPr>
                <w:sz w:val="20"/>
                <w:szCs w:val="20"/>
                <w:color w:val="auto"/>
              </w:rPr>
            </w:pPr>
            <w:r>
              <w:rPr>
                <w:rFonts w:ascii="Arial" w:cs="Arial" w:eastAsia="Arial" w:hAnsi="Arial"/>
                <w:sz w:val="16"/>
                <w:szCs w:val="16"/>
                <w:color w:val="auto"/>
              </w:rPr>
              <w:t>Interest rates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3"/>
          </w:tcPr>
          <w:p>
            <w:pPr>
              <w:jc w:val="center"/>
              <w:ind w:left="49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4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31</w:t>
            </w:r>
          </w:p>
        </w:tc>
      </w:tr>
      <w:tr>
        <w:trPr>
          <w:trHeight w:val="203"/>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rates</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11</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6"/>
                <w:szCs w:val="16"/>
                <w:color w:val="auto"/>
              </w:rPr>
              <w:t>Commodity prices</w:t>
            </w:r>
          </w:p>
        </w:tc>
        <w:tc>
          <w:tcPr>
            <w:tcW w:w="500" w:type="dxa"/>
            <w:vAlign w:val="bottom"/>
          </w:tcPr>
          <w:p>
            <w:pPr>
              <w:spacing w:after="0"/>
              <w:rPr>
                <w:sz w:val="18"/>
                <w:szCs w:val="18"/>
                <w:color w:val="auto"/>
              </w:rPr>
            </w:pPr>
          </w:p>
        </w:tc>
        <w:tc>
          <w:tcPr>
            <w:tcW w:w="360" w:type="dxa"/>
            <w:vAlign w:val="bottom"/>
          </w:tcPr>
          <w:p>
            <w:pPr>
              <w:jc w:val="right"/>
              <w:ind w:right="22"/>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8"/>
                <w:szCs w:val="18"/>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14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1"/>
        </w:trPr>
        <w:tc>
          <w:tcPr>
            <w:tcW w:w="48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rPr>
              <w:t>Pre-Tax Earnings Impact</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Fair Value Impact</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486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22"/>
              <w:spacing w:after="0" w:line="155" w:lineRule="exact"/>
              <w:rPr>
                <w:sz w:val="20"/>
                <w:szCs w:val="20"/>
                <w:color w:val="auto"/>
              </w:rPr>
            </w:pPr>
            <w:r>
              <w:rPr>
                <w:rFonts w:ascii="Arial" w:cs="Arial" w:eastAsia="Arial" w:hAnsi="Arial"/>
                <w:sz w:val="14"/>
                <w:szCs w:val="14"/>
                <w:b w:val="1"/>
                <w:bCs w:val="1"/>
                <w:color w:val="auto"/>
              </w:rPr>
              <w:t>At 12/31/16</w:t>
            </w:r>
          </w:p>
        </w:tc>
        <w:tc>
          <w:tcPr>
            <w:tcW w:w="860" w:type="dxa"/>
            <w:vAlign w:val="bottom"/>
            <w:tcBorders>
              <w:bottom w:val="single" w:sz="8" w:color="auto"/>
            </w:tcBorders>
            <w:gridSpan w:val="2"/>
          </w:tcPr>
          <w:p>
            <w:pPr>
              <w:jc w:val="right"/>
              <w:ind w:right="119"/>
              <w:spacing w:after="0" w:line="155" w:lineRule="exact"/>
              <w:rPr>
                <w:sz w:val="20"/>
                <w:szCs w:val="20"/>
                <w:color w:val="auto"/>
              </w:rPr>
            </w:pPr>
            <w:r>
              <w:rPr>
                <w:rFonts w:ascii="Arial" w:cs="Arial" w:eastAsia="Arial" w:hAnsi="Arial"/>
                <w:sz w:val="14"/>
                <w:szCs w:val="14"/>
                <w:b w:val="1"/>
                <w:bCs w:val="1"/>
                <w:color w:val="auto"/>
              </w:rPr>
              <w:t>Average</w:t>
            </w:r>
          </w:p>
        </w:tc>
        <w:tc>
          <w:tcPr>
            <w:tcW w:w="840" w:type="dxa"/>
            <w:vAlign w:val="bottom"/>
            <w:tcBorders>
              <w:bottom w:val="single" w:sz="8" w:color="auto"/>
            </w:tcBorders>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99"/>
              </w:rPr>
              <w:t>Low</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9"/>
              <w:spacing w:after="0" w:line="155" w:lineRule="exact"/>
              <w:rPr>
                <w:sz w:val="20"/>
                <w:szCs w:val="20"/>
                <w:color w:val="auto"/>
              </w:rPr>
            </w:pPr>
            <w:r>
              <w:rPr>
                <w:rFonts w:ascii="Arial" w:cs="Arial" w:eastAsia="Arial" w:hAnsi="Arial"/>
                <w:sz w:val="14"/>
                <w:szCs w:val="14"/>
                <w:b w:val="1"/>
                <w:bCs w:val="1"/>
                <w:color w:val="auto"/>
              </w:rPr>
              <w:t>At 12/31/16</w:t>
            </w:r>
          </w:p>
        </w:tc>
        <w:tc>
          <w:tcPr>
            <w:tcW w:w="8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Average</w:t>
            </w:r>
          </w:p>
        </w:tc>
        <w:tc>
          <w:tcPr>
            <w:tcW w:w="800" w:type="dxa"/>
            <w:vAlign w:val="bottom"/>
            <w:tcBorders>
              <w:bottom w:val="single" w:sz="8" w:color="auto"/>
            </w:tcBorders>
            <w:gridSpan w:val="2"/>
          </w:tcPr>
          <w:p>
            <w:pPr>
              <w:jc w:val="right"/>
              <w:ind w:right="239"/>
              <w:spacing w:after="0" w:line="155"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2"/>
              </w:rPr>
              <w:t>Low</w:t>
            </w: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gridSpan w:val="4"/>
          </w:tcPr>
          <w:p>
            <w:pPr>
              <w:ind w:left="280"/>
              <w:spacing w:after="0" w:line="155"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Instruments sensitive to:</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860" w:type="dxa"/>
            <w:vAlign w:val="bottom"/>
          </w:tcPr>
          <w:p>
            <w:pPr>
              <w:ind w:left="180"/>
              <w:spacing w:after="0"/>
              <w:rPr>
                <w:sz w:val="20"/>
                <w:szCs w:val="20"/>
                <w:color w:val="auto"/>
              </w:rPr>
            </w:pPr>
            <w:r>
              <w:rPr>
                <w:rFonts w:ascii="Arial" w:cs="Arial" w:eastAsia="Arial" w:hAnsi="Arial"/>
                <w:sz w:val="16"/>
                <w:szCs w:val="16"/>
                <w:color w:val="auto"/>
              </w:rPr>
              <w:t>Interest rates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3"/>
          </w:tcPr>
          <w:p>
            <w:pPr>
              <w:jc w:val="center"/>
              <w:ind w:left="49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420" w:type="dxa"/>
            <w:vAlign w:val="bottom"/>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4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45</w:t>
            </w:r>
          </w:p>
        </w:tc>
      </w:tr>
      <w:tr>
        <w:trPr>
          <w:trHeight w:val="203"/>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rates</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10</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6"/>
                <w:szCs w:val="16"/>
                <w:color w:val="auto"/>
              </w:rPr>
              <w:t>Commodity prices</w:t>
            </w:r>
          </w:p>
        </w:tc>
        <w:tc>
          <w:tcPr>
            <w:tcW w:w="500" w:type="dxa"/>
            <w:vAlign w:val="bottom"/>
          </w:tcPr>
          <w:p>
            <w:pPr>
              <w:spacing w:after="0"/>
              <w:rPr>
                <w:sz w:val="18"/>
                <w:szCs w:val="18"/>
                <w:color w:val="auto"/>
              </w:rPr>
            </w:pPr>
          </w:p>
        </w:tc>
        <w:tc>
          <w:tcPr>
            <w:tcW w:w="36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8"/>
                <w:szCs w:val="18"/>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10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as of December 31, 2017 and 2016, and the related consolidated statements of earnings, comprehensive earnings, equity and cash flows for each of the three years in the period ended December 31, 2017, including the related notes and financial statement schedule listed in the index appearing under Item 15(a) (collectively referred to as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5"/>
          <w:szCs w:val="15"/>
          <w:color w:val="auto"/>
        </w:rPr>
        <w:t>RICEWATERHOUSE</w:t>
      </w:r>
      <w:r>
        <w:rPr>
          <w:rFonts w:ascii="Arial" w:cs="Arial" w:eastAsia="Arial" w:hAnsi="Arial"/>
          <w:sz w:val="18"/>
          <w:szCs w:val="18"/>
          <w:color w:val="auto"/>
        </w:rPr>
        <w:t>C</w:t>
      </w:r>
      <w:r>
        <w:rPr>
          <w:rFonts w:ascii="Arial" w:cs="Arial" w:eastAsia="Arial" w:hAnsi="Arial"/>
          <w:sz w:val="15"/>
          <w:szCs w:val="15"/>
          <w:color w:val="auto"/>
        </w:rPr>
        <w:t>OOPERS</w:t>
      </w:r>
      <w:r>
        <w:rPr>
          <w:rFonts w:ascii="Arial" w:cs="Arial" w:eastAsia="Arial" w:hAnsi="Arial"/>
          <w:sz w:val="18"/>
          <w:szCs w:val="18"/>
          <w:color w:val="auto"/>
        </w:rPr>
        <w:t xml:space="preserv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9,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RICEWATERHOUSE</w:t>
      </w:r>
      <w:r>
        <w:rPr>
          <w:rFonts w:ascii="Arial" w:cs="Arial" w:eastAsia="Arial" w:hAnsi="Arial"/>
          <w:sz w:val="18"/>
          <w:szCs w:val="18"/>
          <w:color w:val="auto"/>
        </w:rPr>
        <w:t>C</w:t>
      </w:r>
      <w:r>
        <w:rPr>
          <w:rFonts w:ascii="Arial" w:cs="Arial" w:eastAsia="Arial" w:hAnsi="Arial"/>
          <w:sz w:val="15"/>
          <w:szCs w:val="15"/>
          <w:color w:val="auto"/>
        </w:rPr>
        <w:t>OOPERS</w:t>
      </w:r>
      <w:r>
        <w:rPr>
          <w:rFonts w:ascii="Arial" w:cs="Arial" w:eastAsia="Arial" w:hAnsi="Arial"/>
          <w:sz w:val="18"/>
          <w:szCs w:val="18"/>
          <w:color w:val="auto"/>
        </w:rPr>
        <w:t xml:space="preserve"> LLP has served as the Company’s auditor since 2001.</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25,923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15,831</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15,795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10,065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5,911</w:t>
            </w:r>
          </w:p>
        </w:tc>
        <w:tc>
          <w:tcPr>
            <w:tcW w:w="2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6,540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exit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gain on divestitures</w:t>
            </w:r>
          </w:p>
        </w:tc>
        <w:tc>
          <w:tcPr>
            <w:tcW w:w="2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Loss on deconsolidation of Venezuela</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3,506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20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Gain on equity method investment transactions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Equity method investment net earnings</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2,936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rPr>
              <w:t>Noncontrolling interest earnings</w:t>
            </w:r>
          </w:p>
        </w:tc>
        <w:tc>
          <w:tcPr>
            <w:tcW w:w="2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Mondelēz International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 attributable to Mondelēz International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16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comprehensive earnings/(losses), net of tax:</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 translation adjustment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Pension and other benefit plans</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cash flow hedges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earnings/(losses)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less: Comprehensive earnings/(losses) attributable to noncontrolling interests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 attributable to Mondelēz International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c>
          <w:tcPr>
            <w:tcW w:w="2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Trade receivables (net of allowances of $50 at December 31, 2017</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and $58 at December 31, 2016)</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2,691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60"/>
              <w:spacing w:after="0" w:line="201" w:lineRule="exact"/>
              <w:rPr>
                <w:sz w:val="20"/>
                <w:szCs w:val="20"/>
                <w:color w:val="auto"/>
              </w:rPr>
            </w:pPr>
            <w:r>
              <w:rPr>
                <w:rFonts w:ascii="Arial" w:cs="Arial" w:eastAsia="Arial" w:hAnsi="Arial"/>
                <w:sz w:val="18"/>
                <w:szCs w:val="18"/>
                <w:color w:val="auto"/>
              </w:rPr>
              <w:t>Other receivables (net of allowances of $98 at December 31, 2017</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340"/>
              <w:spacing w:after="0" w:line="203" w:lineRule="exact"/>
              <w:rPr>
                <w:sz w:val="20"/>
                <w:szCs w:val="20"/>
                <w:color w:val="auto"/>
              </w:rPr>
            </w:pPr>
            <w:r>
              <w:rPr>
                <w:rFonts w:ascii="Arial" w:cs="Arial" w:eastAsia="Arial" w:hAnsi="Arial"/>
                <w:sz w:val="18"/>
                <w:szCs w:val="18"/>
                <w:color w:val="auto"/>
              </w:rPr>
              <w:t>and $93 at December 31, 2016)</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835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8,677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18,639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pension assets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63,109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Current portion of long-term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employment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current liabilities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pension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postretirement health care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liabilities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right="1640" w:hanging="179"/>
        <w:spacing w:after="0" w:line="234" w:lineRule="auto"/>
        <w:rPr>
          <w:sz w:val="20"/>
          <w:szCs w:val="20"/>
          <w:color w:val="auto"/>
        </w:rPr>
      </w:pPr>
      <w:r>
        <w:rPr>
          <w:rFonts w:ascii="Arial" w:cs="Arial" w:eastAsia="Arial" w:hAnsi="Arial"/>
          <w:sz w:val="18"/>
          <w:szCs w:val="18"/>
          <w:color w:val="auto"/>
        </w:rPr>
        <w:t>Common Stock, no par value (5,000,000,000 shares authorized and 1,996,537,778 shares issued at December 31, 2017 and December 31, 2016)</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right="2320" w:hanging="179"/>
        <w:spacing w:after="0" w:line="235" w:lineRule="auto"/>
        <w:rPr>
          <w:sz w:val="20"/>
          <w:szCs w:val="20"/>
          <w:color w:val="auto"/>
        </w:rPr>
      </w:pPr>
      <w:r>
        <w:rPr>
          <w:rFonts w:ascii="Arial" w:cs="Arial" w:eastAsia="Arial" w:hAnsi="Arial"/>
          <w:sz w:val="18"/>
          <w:szCs w:val="18"/>
          <w:color w:val="auto"/>
        </w:rPr>
        <w:t>Treasury stock, at cost (508,401,694 shares at December 31, 2017 and 468,172,237 shares at December 31, 2016)</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3,517</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2,531</w:t>
            </w:r>
          </w:p>
        </w:tc>
      </w:tr>
      <w:tr>
        <w:trPr>
          <w:trHeight w:val="216"/>
        </w:trPr>
        <w:tc>
          <w:tcPr>
            <w:tcW w:w="2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1,163</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16"/>
        </w:trPr>
        <w:tc>
          <w:tcPr>
            <w:tcW w:w="2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5,705</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5,318</w:t>
            </w:r>
          </w:p>
        </w:tc>
      </w:tr>
      <w:tr>
        <w:trPr>
          <w:trHeight w:val="216"/>
        </w:trPr>
        <w:tc>
          <w:tcPr>
            <w:tcW w:w="2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1,728</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1,745</w:t>
            </w:r>
          </w:p>
        </w:tc>
      </w:tr>
    </w:tbl>
    <w:p>
      <w:pPr>
        <w:ind w:left="2080" w:hanging="1460"/>
        <w:spacing w:after="0"/>
        <w:tabs>
          <w:tab w:leader="none" w:pos="2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736</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2,9592,636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5093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color w:val="auto"/>
        </w:rPr>
        <w:t>15,793</w:t>
      </w:r>
      <w:r>
        <w:rPr>
          <w:sz w:val="20"/>
          <w:szCs w:val="20"/>
          <w:color w:val="auto"/>
        </w:rPr>
        <w:tab/>
      </w:r>
      <w:r>
        <w:rPr>
          <w:rFonts w:ascii="Arial" w:cs="Arial" w:eastAsia="Arial" w:hAnsi="Arial"/>
          <w:sz w:val="18"/>
          <w:szCs w:val="18"/>
          <w:color w:val="auto"/>
        </w:rPr>
        <w:t>14,417</w:t>
      </w:r>
    </w:p>
    <w:p>
      <w:pPr>
        <w:spacing w:after="0" w:line="117"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color w:val="auto"/>
        </w:rPr>
        <w:t>12,972</w:t>
      </w:r>
      <w:r>
        <w:rPr>
          <w:sz w:val="20"/>
          <w:szCs w:val="20"/>
          <w:color w:val="auto"/>
        </w:rPr>
        <w:tab/>
      </w:r>
      <w:r>
        <w:rPr>
          <w:rFonts w:ascii="Arial" w:cs="Arial" w:eastAsia="Arial" w:hAnsi="Arial"/>
          <w:sz w:val="18"/>
          <w:szCs w:val="18"/>
          <w:color w:val="auto"/>
        </w:rPr>
        <w:t>13,217</w:t>
      </w:r>
    </w:p>
    <w:p>
      <w:pPr>
        <w:spacing w:after="0" w:line="9"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color w:val="auto"/>
        </w:rPr>
        <w:t>3,376</w:t>
      </w:r>
      <w:r>
        <w:rPr>
          <w:sz w:val="20"/>
          <w:szCs w:val="20"/>
          <w:color w:val="auto"/>
        </w:rPr>
        <w:tab/>
      </w:r>
      <w:r>
        <w:rPr>
          <w:rFonts w:ascii="Arial" w:cs="Arial" w:eastAsia="Arial" w:hAnsi="Arial"/>
          <w:sz w:val="18"/>
          <w:szCs w:val="18"/>
          <w:color w:val="auto"/>
        </w:rPr>
        <w:t>4,721</w:t>
      </w:r>
    </w:p>
    <w:p>
      <w:pPr>
        <w:spacing w:after="0" w:line="9"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color w:val="auto"/>
        </w:rPr>
        <w:t>1,669</w:t>
      </w:r>
      <w:r>
        <w:rPr>
          <w:sz w:val="20"/>
          <w:szCs w:val="20"/>
          <w:color w:val="auto"/>
        </w:rPr>
        <w:tab/>
      </w:r>
      <w:r>
        <w:rPr>
          <w:rFonts w:ascii="Arial" w:cs="Arial" w:eastAsia="Arial" w:hAnsi="Arial"/>
          <w:sz w:val="18"/>
          <w:szCs w:val="18"/>
          <w:color w:val="auto"/>
        </w:rPr>
        <w:t>2,014</w:t>
      </w:r>
    </w:p>
    <w:p>
      <w:pPr>
        <w:spacing w:after="0" w:line="9" w:lineRule="exact"/>
        <w:rPr>
          <w:sz w:val="20"/>
          <w:szCs w:val="20"/>
          <w:color w:val="auto"/>
        </w:rPr>
      </w:pPr>
    </w:p>
    <w:p>
      <w:pPr>
        <w:ind w:left="2080" w:hanging="146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382</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2,6891,572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5093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color w:val="auto"/>
        </w:rPr>
        <w:t>36,918</w:t>
      </w:r>
      <w:r>
        <w:rPr>
          <w:sz w:val="20"/>
          <w:szCs w:val="20"/>
          <w:color w:val="auto"/>
        </w:rPr>
        <w:tab/>
      </w:r>
      <w:r>
        <w:rPr>
          <w:rFonts w:ascii="Arial" w:cs="Arial" w:eastAsia="Arial" w:hAnsi="Arial"/>
          <w:sz w:val="18"/>
          <w:szCs w:val="18"/>
          <w:color w:val="auto"/>
        </w:rPr>
        <w:t>36,323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jc w:val="right"/>
              <w:ind w:right="370"/>
              <w:spacing w:after="0"/>
              <w:rPr>
                <w:sz w:val="20"/>
                <w:szCs w:val="20"/>
                <w:color w:val="auto"/>
              </w:rPr>
            </w:pPr>
            <w:r>
              <w:rPr>
                <w:rFonts w:ascii="Arial" w:cs="Arial" w:eastAsia="Arial" w:hAnsi="Arial"/>
                <w:sz w:val="18"/>
                <w:szCs w:val="18"/>
                <w:color w:val="auto"/>
              </w:rPr>
              <w:t>31,915</w:t>
            </w:r>
          </w:p>
        </w:tc>
        <w:tc>
          <w:tcPr>
            <w:tcW w:w="1060" w:type="dxa"/>
            <w:vAlign w:val="bottom"/>
          </w:tcPr>
          <w:p>
            <w:pPr>
              <w:jc w:val="right"/>
              <w:spacing w:after="0"/>
              <w:rPr>
                <w:sz w:val="20"/>
                <w:szCs w:val="20"/>
                <w:color w:val="auto"/>
              </w:rPr>
            </w:pPr>
            <w:r>
              <w:rPr>
                <w:rFonts w:ascii="Arial" w:cs="Arial" w:eastAsia="Arial" w:hAnsi="Arial"/>
                <w:sz w:val="18"/>
                <w:szCs w:val="18"/>
                <w:color w:val="auto"/>
              </w:rPr>
              <w:t>31,847</w:t>
            </w:r>
          </w:p>
        </w:tc>
      </w:tr>
      <w:tr>
        <w:trPr>
          <w:trHeight w:val="216"/>
        </w:trPr>
        <w:tc>
          <w:tcPr>
            <w:tcW w:w="1080" w:type="dxa"/>
            <w:vAlign w:val="bottom"/>
          </w:tcPr>
          <w:p>
            <w:pPr>
              <w:jc w:val="right"/>
              <w:ind w:right="370"/>
              <w:spacing w:after="0"/>
              <w:rPr>
                <w:sz w:val="20"/>
                <w:szCs w:val="20"/>
                <w:color w:val="auto"/>
              </w:rPr>
            </w:pPr>
            <w:r>
              <w:rPr>
                <w:rFonts w:ascii="Arial" w:cs="Arial" w:eastAsia="Arial" w:hAnsi="Arial"/>
                <w:sz w:val="18"/>
                <w:szCs w:val="18"/>
                <w:color w:val="auto"/>
              </w:rPr>
              <w:t>22,749</w:t>
            </w:r>
          </w:p>
        </w:tc>
        <w:tc>
          <w:tcPr>
            <w:tcW w:w="1060" w:type="dxa"/>
            <w:vAlign w:val="bottom"/>
          </w:tcPr>
          <w:p>
            <w:pPr>
              <w:jc w:val="right"/>
              <w:spacing w:after="0"/>
              <w:rPr>
                <w:sz w:val="20"/>
                <w:szCs w:val="20"/>
                <w:color w:val="auto"/>
              </w:rPr>
            </w:pPr>
            <w:r>
              <w:rPr>
                <w:rFonts w:ascii="Arial" w:cs="Arial" w:eastAsia="Arial" w:hAnsi="Arial"/>
                <w:sz w:val="18"/>
                <w:szCs w:val="18"/>
                <w:color w:val="auto"/>
              </w:rPr>
              <w:t>21,149</w:t>
            </w:r>
          </w:p>
        </w:tc>
      </w:tr>
      <w:tr>
        <w:trPr>
          <w:trHeight w:val="217"/>
        </w:trPr>
        <w:tc>
          <w:tcPr>
            <w:tcW w:w="1080" w:type="dxa"/>
            <w:vAlign w:val="bottom"/>
          </w:tcPr>
          <w:p>
            <w:pPr>
              <w:jc w:val="right"/>
              <w:ind w:right="310"/>
              <w:spacing w:after="0"/>
              <w:rPr>
                <w:sz w:val="20"/>
                <w:szCs w:val="20"/>
                <w:color w:val="auto"/>
              </w:rPr>
            </w:pPr>
            <w:r>
              <w:rPr>
                <w:rFonts w:ascii="Arial" w:cs="Arial" w:eastAsia="Arial" w:hAnsi="Arial"/>
                <w:sz w:val="18"/>
                <w:szCs w:val="18"/>
                <w:color w:val="auto"/>
              </w:rPr>
              <w:t>(9,998)</w:t>
            </w:r>
          </w:p>
        </w:tc>
        <w:tc>
          <w:tcPr>
            <w:tcW w:w="1060" w:type="dxa"/>
            <w:vAlign w:val="bottom"/>
          </w:tcPr>
          <w:p>
            <w:pPr>
              <w:jc w:val="right"/>
              <w:spacing w:after="0"/>
              <w:rPr>
                <w:sz w:val="20"/>
                <w:szCs w:val="20"/>
                <w:color w:val="auto"/>
              </w:rPr>
            </w:pPr>
            <w:r>
              <w:rPr>
                <w:rFonts w:ascii="Arial" w:cs="Arial" w:eastAsia="Arial" w:hAnsi="Arial"/>
                <w:sz w:val="18"/>
                <w:szCs w:val="18"/>
                <w:color w:val="auto"/>
              </w:rPr>
              <w:t>(11,122)</w:t>
            </w:r>
          </w:p>
        </w:tc>
      </w:tr>
      <w:tr>
        <w:trPr>
          <w:trHeight w:val="392"/>
        </w:trPr>
        <w:tc>
          <w:tcPr>
            <w:tcW w:w="1080" w:type="dxa"/>
            <w:vAlign w:val="bottom"/>
          </w:tcPr>
          <w:p>
            <w:pPr>
              <w:jc w:val="right"/>
              <w:ind w:right="310"/>
              <w:spacing w:after="0"/>
              <w:rPr>
                <w:sz w:val="20"/>
                <w:szCs w:val="20"/>
                <w:color w:val="auto"/>
              </w:rPr>
            </w:pPr>
            <w:r>
              <w:rPr>
                <w:rFonts w:ascii="Arial" w:cs="Arial" w:eastAsia="Arial" w:hAnsi="Arial"/>
                <w:sz w:val="18"/>
                <w:szCs w:val="18"/>
                <w:color w:val="auto"/>
                <w:w w:val="98"/>
              </w:rPr>
              <w:t>(18,555)</w:t>
            </w:r>
          </w:p>
        </w:tc>
        <w:tc>
          <w:tcPr>
            <w:tcW w:w="1060" w:type="dxa"/>
            <w:vAlign w:val="bottom"/>
          </w:tcPr>
          <w:p>
            <w:pPr>
              <w:jc w:val="right"/>
              <w:spacing w:after="0"/>
              <w:rPr>
                <w:sz w:val="20"/>
                <w:szCs w:val="20"/>
                <w:color w:val="auto"/>
              </w:rPr>
            </w:pPr>
            <w:r>
              <w:rPr>
                <w:rFonts w:ascii="Arial" w:cs="Arial" w:eastAsia="Arial" w:hAnsi="Arial"/>
                <w:sz w:val="18"/>
                <w:szCs w:val="18"/>
                <w:color w:val="auto"/>
              </w:rPr>
              <w:t>(16,713)</w:t>
            </w:r>
          </w:p>
        </w:tc>
      </w:tr>
    </w:tbl>
    <w:p>
      <w:pPr>
        <w:spacing w:after="0" w:line="1" w:lineRule="exact"/>
        <w:rPr>
          <w:sz w:val="20"/>
          <w:szCs w:val="20"/>
          <w:color w:val="auto"/>
        </w:rPr>
      </w:pPr>
    </w:p>
    <w:p>
      <w:pPr>
        <w:sectPr>
          <w:pgSz w:w="11900" w:h="16838" w:orient="portrait"/>
          <w:cols w:equalWidth="0" w:num="2">
            <w:col w:w="8200" w:space="720"/>
            <w:col w:w="25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26,111</w:t>
            </w:r>
          </w:p>
        </w:tc>
        <w:tc>
          <w:tcPr>
            <w:tcW w:w="54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25,161</w:t>
            </w:r>
          </w:p>
        </w:tc>
        <w:tc>
          <w:tcPr>
            <w:tcW w:w="120" w:type="dxa"/>
            <w:vAlign w:val="bottom"/>
            <w:shd w:val="clear" w:color="auto" w:fill="CCEEFF"/>
          </w:tcPr>
          <w:p>
            <w:pPr>
              <w:spacing w:after="0"/>
              <w:rPr>
                <w:sz w:val="19"/>
                <w:szCs w:val="19"/>
                <w:color w:val="auto"/>
              </w:rPr>
            </w:pPr>
          </w:p>
        </w:tc>
      </w:tr>
      <w:tr>
        <w:trPr>
          <w:trHeight w:val="223"/>
        </w:trPr>
        <w:tc>
          <w:tcPr>
            <w:tcW w:w="892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w:t>
            </w:r>
          </w:p>
        </w:tc>
        <w:tc>
          <w:tcPr>
            <w:tcW w:w="5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120" w:type="dxa"/>
            <w:vAlign w:val="bottom"/>
            <w:shd w:val="clear" w:color="auto" w:fill="CCEEFF"/>
          </w:tcPr>
          <w:p>
            <w:pPr>
              <w:spacing w:after="0"/>
              <w:rPr>
                <w:sz w:val="18"/>
                <w:szCs w:val="18"/>
                <w:color w:val="auto"/>
              </w:rPr>
            </w:pPr>
          </w:p>
        </w:tc>
      </w:tr>
      <w:tr>
        <w:trPr>
          <w:trHeight w:val="331"/>
        </w:trPr>
        <w:tc>
          <w:tcPr>
            <w:tcW w:w="892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920" w:type="dxa"/>
            <w:vAlign w:val="bottom"/>
          </w:tcPr>
          <w:p>
            <w:pPr>
              <w:jc w:val="right"/>
              <w:spacing w:after="0"/>
              <w:rPr>
                <w:sz w:val="20"/>
                <w:szCs w:val="20"/>
                <w:color w:val="auto"/>
              </w:rPr>
            </w:pPr>
            <w:r>
              <w:rPr>
                <w:rFonts w:ascii="Arial" w:cs="Arial" w:eastAsia="Arial" w:hAnsi="Arial"/>
                <w:sz w:val="18"/>
                <w:szCs w:val="18"/>
                <w:color w:val="auto"/>
              </w:rPr>
              <w:t>$   63,109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   61,538</w:t>
            </w:r>
          </w:p>
        </w:tc>
      </w:tr>
      <w:tr>
        <w:trPr>
          <w:trHeight w:val="20"/>
        </w:trPr>
        <w:tc>
          <w:tcPr>
            <w:tcW w:w="8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rPr>
              <w:t>Mondelēz International Shareholders’ Equity</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8"/>
        </w:trPr>
        <w:tc>
          <w:tcPr>
            <w:tcW w:w="39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Balances at January 1, 2015</w:t>
            </w: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31,651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(11,112)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27,853</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Comprehensive earnings/(losses):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7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7,267</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7,291</w:t>
            </w:r>
          </w:p>
        </w:tc>
        <w:tc>
          <w:tcPr>
            <w:tcW w:w="0" w:type="dxa"/>
            <w:vAlign w:val="bottom"/>
          </w:tcPr>
          <w:p>
            <w:pPr>
              <w:spacing w:after="0"/>
              <w:rPr>
                <w:sz w:val="1"/>
                <w:szCs w:val="1"/>
                <w:color w:val="auto"/>
              </w:rPr>
            </w:pPr>
          </w:p>
        </w:tc>
      </w:tr>
      <w:tr>
        <w:trPr>
          <w:trHeight w:val="167"/>
        </w:trPr>
        <w:tc>
          <w:tcPr>
            <w:tcW w:w="3900" w:type="dxa"/>
            <w:vAlign w:val="bottom"/>
          </w:tcPr>
          <w:p>
            <w:pPr>
              <w:ind w:left="160"/>
              <w:spacing w:after="0"/>
              <w:rPr>
                <w:sz w:val="20"/>
                <w:szCs w:val="20"/>
                <w:color w:val="auto"/>
              </w:rPr>
            </w:pPr>
            <w:r>
              <w:rPr>
                <w:rFonts w:ascii="Arial" w:cs="Arial" w:eastAsia="Arial" w:hAnsi="Arial"/>
                <w:sz w:val="14"/>
                <w:szCs w:val="14"/>
                <w:color w:val="auto"/>
              </w:rPr>
              <w:t>Other comprehensive earnings/(losses), net of income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300"/>
              <w:spacing w:after="0" w:line="157" w:lineRule="exact"/>
              <w:rPr>
                <w:sz w:val="20"/>
                <w:szCs w:val="20"/>
                <w:color w:val="auto"/>
              </w:rPr>
            </w:pPr>
            <w:r>
              <w:rPr>
                <w:rFonts w:ascii="Arial" w:cs="Arial" w:eastAsia="Arial" w:hAnsi="Arial"/>
                <w:sz w:val="14"/>
                <w:szCs w:val="14"/>
                <w:color w:val="auto"/>
              </w:rPr>
              <w:t>taxes</w:t>
            </w:r>
          </w:p>
        </w:tc>
        <w:tc>
          <w:tcPr>
            <w:tcW w:w="780" w:type="dxa"/>
            <w:vAlign w:val="bottom"/>
          </w:tcPr>
          <w:p>
            <w:pPr>
              <w:spacing w:after="0"/>
              <w:rPr>
                <w:sz w:val="13"/>
                <w:szCs w:val="13"/>
                <w:color w:val="auto"/>
              </w:rPr>
            </w:pPr>
          </w:p>
        </w:tc>
        <w:tc>
          <w:tcPr>
            <w:tcW w:w="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(2,668)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272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2"/>
        </w:trPr>
        <w:tc>
          <w:tcPr>
            <w:tcW w:w="3900" w:type="dxa"/>
            <w:vAlign w:val="bottom"/>
          </w:tcPr>
          <w:p>
            <w:pPr>
              <w:ind w:left="160"/>
              <w:spacing w:after="0"/>
              <w:rPr>
                <w:sz w:val="20"/>
                <w:szCs w:val="20"/>
                <w:color w:val="auto"/>
              </w:rPr>
            </w:pPr>
            <w:r>
              <w:rPr>
                <w:rFonts w:ascii="Arial" w:cs="Arial" w:eastAsia="Arial" w:hAnsi="Arial"/>
                <w:sz w:val="14"/>
                <w:szCs w:val="14"/>
                <w:color w:val="auto"/>
              </w:rPr>
              <w:t>Common Stock repurchased</w:t>
            </w:r>
          </w:p>
        </w:tc>
        <w:tc>
          <w:tcPr>
            <w:tcW w:w="780" w:type="dxa"/>
            <w:vAlign w:val="bottom"/>
          </w:tcPr>
          <w:p>
            <w:pPr>
              <w:spacing w:after="0"/>
              <w:rPr>
                <w:sz w:val="14"/>
                <w:szCs w:val="14"/>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(3,622)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(3,622)</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($0.64 per share)</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67"/>
        </w:trPr>
        <w:tc>
          <w:tcPr>
            <w:tcW w:w="3900" w:type="dxa"/>
            <w:vAlign w:val="bottom"/>
          </w:tcPr>
          <w:p>
            <w:pPr>
              <w:spacing w:after="0"/>
              <w:rPr>
                <w:sz w:val="20"/>
                <w:szCs w:val="20"/>
                <w:color w:val="auto"/>
              </w:rPr>
            </w:pPr>
            <w:r>
              <w:rPr>
                <w:rFonts w:ascii="Arial" w:cs="Arial" w:eastAsia="Arial" w:hAnsi="Arial"/>
                <w:sz w:val="14"/>
                <w:szCs w:val="14"/>
                <w:color w:val="auto"/>
              </w:rPr>
              <w:t>Dividends paid on noncontrolling interest and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60"/>
              <w:spacing w:after="0" w:line="157" w:lineRule="exact"/>
              <w:rPr>
                <w:sz w:val="20"/>
                <w:szCs w:val="20"/>
                <w:color w:val="auto"/>
              </w:rPr>
            </w:pPr>
            <w:r>
              <w:rPr>
                <w:rFonts w:ascii="Arial" w:cs="Arial" w:eastAsia="Arial" w:hAnsi="Arial"/>
                <w:sz w:val="14"/>
                <w:szCs w:val="14"/>
                <w:color w:val="auto"/>
              </w:rPr>
              <w:t>activities</w:t>
            </w:r>
          </w:p>
        </w:tc>
        <w:tc>
          <w:tcPr>
            <w:tcW w:w="780" w:type="dxa"/>
            <w:vAlign w:val="bottom"/>
          </w:tcPr>
          <w:p>
            <w:pPr>
              <w:spacing w:after="0"/>
              <w:rPr>
                <w:sz w:val="13"/>
                <w:szCs w:val="13"/>
                <w:color w:val="auto"/>
              </w:rPr>
            </w:pPr>
          </w:p>
        </w:tc>
        <w:tc>
          <w:tcPr>
            <w:tcW w:w="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2015</w:t>
            </w: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31,760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20,700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(9,986)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(14,462)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28,100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Comprehensive earnings/(losses):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7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1,659</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167"/>
        </w:trPr>
        <w:tc>
          <w:tcPr>
            <w:tcW w:w="3900" w:type="dxa"/>
            <w:vAlign w:val="bottom"/>
          </w:tcPr>
          <w:p>
            <w:pPr>
              <w:ind w:left="160"/>
              <w:spacing w:after="0"/>
              <w:rPr>
                <w:sz w:val="20"/>
                <w:szCs w:val="20"/>
                <w:color w:val="auto"/>
              </w:rPr>
            </w:pPr>
            <w:r>
              <w:rPr>
                <w:rFonts w:ascii="Arial" w:cs="Arial" w:eastAsia="Arial" w:hAnsi="Arial"/>
                <w:sz w:val="14"/>
                <w:szCs w:val="14"/>
                <w:color w:val="auto"/>
              </w:rPr>
              <w:t>Other comprehensive earnings/(losses), net of income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300"/>
              <w:spacing w:after="0" w:line="157" w:lineRule="exact"/>
              <w:rPr>
                <w:sz w:val="20"/>
                <w:szCs w:val="20"/>
                <w:color w:val="auto"/>
              </w:rPr>
            </w:pPr>
            <w:r>
              <w:rPr>
                <w:rFonts w:ascii="Arial" w:cs="Arial" w:eastAsia="Arial" w:hAnsi="Arial"/>
                <w:sz w:val="14"/>
                <w:szCs w:val="14"/>
                <w:color w:val="auto"/>
              </w:rPr>
              <w:t>taxes</w:t>
            </w:r>
          </w:p>
        </w:tc>
        <w:tc>
          <w:tcPr>
            <w:tcW w:w="780" w:type="dxa"/>
            <w:vAlign w:val="bottom"/>
          </w:tcPr>
          <w:p>
            <w:pPr>
              <w:spacing w:after="0"/>
              <w:rPr>
                <w:sz w:val="13"/>
                <w:szCs w:val="13"/>
                <w:color w:val="auto"/>
              </w:rPr>
            </w:pPr>
          </w:p>
        </w:tc>
        <w:tc>
          <w:tcPr>
            <w:tcW w:w="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780" w:type="dxa"/>
            <w:vAlign w:val="bottom"/>
          </w:tcPr>
          <w:p>
            <w:pPr>
              <w:spacing w:after="0"/>
              <w:rPr>
                <w:sz w:val="14"/>
                <w:szCs w:val="14"/>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(2,601)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($0.72 per share)</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67"/>
        </w:trPr>
        <w:tc>
          <w:tcPr>
            <w:tcW w:w="3900" w:type="dxa"/>
            <w:vAlign w:val="bottom"/>
          </w:tcPr>
          <w:p>
            <w:pPr>
              <w:spacing w:after="0"/>
              <w:rPr>
                <w:sz w:val="20"/>
                <w:szCs w:val="20"/>
                <w:color w:val="auto"/>
              </w:rPr>
            </w:pPr>
            <w:r>
              <w:rPr>
                <w:rFonts w:ascii="Arial" w:cs="Arial" w:eastAsia="Arial" w:hAnsi="Arial"/>
                <w:sz w:val="14"/>
                <w:szCs w:val="14"/>
                <w:color w:val="auto"/>
              </w:rPr>
              <w:t>Dividends paid on noncontrolling interest and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60"/>
              <w:spacing w:after="0" w:line="157" w:lineRule="exact"/>
              <w:rPr>
                <w:sz w:val="20"/>
                <w:szCs w:val="20"/>
                <w:color w:val="auto"/>
              </w:rPr>
            </w:pPr>
            <w:r>
              <w:rPr>
                <w:rFonts w:ascii="Arial" w:cs="Arial" w:eastAsia="Arial" w:hAnsi="Arial"/>
                <w:sz w:val="14"/>
                <w:szCs w:val="14"/>
                <w:color w:val="auto"/>
              </w:rPr>
              <w:t>activities</w:t>
            </w:r>
          </w:p>
        </w:tc>
        <w:tc>
          <w:tcPr>
            <w:tcW w:w="780" w:type="dxa"/>
            <w:vAlign w:val="bottom"/>
          </w:tcPr>
          <w:p>
            <w:pPr>
              <w:spacing w:after="0"/>
              <w:rPr>
                <w:sz w:val="13"/>
                <w:szCs w:val="13"/>
                <w:color w:val="auto"/>
              </w:rPr>
            </w:pPr>
          </w:p>
        </w:tc>
        <w:tc>
          <w:tcPr>
            <w:tcW w:w="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2016</w:t>
            </w: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31,847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21,149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(11,122)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(16,713)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25,215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Comprehensive earnings/(losses):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7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67"/>
        </w:trPr>
        <w:tc>
          <w:tcPr>
            <w:tcW w:w="3900" w:type="dxa"/>
            <w:vAlign w:val="bottom"/>
          </w:tcPr>
          <w:p>
            <w:pPr>
              <w:ind w:left="160"/>
              <w:spacing w:after="0"/>
              <w:rPr>
                <w:sz w:val="20"/>
                <w:szCs w:val="20"/>
                <w:color w:val="auto"/>
              </w:rPr>
            </w:pPr>
            <w:r>
              <w:rPr>
                <w:rFonts w:ascii="Arial" w:cs="Arial" w:eastAsia="Arial" w:hAnsi="Arial"/>
                <w:sz w:val="14"/>
                <w:szCs w:val="14"/>
                <w:color w:val="auto"/>
              </w:rPr>
              <w:t>Other comprehensive earnings/(losses), net of income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300"/>
              <w:spacing w:after="0" w:line="157" w:lineRule="exact"/>
              <w:rPr>
                <w:sz w:val="20"/>
                <w:szCs w:val="20"/>
                <w:color w:val="auto"/>
              </w:rPr>
            </w:pPr>
            <w:r>
              <w:rPr>
                <w:rFonts w:ascii="Arial" w:cs="Arial" w:eastAsia="Arial" w:hAnsi="Arial"/>
                <w:sz w:val="14"/>
                <w:szCs w:val="14"/>
                <w:color w:val="auto"/>
              </w:rPr>
              <w:t>taxes</w:t>
            </w:r>
          </w:p>
        </w:tc>
        <w:tc>
          <w:tcPr>
            <w:tcW w:w="780" w:type="dxa"/>
            <w:vAlign w:val="bottom"/>
          </w:tcPr>
          <w:p>
            <w:pPr>
              <w:spacing w:after="0"/>
              <w:rPr>
                <w:sz w:val="13"/>
                <w:szCs w:val="13"/>
                <w:color w:val="auto"/>
              </w:rPr>
            </w:pPr>
          </w:p>
        </w:tc>
        <w:tc>
          <w:tcPr>
            <w:tcW w:w="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1,124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360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780" w:type="dxa"/>
            <w:vAlign w:val="bottom"/>
          </w:tcPr>
          <w:p>
            <w:pPr>
              <w:spacing w:after="0"/>
              <w:rPr>
                <w:sz w:val="14"/>
                <w:szCs w:val="14"/>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(2,202)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(2,202)</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($0.82 per share)</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67"/>
        </w:trPr>
        <w:tc>
          <w:tcPr>
            <w:tcW w:w="3900" w:type="dxa"/>
            <w:vAlign w:val="bottom"/>
          </w:tcPr>
          <w:p>
            <w:pPr>
              <w:spacing w:after="0"/>
              <w:rPr>
                <w:sz w:val="20"/>
                <w:szCs w:val="20"/>
                <w:color w:val="auto"/>
              </w:rPr>
            </w:pPr>
            <w:r>
              <w:rPr>
                <w:rFonts w:ascii="Arial" w:cs="Arial" w:eastAsia="Arial" w:hAnsi="Arial"/>
                <w:sz w:val="14"/>
                <w:szCs w:val="14"/>
                <w:color w:val="auto"/>
              </w:rPr>
              <w:t>Dividends paid on noncontrolling interest and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60"/>
              <w:spacing w:after="0" w:line="157" w:lineRule="exact"/>
              <w:rPr>
                <w:sz w:val="20"/>
                <w:szCs w:val="20"/>
                <w:color w:val="auto"/>
              </w:rPr>
            </w:pPr>
            <w:r>
              <w:rPr>
                <w:rFonts w:ascii="Arial" w:cs="Arial" w:eastAsia="Arial" w:hAnsi="Arial"/>
                <w:sz w:val="14"/>
                <w:szCs w:val="14"/>
                <w:color w:val="auto"/>
              </w:rPr>
              <w:t>activities</w:t>
            </w:r>
          </w:p>
        </w:tc>
        <w:tc>
          <w:tcPr>
            <w:tcW w:w="780" w:type="dxa"/>
            <w:vAlign w:val="bottom"/>
          </w:tcPr>
          <w:p>
            <w:pPr>
              <w:spacing w:after="0"/>
              <w:rPr>
                <w:sz w:val="13"/>
                <w:szCs w:val="13"/>
                <w:color w:val="auto"/>
              </w:rPr>
            </w:pPr>
          </w:p>
        </w:tc>
        <w:tc>
          <w:tcPr>
            <w:tcW w:w="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2017</w:t>
            </w: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22,749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(9,998)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(18,555)</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26,191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tbl>
      <w:tblPr>
        <w:tblLayout w:type="fixed"/>
        <w:tblInd w:w="0" w:type="dxa"/>
        <w:tblCellMar>
          <w:top w:w="0" w:type="dxa"/>
          <w:left w:w="0" w:type="dxa"/>
          <w:bottom w:w="0" w:type="dxa"/>
          <w:right w:w="0" w:type="dxa"/>
        </w:tblCellMar>
      </w:tblPr>
      <w:tr>
        <w:trPr>
          <w:trHeight w:val="159"/>
        </w:trPr>
        <w:tc>
          <w:tcPr>
            <w:tcW w:w="7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BY/(USED IN)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2,936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1,669</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7,291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earnings to operating cash flows: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816</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rPr>
                <w:sz w:val="20"/>
                <w:szCs w:val="20"/>
                <w:color w:val="auto"/>
              </w:rPr>
            </w:pPr>
            <w:r>
              <w:rPr>
                <w:rFonts w:ascii="Arial" w:cs="Arial" w:eastAsia="Arial" w:hAnsi="Arial"/>
                <w:sz w:val="16"/>
                <w:szCs w:val="16"/>
                <w:color w:val="auto"/>
              </w:rPr>
              <w:t>U.S. tax reform transition tax</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1,317</w:t>
            </w: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 benefit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(1,206)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rPr>
                <w:sz w:val="20"/>
                <w:szCs w:val="20"/>
                <w:color w:val="auto"/>
              </w:rPr>
            </w:pPr>
            <w:r>
              <w:rPr>
                <w:rFonts w:ascii="Arial" w:cs="Arial" w:eastAsia="Arial" w:hAnsi="Arial"/>
                <w:sz w:val="16"/>
                <w:szCs w:val="16"/>
                <w:color w:val="auto"/>
              </w:rPr>
              <w:t>Asset impairments and accelerated depreciation</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334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early extinguishment of debt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rPr>
                <w:sz w:val="20"/>
                <w:szCs w:val="20"/>
                <w:color w:val="auto"/>
              </w:rPr>
            </w:pPr>
            <w:r>
              <w:rPr>
                <w:rFonts w:ascii="Arial" w:cs="Arial" w:eastAsia="Arial" w:hAnsi="Arial"/>
                <w:sz w:val="16"/>
                <w:szCs w:val="16"/>
                <w:color w:val="auto"/>
              </w:rPr>
              <w:t>Loss on deconsolidation of Venezuela</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divestitures and JDE coffee business transactions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(186)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(6,822)</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rPr>
                <w:sz w:val="20"/>
                <w:szCs w:val="20"/>
                <w:color w:val="auto"/>
              </w:rPr>
            </w:pPr>
            <w:r>
              <w:rPr>
                <w:rFonts w:ascii="Arial" w:cs="Arial" w:eastAsia="Arial" w:hAnsi="Arial"/>
                <w:sz w:val="16"/>
                <w:szCs w:val="16"/>
                <w:color w:val="auto"/>
              </w:rPr>
              <w:t>JDE coffee business transactions currency-related net gains</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equity method investment transactions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rPr>
                <w:sz w:val="20"/>
                <w:szCs w:val="20"/>
                <w:color w:val="auto"/>
              </w:rPr>
            </w:pPr>
            <w:r>
              <w:rPr>
                <w:rFonts w:ascii="Arial" w:cs="Arial" w:eastAsia="Arial" w:hAnsi="Arial"/>
                <w:sz w:val="16"/>
                <w:szCs w:val="16"/>
                <w:color w:val="auto"/>
              </w:rPr>
              <w:t>Equity method investment net earnings</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(460)</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(301)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from equity method investments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rPr>
                <w:sz w:val="20"/>
                <w:szCs w:val="20"/>
                <w:color w:val="auto"/>
              </w:rPr>
            </w:pPr>
            <w:r>
              <w:rPr>
                <w:rFonts w:ascii="Arial" w:cs="Arial" w:eastAsia="Arial" w:hAnsi="Arial"/>
                <w:sz w:val="16"/>
                <w:szCs w:val="16"/>
                <w:color w:val="auto"/>
              </w:rPr>
              <w:t>Other non-cash items, net</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(225)</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 net of acquisitions and divestitures: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64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740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7400" w:type="dxa"/>
            <w:vAlign w:val="bottom"/>
          </w:tcPr>
          <w:p>
            <w:pPr>
              <w:ind w:left="6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(637)</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pension and postretirement assets and liabilities, net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(333)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(592)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0"/>
        </w:trPr>
        <w:tc>
          <w:tcPr>
            <w:tcW w:w="7400" w:type="dxa"/>
            <w:vAlign w:val="bottom"/>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7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BY/(USED IN) 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(1,014)</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(1,224)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191"/>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JDE coffee business transactions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currency hedge settlements</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Acquisitions, net of cash received</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(246)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divestitures, net of disbursements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604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4,735</w:t>
            </w: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Reduction of cash due to Venezuela deconsolidation</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contribution to JDE</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 and other assets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in)/provided by investing activities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(301)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(1,029)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315"/>
        </w:trPr>
        <w:tc>
          <w:tcPr>
            <w:tcW w:w="7400" w:type="dxa"/>
            <w:vAlign w:val="bottom"/>
          </w:tcPr>
          <w:p>
            <w:pPr>
              <w:spacing w:after="0"/>
              <w:rPr>
                <w:sz w:val="20"/>
                <w:szCs w:val="20"/>
                <w:color w:val="auto"/>
              </w:rPr>
            </w:pPr>
            <w:r>
              <w:rPr>
                <w:rFonts w:ascii="Arial" w:cs="Arial" w:eastAsia="Arial" w:hAnsi="Arial"/>
                <w:sz w:val="16"/>
                <w:szCs w:val="16"/>
                <w:color w:val="auto"/>
              </w:rPr>
              <w:t>CASH PROVIDED BY/(USED IN) FINANCING ACTIVITIES</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Issuances of commercial paper, maturities greater than 90 days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1,808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1,540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Repayments of commercial paper, maturities greater than 90 days</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(1,911)</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(1,031)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issuances/(repayments) of other short-term borrowings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1,027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Long-term debt proceeds</w:t>
            </w:r>
          </w:p>
        </w:tc>
        <w:tc>
          <w:tcPr>
            <w:tcW w:w="20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350</w:t>
            </w: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5,640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repaid</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(1,470)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(6,186)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(4,975)</w:t>
            </w: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(2,174)</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(2,601)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(3,622)</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(1,198)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(1,094)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(3,361)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(1,862)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(5,883)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75"/>
        </w:trPr>
        <w:tc>
          <w:tcPr>
            <w:tcW w:w="74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(Decrease)/increase</w:t>
            </w:r>
          </w:p>
        </w:tc>
        <w:tc>
          <w:tcPr>
            <w:tcW w:w="20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(980)</w:t>
            </w:r>
          </w:p>
        </w:tc>
        <w:tc>
          <w:tcPr>
            <w:tcW w:w="2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(129)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Arial" w:cs="Arial" w:eastAsia="Arial" w:hAnsi="Arial"/>
                <w:sz w:val="16"/>
                <w:szCs w:val="16"/>
                <w:color w:val="auto"/>
              </w:rPr>
              <w:t>Balance at end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761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1,741</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paid: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80"/>
              <w:spacing w:after="0"/>
              <w:rPr>
                <w:sz w:val="20"/>
                <w:szCs w:val="20"/>
                <w:color w:val="auto"/>
              </w:rPr>
            </w:pPr>
            <w:r>
              <w:rPr>
                <w:rFonts w:ascii="Arial" w:cs="Arial" w:eastAsia="Arial" w:hAnsi="Arial"/>
                <w:sz w:val="16"/>
                <w:szCs w:val="16"/>
                <w:color w:val="auto"/>
              </w:rPr>
              <w:t>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398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630</w:t>
            </w:r>
          </w:p>
        </w:tc>
        <w:tc>
          <w:tcPr>
            <w:tcW w:w="3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848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Mondelēz International, Inc. was incorporated in 2000 in the Commonwealth of Virginia. Mondelēz International, Inc., through its subsidiaries (collectively “Mondelēz International,” “we,” “us” and “our”), sells food and beverage products to consumers in approximately 160 countries.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The consolidated financial statements include Mondelēz International, Inc. as well as our wholly owned and majority owned subsidiaries. All intercompany transactions are eliminated. The noncontrolling interest represents the noncontrolling investors’ interests in the results of subsidiaries that we control and consolidate. Through December 31, 2015, the operating results of our Venezuelan subsidiaries are included in our consolidated financial statements. As of the close of the fourth quarter of 2015, we deconsolidated our Venezuelan operations from our consolidated financial statements and recognized a loss on deconsolidation. See </w:t>
      </w: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Venezuela </w:t>
      </w:r>
      <w:r>
        <w:rPr>
          <w:rFonts w:ascii="Arial" w:cs="Arial" w:eastAsia="Arial" w:hAnsi="Arial"/>
          <w:sz w:val="18"/>
          <w:szCs w:val="18"/>
          <w:color w:val="auto"/>
        </w:rPr>
        <w:t>below for more information.</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account for investments in which we exercise significant influence under the equity method of accounting. On July 2, 2015, we contributed our global coffee businesses to a new company, Jacobs Douwe Egberts (“JDE”), in which we now hold an equity interest (collectively, the “JDE coffee business transactions”). Historically, our coffee businesses and the income from equity method investments were recorded within our operating income as these businesses were part of our base business. While we retain an ongoing interest in coffee through equity method investments including JDE, Keurig Green Mountain Inc. (“Keurig”) and Dongsuh Foods Corporation (“DSF”), and we have significant influence with our equity method investments, we do not control these operations directly. As such, in the third quarter of 2015, we began to recognize equity method investment earnings, consisting primarily of investments in coffee businesses, outside of operating income and segment income. For periods prior to the third quarter of 2015, our historical coffee business and equity method investment earnings were included within our operating income and segment income. (For the six months ended December 31, 2015, after-tax equity method investment net earnings were less than $1 million on a combined basis and thus are not shown on our consolidated statement of earnings for this period.) Please see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w:t>
      </w:r>
      <w:r>
        <w:rPr>
          <w:rFonts w:ascii="Arial" w:cs="Arial" w:eastAsia="Arial" w:hAnsi="Arial"/>
          <w:sz w:val="18"/>
          <w:szCs w:val="18"/>
          <w:i w:val="1"/>
          <w:iCs w:val="1"/>
          <w:color w:val="auto"/>
        </w:rPr>
        <w:t xml:space="preserve"> Keurig Transaction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Planned Keurig Dr Pepper Transaction</w:t>
      </w:r>
      <w:r>
        <w:rPr>
          <w:rFonts w:ascii="Arial" w:cs="Arial" w:eastAsia="Arial" w:hAnsi="Arial"/>
          <w:sz w:val="18"/>
          <w:szCs w:val="18"/>
          <w:color w:val="auto"/>
        </w:rPr>
        <w:t>, and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16, </w:t>
      </w:r>
      <w:r>
        <w:rPr>
          <w:rFonts w:ascii="Arial" w:cs="Arial" w:eastAsia="Arial" w:hAnsi="Arial"/>
          <w:sz w:val="18"/>
          <w:szCs w:val="18"/>
          <w:i w:val="1"/>
          <w:iCs w:val="1"/>
          <w:color w:val="auto"/>
        </w:rPr>
        <w:t>Segment Reporting</w:t>
      </w:r>
      <w:r>
        <w:rPr>
          <w:rFonts w:ascii="Arial" w:cs="Arial" w:eastAsia="Arial" w:hAnsi="Arial"/>
          <w:sz w:val="18"/>
          <w:szCs w:val="18"/>
          <w:color w:val="auto"/>
        </w:rPr>
        <w:t>, for more information on these transactions.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use the cost method of accounting for investments in which we do not exercise significant influence or control. Under the cost method of accounting, earnings are recognized to the extent cash is received.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accounting policy elections, estimates and assumptions include, among others, pension and benefit plan assumptions, valuation assumptions of goodwill and intangible assets, useful lives of long-lived assets, restructuring program liabilities, marketing program accruals, insurance and self-insurance reserves and income taxes.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Change</w:t>
      </w:r>
      <w:r>
        <w:rPr>
          <w:rFonts w:ascii="Arial" w:cs="Arial" w:eastAsia="Arial" w:hAnsi="Arial"/>
          <w:sz w:val="18"/>
          <w:szCs w:val="18"/>
          <w:color w:val="auto"/>
        </w:rPr>
        <w:t>:</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a new Asia, Middle East and Africa (“AMEA”) operating segment. We have reflected the segment change as if it had occurred in all periods presented.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2016, our operations and management structure were organized into four reportable operating segments:</w:t>
      </w:r>
    </w:p>
    <w:p>
      <w:pPr>
        <w:ind w:left="900" w:hanging="325"/>
        <w:spacing w:after="0" w:line="23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In 2017, none of our consolidated subsidiaries were accounted for as highly inflationary economies.</w:t>
      </w:r>
    </w:p>
    <w:p>
      <w:pPr>
        <w:spacing w:after="0" w:line="18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We continue to closely monitor inflation and the potential for the economy to become highly inflationary for accounting purposes.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2017, the Argentinian economy was not designated as highly inflationary and we continued to record currency translation adjustments within equity and realized exchange gains and losses on transactions in earnings. Our Argentinian operations contributed</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$601 million, or 2.3% of consolidated net revenues in 2017. The net monetary liabilities of our Argentinian operations as of December 31, 2017 were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Ukraine</w:t>
      </w:r>
      <w:r>
        <w:rPr>
          <w:rFonts w:ascii="Arial" w:cs="Arial" w:eastAsia="Arial" w:hAnsi="Arial"/>
          <w:sz w:val="18"/>
          <w:szCs w:val="18"/>
          <w:color w:val="auto"/>
        </w:rPr>
        <w:t>. Based on inflation data published by the National Bank of Ukraine, Ukraine’s three-year cumulative inflation rate dropped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remained below 100% by the end of 2017. As such, Ukraine is no longer highly inflationary and we continue to record currency translation</w:t>
      </w:r>
    </w:p>
    <w:p>
      <w:pPr>
        <w:spacing w:after="0" w:line="234" w:lineRule="auto"/>
        <w:rPr>
          <w:sz w:val="20"/>
          <w:szCs w:val="20"/>
          <w:color w:val="auto"/>
        </w:rPr>
      </w:pPr>
      <w:r>
        <w:rPr>
          <w:rFonts w:ascii="Arial" w:cs="Arial" w:eastAsia="Arial" w:hAnsi="Arial"/>
          <w:sz w:val="18"/>
          <w:szCs w:val="18"/>
          <w:color w:val="auto"/>
        </w:rPr>
        <w:t>adjustments within equity and realized exchange gains and losses on transactions in earnings. Our Ukrainian operations contributed</w:t>
      </w:r>
    </w:p>
    <w:p>
      <w:pPr>
        <w:spacing w:after="0" w:line="235" w:lineRule="auto"/>
        <w:rPr>
          <w:sz w:val="20"/>
          <w:szCs w:val="20"/>
          <w:color w:val="auto"/>
        </w:rPr>
      </w:pPr>
      <w:r>
        <w:rPr>
          <w:rFonts w:ascii="Arial" w:cs="Arial" w:eastAsia="Arial" w:hAnsi="Arial"/>
          <w:sz w:val="18"/>
          <w:szCs w:val="18"/>
          <w:color w:val="auto"/>
        </w:rPr>
        <w:t>$73 million, or 0.3%, of consolidated net revenues in 2017. The net monetary assets of our Ukrainian operations as of December 31,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were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Venezuela. </w:t>
      </w:r>
      <w:r>
        <w:rPr>
          <w:rFonts w:ascii="Arial" w:cs="Arial" w:eastAsia="Arial" w:hAnsi="Arial"/>
          <w:sz w:val="18"/>
          <w:szCs w:val="18"/>
          <w:color w:val="auto"/>
        </w:rPr>
        <w:t>From January 1, 2010 through December 31, 2015, we accounted for the results of our Venezuelan subsidiaries using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dollar as the functional currency as prescribed by U.S. GAAP for highly inflationary economies.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The economic and regulatory environment in Venezuela and the progressively limited access to dollars to import goods through the use of any of the available currency mechanisms impaired our ability to operate and control our Venezuelan businesses. As a result of these factors, we concluded that we no longer met the criteria for the consolidation of our Venezuelan subsidiaries.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 The fair value of our investments in our Venezuelan subsidiaries was estimated based on discounted cash flow projections of current and expected operating losses in the foreseeable future and our ability to operate the business on a sustainable basis. Our fair value estimate included U.S. dollar exchange and discount rate assumptions that reflected the inflation and economic uncertainty in Venezuela.</w:t>
      </w:r>
    </w:p>
    <w:p>
      <w:pPr>
        <w:spacing w:after="0" w:line="20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For 2015, the operating results of our Venezuela operations were included in our consolidated statements of earnings. During this time, we recognized a number of currency-related remeasurement losses resulting from devaluations of the Venezuela bolivar exchange rates we historically used to source U.S. dollars for purchases of imported raw materials, packaging and other goods and services. The following table sets forth the 2015 remeasurement losses, the deconsolidation loss and historical operating results and financial position of our Venezuelan subsidiaries for the period presented: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Operating income (excluding remeasurement and deconsolidation loss)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Remeasurement loss in Q1 2015: 11.50 to 12.00 bolivars to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Loss on deconsolidation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Net monetary assets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11" w:lineRule="exact"/>
        <w:rPr>
          <w:sz w:val="20"/>
          <w:szCs w:val="20"/>
          <w:color w:val="auto"/>
        </w:rPr>
      </w:pPr>
    </w:p>
    <w:p>
      <w:pPr>
        <w:ind w:left="1260" w:hanging="455"/>
        <w:spacing w:after="0"/>
        <w:tabs>
          <w:tab w:leader="none" w:pos="1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financial position of our Venezuelan subsidiaries on December 31, 2015 prior to deconsolidation.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87"/>
        <w:spacing w:after="0"/>
        <w:rPr>
          <w:sz w:val="20"/>
          <w:szCs w:val="20"/>
          <w:color w:val="auto"/>
        </w:rPr>
      </w:pPr>
      <w:r>
        <w:rPr>
          <w:rFonts w:ascii="Arial" w:cs="Arial" w:eastAsia="Arial" w:hAnsi="Arial"/>
          <w:sz w:val="14"/>
          <w:szCs w:val="14"/>
          <w:b w:val="1"/>
          <w:bCs w:val="1"/>
          <w:color w:val="auto"/>
        </w:rPr>
        <w:t>For the Year Ended</w:t>
      </w:r>
    </w:p>
    <w:p>
      <w:pPr>
        <w:spacing w:after="0" w:line="19" w:lineRule="exact"/>
        <w:rPr>
          <w:sz w:val="20"/>
          <w:szCs w:val="20"/>
          <w:color w:val="auto"/>
        </w:rPr>
      </w:pPr>
    </w:p>
    <w:p>
      <w:pPr>
        <w:ind w:left="67"/>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436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347"/>
        <w:spacing w:after="0"/>
        <w:rPr>
          <w:sz w:val="20"/>
          <w:szCs w:val="20"/>
          <w:color w:val="auto"/>
        </w:rPr>
      </w:pPr>
      <w:r>
        <w:rPr>
          <w:rFonts w:ascii="Arial" w:cs="Arial" w:eastAsia="Arial" w:hAnsi="Arial"/>
          <w:sz w:val="14"/>
          <w:szCs w:val="14"/>
          <w:b w:val="1"/>
          <w:bCs w:val="1"/>
          <w:color w:val="auto"/>
        </w:rPr>
        <w:t>(in millions)</w:t>
      </w:r>
    </w:p>
    <w:p>
      <w:pPr>
        <w:spacing w:after="0" w:line="80" w:lineRule="exact"/>
        <w:rPr>
          <w:sz w:val="20"/>
          <w:szCs w:val="20"/>
          <w:color w:val="auto"/>
        </w:rPr>
      </w:pPr>
    </w:p>
    <w:p>
      <w:pPr>
        <w:ind w:left="1027" w:hanging="1027"/>
        <w:spacing w:after="0"/>
        <w:tabs>
          <w:tab w:leader="none" w:pos="10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1,217</w:t>
      </w:r>
    </w:p>
    <w:p>
      <w:pPr>
        <w:spacing w:after="0" w:line="9"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266</w:t>
      </w:r>
    </w:p>
    <w:p>
      <w:pPr>
        <w:spacing w:after="0" w:line="9" w:lineRule="exact"/>
        <w:rPr>
          <w:rFonts w:ascii="Arial" w:cs="Arial" w:eastAsia="Arial" w:hAnsi="Arial"/>
          <w:sz w:val="18"/>
          <w:szCs w:val="18"/>
          <w:color w:val="auto"/>
        </w:rPr>
      </w:pPr>
    </w:p>
    <w:p>
      <w:pPr>
        <w:ind w:left="1227"/>
        <w:spacing w:after="0"/>
        <w:rPr>
          <w:rFonts w:ascii="Arial" w:cs="Arial" w:eastAsia="Arial" w:hAnsi="Arial"/>
          <w:sz w:val="18"/>
          <w:szCs w:val="18"/>
          <w:color w:val="auto"/>
        </w:rPr>
      </w:pPr>
      <w:r>
        <w:rPr>
          <w:rFonts w:ascii="Arial" w:cs="Arial" w:eastAsia="Arial" w:hAnsi="Arial"/>
          <w:sz w:val="17"/>
          <w:szCs w:val="17"/>
          <w:color w:val="auto"/>
        </w:rPr>
        <w:t>(11)</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(778)</w:t>
      </w:r>
    </w:p>
    <w:p>
      <w:pPr>
        <w:spacing w:after="0" w:line="159" w:lineRule="exact"/>
        <w:rPr>
          <w:sz w:val="20"/>
          <w:szCs w:val="20"/>
          <w:color w:val="auto"/>
        </w:rPr>
      </w:pPr>
    </w:p>
    <w:p>
      <w:pPr>
        <w:jc w:val="center"/>
        <w:ind w:right="73"/>
        <w:spacing w:after="0"/>
        <w:rPr>
          <w:sz w:val="20"/>
          <w:szCs w:val="20"/>
          <w:color w:val="auto"/>
        </w:rPr>
      </w:pPr>
      <w:r>
        <w:rPr>
          <w:rFonts w:ascii="Arial" w:cs="Arial" w:eastAsia="Arial" w:hAnsi="Arial"/>
          <w:sz w:val="14"/>
          <w:szCs w:val="14"/>
          <w:b w:val="1"/>
          <w:bCs w:val="1"/>
          <w:color w:val="auto"/>
        </w:rPr>
        <w:t>As of</w:t>
      </w:r>
    </w:p>
    <w:p>
      <w:pPr>
        <w:jc w:val="center"/>
        <w:ind w:right="73"/>
        <w:spacing w:after="0" w:line="184" w:lineRule="auto"/>
        <w:rPr>
          <w:sz w:val="20"/>
          <w:szCs w:val="20"/>
          <w:color w:val="auto"/>
        </w:rPr>
      </w:pPr>
      <w:r>
        <w:rPr>
          <w:rFonts w:ascii="Arial" w:cs="Arial" w:eastAsia="Arial" w:hAnsi="Arial"/>
          <w:sz w:val="13"/>
          <w:szCs w:val="13"/>
          <w:b w:val="1"/>
          <w:bCs w:val="1"/>
          <w:u w:val="single" w:color="auto"/>
          <w:color w:val="auto"/>
        </w:rPr>
        <w:t xml:space="preserve">December 31, 2015 </w:t>
      </w:r>
      <w:r>
        <w:rPr>
          <w:rFonts w:ascii="Arial" w:cs="Arial" w:eastAsia="Arial" w:hAnsi="Arial"/>
          <w:sz w:val="22"/>
          <w:szCs w:val="22"/>
          <w:b w:val="1"/>
          <w:bCs w:val="1"/>
          <w:u w:val="single" w:color="auto"/>
          <w:color w:val="auto"/>
          <w:vertAlign w:val="superscript"/>
        </w:rPr>
        <w:t>(1)</w:t>
      </w:r>
    </w:p>
    <w:p>
      <w:pPr>
        <w:spacing w:after="0" w:line="1" w:lineRule="exact"/>
        <w:rPr>
          <w:sz w:val="20"/>
          <w:szCs w:val="20"/>
          <w:color w:val="auto"/>
        </w:rPr>
      </w:pPr>
    </w:p>
    <w:p>
      <w:pPr>
        <w:ind w:left="347"/>
        <w:spacing w:after="0"/>
        <w:rPr>
          <w:sz w:val="20"/>
          <w:szCs w:val="20"/>
          <w:color w:val="auto"/>
        </w:rPr>
      </w:pPr>
      <w:r>
        <w:rPr>
          <w:rFonts w:ascii="Arial" w:cs="Arial" w:eastAsia="Arial" w:hAnsi="Arial"/>
          <w:sz w:val="14"/>
          <w:szCs w:val="14"/>
          <w:b w:val="1"/>
          <w:bCs w:val="1"/>
          <w:color w:val="auto"/>
        </w:rPr>
        <w:t>(in millions)</w:t>
      </w:r>
    </w:p>
    <w:p>
      <w:pPr>
        <w:spacing w:after="0" w:line="76" w:lineRule="exact"/>
        <w:rPr>
          <w:sz w:val="20"/>
          <w:szCs w:val="20"/>
          <w:color w:val="auto"/>
        </w:rPr>
      </w:pPr>
    </w:p>
    <w:p>
      <w:pPr>
        <w:ind w:left="1187" w:hanging="1187"/>
        <w:spacing w:after="0"/>
        <w:tabs>
          <w:tab w:leader="none" w:pos="11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611</w:t>
      </w:r>
    </w:p>
    <w:p>
      <w:pPr>
        <w:spacing w:after="0" w:line="9"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405</w:t>
      </w:r>
    </w:p>
    <w:p>
      <w:pPr>
        <w:spacing w:after="0" w:line="9"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658</w:t>
      </w:r>
    </w:p>
    <w:p>
      <w:pPr>
        <w:spacing w:after="0" w:line="563" w:lineRule="exact"/>
        <w:rPr>
          <w:sz w:val="20"/>
          <w:szCs w:val="20"/>
          <w:color w:val="auto"/>
        </w:rPr>
      </w:pPr>
    </w:p>
    <w:p>
      <w:pPr>
        <w:sectPr>
          <w:pgSz w:w="11900" w:h="16838" w:orient="portrait"/>
          <w:cols w:equalWidth="0" w:num="2">
            <w:col w:w="9093" w:space="720"/>
            <w:col w:w="1567"/>
          </w:cols>
          <w:pgMar w:left="240" w:top="459" w:right="279" w:bottom="1440" w:gutter="0" w:footer="0" w:header="0"/>
          <w:type w:val="continuous"/>
        </w:sectPr>
      </w:pPr>
    </w:p>
    <w:p>
      <w:pPr>
        <w:ind w:right="20"/>
        <w:spacing w:after="0" w:line="237" w:lineRule="auto"/>
        <w:rPr>
          <w:sz w:val="20"/>
          <w:szCs w:val="20"/>
          <w:color w:val="auto"/>
        </w:rPr>
      </w:pPr>
      <w:r>
        <w:rPr>
          <w:rFonts w:ascii="Arial" w:cs="Arial" w:eastAsia="Arial" w:hAnsi="Arial"/>
          <w:sz w:val="18"/>
          <w:szCs w:val="18"/>
          <w:color w:val="auto"/>
        </w:rPr>
        <w:t>Beginning in 2016, we no longer included net revenues, earnings or net assets of our Venezuelan subsidiaries within our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In early 2018, the profitability and cash flows of our local operations significantly deteriorated following the issuance of new government price controls. We are engaging with authorities on the pricing restrictions, however, if the situation is not resolved, it could significantly impede our ability to continue to operate in Venezuela.</w:t>
      </w:r>
    </w:p>
    <w:p>
      <w:pPr>
        <w:spacing w:after="0" w:line="14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approximately 160 countries and have operations in over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these exposures. Some of the countries in which we do business have recently experienced periods of significant economic uncertainty and exchange rate volatility, including Brazil, China, Mexico, Russia, United Kingdom (Brexit), Turkey, Egypt, Nigeria and South Africa. We continue to monitor operations, currencies and net monetary exposures in these countries. At this time, we do not anticipate a risk to our operating results from changing to highly inflationary accounting in these countries.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$1.0 billion. Under the program, we may sell eligible short-term trade receivables to the bank in exchange for cash. We then continue to collect the receivables sold, acting solely as a collecting agent on behalf of the bank. The outstanding principal amount of receivables under this arrangement amounted to $804 million as of December 31, 2017, $ 644 million as of December 31, 2016 and $ 570 million as of December 31, 2015. The incremental cost of factoring receivables under this arrangement were no more than $6 million in each of the years presented. The proceeds from the sales of receivables are included in cash from operating activities in the consolidated statements of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Calendar Change:</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moving toward a common consolidation date across the Company, in the first quarter of 2015, we changed the consolidation date for our North America segment from the last Saturday of each period to the last calendar day of each period. The change had a favorable impact of $76 million on net revenues and $36 million on operating income in 2015. As a result of this change, each of our operating subsidiaries now reports results as of the last calendar day of the period.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We value our inventory using the average cost method. We also record inventory allowances for overstock and obsolete inventories due to ingredient and packaging changes.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review long-lived assets, including amortizable intangible assets, for realizability on an ongoing basis. Changes in depreciation, generally accelerated depreciation, are determined and recorded when estimates of the remaining useful lives or residual values of long-term assets change. We also review for impairment when conditions exist that indicate the carrying amount of the assets may not be fully recoverable. In those circumstances, we perform undiscounted operating cash flow analyses to determine if an impairment exists. When testing for asset impairment, we group assets and liabilities at the lowest level for which cash flows are separately identifiable.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 Any significant impairment losses would be recorded within asset impairment and exit costs in the consolidated statements of earnings.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historically annually tested goodwill and non-amortizable intangible assets for impairment as of October 1. In 2017, we voluntarily changed the annual impairment assessment date from October 1 to July 1. We believe this measurement date, which represents a change in the method of applying an accounting principle, is preferable because it better aligns with our strategic business planning process and financial forecasts, which are key components of the annual impairment tests. The change in the measurement date did not delay, accelerate or prevent an impairment charge. Each quarter, we have evaluated goodwill and intangible asset impairment risks and recognized any related impairments to date. As such, the change in the annual test date was applied on July 1, 2017.</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This year, for our Europe and North America reporting units, we used a market-based, weighted-average cost of capital of 7.2% to discount the projected cash flows of those operations. For our Latin America and AMEA reporting units, we used a risk-rated discount rate of 10.2%. Estimating the fair value of individual reporting units requires us to make assumptions and estimates regarding our future plans, industry and economic conditions, and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20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fair value, we consider the asset impaired and reduce its carrying value to the estimated fair value. We amortize definite-lived intangible assets over their estimated useful lives and evaluate them for impairment as we do other long-lived assets.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disclosed in Note 16,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 shipment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We account for product shipping, handling and insurance as fulfillment activities with revenues for these activities recorded within net revenue and costs recorded within cost of sales. Any taxes collected on behalf of government authorities are excluded from net revenues. A small percentage of our net revenues relates to the licensing of our intellectual property, predominantly brand and trade names, and we record these revenues over the license term.</w:t>
      </w:r>
    </w:p>
    <w:p>
      <w:pPr>
        <w:spacing w:after="0" w:line="2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principally on historical utilization and redemption rates. Estimates that affect revenue, such as trade incentives and product returns, are monitored and adjusted each period until the incentives or product returns are realized.</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Key sales terms, such as pricing and quantities ordered, are established on a very frequent basis such that most customer arrangements and related incentives have a one year or shorter duration. As such, we do not capitalize contract inception costs and we capitalize product fulfillment costs in accordance with U.S. GAAP and our inventory policies. We do not have any significant unbilled receivables at the end of any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1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promote our products with marketing and advertising programs. These programs include, but are not limited to, cooperative advertising, in-store displays and consumer marketing promotions. For interim reporting purposes, advertising and consumer promotion expenses are charged to operations as a percentage of volume, based on estimated sales volume and estimated program spending. We do not defer costs on our year-end consolidated balance sheet and all marketing and advertising costs are recorded as an expense in the year incurred. Advertising expense was $1,248 million in 2017, $1,396 million in 2016 and $1,542 million in 2015. We expense product research and development costs as incurred. Research and development expense was $ 366 million in 2017, $376 million in 2016 and $409 million in 2015. We record marketing and advertising as well as research and development expenses within selling, general and administrative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Stock-based compensation awarded to employees and non-employee directors is valued at fair value on the grant date. We record stock-based compensation expense over the vesting period, generally three years. Forfeitures are estimated on the grant date for all of our stock-based compensation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provide a range of benefits to our current and retired employees. These include pension benefits, postretirement health care benefits and postemployment benefits depending upon jurisdiction, tenure, job level and other factors. Local statutory requirements govern many of the benefit plans we provide around the world. Local government plans generally cover health care benefits for retirees outside the United States, Canada and United Kingdom. Our U.S., Canadian and U.K. subsidiaries provide health care and other benefits to most retired employees. Our postemployment benefit plans provide primarily severance benefits for eligible salaried and certain hourly employees. The cost for these plans is recognized in earnings primarily over the working life of the covered employee.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 principally through the use of derivative instruments.</w:t>
      </w:r>
    </w:p>
    <w:p>
      <w:pPr>
        <w:spacing w:after="0" w:line="203"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 xml:space="preserve">We use a combination of primarily currency forward contracts, futures, options and swaps; commodity forward contracts, futures and options; and interest rate swaps to manage our exposure to cash flow variability, protect the value of our existing currency assets and liabilities and protect the value of our debt. See Note 8,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more information on the types of derivative instruments we use.</w:t>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record derivative financial instruments on a gross basis and at fair value in our consolidated balance sheets within other current assets or other current liabilities due to their relatively short-term duration. Cash flows from derivative instruments are classified in the consolidated statements of cash flows based on the nature of the derivative instrument. Changes in the fair value of a derivative that is designated as a cash flow hedge, to the extent that the hedge is effective, are recorded in accumulated other comprehensive earnings/(losses) and reclassified to earnings when the hedged item affects earnings. Changes in fair value of economic hedges and the ineffective portion of all hedges are recognized in current period earnings. Changes in the fair value of a derivative that is designated as a fair value hedge, along with the changes in the fair value of the related hedged asset or liability, are recorded in earnings in the same period. We use non -U.S. dollar denominated debt to hedge a portion of our net investment in non-U.S. operations against adverse movements in exchange rates, with currency movements related to the debt and net investment and the related deferred taxes recorded within currency translation adjustment in accumulated other comprehensive earnings/(losses).</w:t>
      </w:r>
    </w:p>
    <w:p>
      <w:pPr>
        <w:spacing w:after="0" w:line="20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order to qualify for hedge accounting, a specified level of hedging effectiveness between the derivative instrument and the item being hedged must exist at inception and throughout the hedged period. We must also formally document the nature of and relationship between the derivative and the hedged item, as well as our risk management objectives, strategies for undertaking the hedge transaction and method of assessing hedge effectiveness. Additionally, for a hedge of a forecasted transaction, the significant characteristics and expected term of the forecasted transaction must be specifically identified, and it must be probable that the forecasted transaction will occur. If it is no longer probable that the hedged forecasted transaction will occur, we would recognize the gain or loss related to the derivative in earnings.</w:t>
      </w:r>
    </w:p>
    <w:p>
      <w:pPr>
        <w:spacing w:after="0" w:line="2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When we use derivatives, we are exposed to credit and market risks. Credit risk exists when a counterparty to a derivative contract might fail to fulfill its performance obligations under the contract.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Market risk exists when the value of a derivative or other financial instrument might be adversely affected by changes in market conditions and commodity prices, currency exchange rates or interest rates. We manage derivative market risk by limiting the types of derivative instruments and derivative strategies we use and the degree of market risk that we plan to hedge through the use of derivative instruments.</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We enter into commodity forward contracts primarily for wheat, sugar and other sweeteners, soybean and vegetable oils and cocoa. Commodity forward contracts generally are not subject to the accounting requirements for derivative instruments and hedging activities under the normal purchases exception. We also use commodity futures and options to hedge the price of certain input costs, including cocoa, energy costs, sugar and other sweeteners, wheat, packaging, dairy, corn, and soybean and vegetable oils. We also sell commodity futures to unprice future purchase commitments, and we occasionally use related futures to cross-hedge a commodity exposure. We are not a party to leveraged derivatives and, by policy, do not use financial instruments for speculative purposes. During the third quarter of 2016, we discontinued designating commodity derivatives for hedge accounting treatment. Any unrealized gains or losses (mark-to-market impacts) and realized gains or losses are recorded in earnings.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Currency exchange derivatives</w:t>
      </w:r>
      <w:r>
        <w:rPr>
          <w:rFonts w:ascii="Arial" w:cs="Arial" w:eastAsia="Arial" w:hAnsi="Arial"/>
          <w:sz w:val="18"/>
          <w:szCs w:val="18"/>
          <w:color w:val="auto"/>
        </w:rPr>
        <w:t>. We use various financial instruments to mitigate our exposure to changes in exchange rates from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intercompany current and forecasted transactions. These instruments may include currency exchange forward contracts, futures, options and swaps. Based on the size and location of our businesses, we use these instruments to hedge our exposure to certain currencies, including the euro, pound sterling, Swiss franc, Canadian dollar and Mexican peso. During the third quarter of 2016, we discontinued designating currency exchange derivatives for hedge accounting treatment. Any unrealized gains or losses (mark-to-market impacts) and realized gains or losses are recorded in earnings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Interest rate cash flow and fair value hedges</w:t>
      </w:r>
      <w:r>
        <w:rPr>
          <w:rFonts w:ascii="Arial" w:cs="Arial" w:eastAsia="Arial" w:hAnsi="Arial"/>
          <w:sz w:val="18"/>
          <w:szCs w:val="18"/>
          <w:color w:val="auto"/>
        </w:rPr>
        <w:t>. We manage interest rate volatility by modifying the pricing or maturity characteristics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so that the net impact on expense is not, on a material basis, adversely affected by movements in interest rates. As a result of interest rate fluctuations, hedged fixed-rate liabilities appreciate or depreciate in market value. We expect the effect of this unrealized appreciation or depreciation to be substantially offset by our gains or losses on the derivative instruments that are linked to these hedged liabilities. We use derivative instruments, including interest rate swaps that have indices related to the pricing of specific liabilities as part of our interest rate risk management strategy. As a matter of policy, we do not use highly leveraged derivative instruments for interest rate risk management. We use interest rate swaps to economically convert a portion of our fixed-rate debt into variable-rate debt. Under the interest rate swap contracts, we agree with other parties to exchange, at specified intervals, the difference between fixed-rate and floating-rate interest amounts, which is calculated based on an agreed-upon notional amount. We use interest rate swaps to hedge the variability of interest payment cash flows on a portion of our future debt obligations. We also execute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w:t>
      </w:r>
    </w:p>
    <w:p>
      <w:pPr>
        <w:spacing w:after="0" w:line="184"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exposed to changes and volatility in currency exchange rates. We use local currency denominated debt to hedge our non-U.S. net investments against adverse movements in exchange rates. We designated our euro, pound sterling and Swiss franc denominated borrowings as a net investment hedge of a portion of our overall European operations. The gains and losses on our net investment in these designated European operations are economically offset by losses and gains on our euro, pound sterling and Swiss franc denominated borrowings. The change in the debt’s value, net of deferred taxes, is recorded in the currency translation adjustment component of accumulated other comprehensive earnings/(losses).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We monitor for changes in tax laws and reflect the impacts of tax law changes in the period of enactment. In response to the United States tax reform legislation enacted on December 22, 2017 (“U.S. tax reform”), the U.S. Securities and Exchange Commission (“SEC”) issued guidance that allows us to record provisional amounts for the impacts of U.S. tax reform if the full accounting cannot be completed before we file our 2017 financial statements. For provisions of the tax law where we are unable to make a reasonable estimate of the impact, the guidance allows us to continue to apply the historical tax provisions in computing our income tax liability and deferred tax assets and liabilities as of December 31, 2017. The guidance also allows us to finalize accounting for the U.S. tax reform changes within one year of the December 22, 2017 enactment date. See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on how we recorded the impacts of the U.S. tax reform.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August 2017, the Financial Accounting Standards Board (“FASB”) issued an Accounting Standards Update (“ASU”) to simplify the application of hedge accounting and increase the transparency of hedge results. The updated standard changes how companies can assess the effectiveness of their hedging relationships. For cash flow and net investment hedges as of the adoption date, the ASU requires a modified retrospective transition approach. Presentation and disclosure requirements related to this ASU are required prospectively. The ASU is effective for fiscal years beginning after December 15, 2018, with early adoption permitted. We intend to early adopt this standard in the first quarter of 2018 and we do not expect it to have a significant impact on our consolidated financial statements, including the cumulative-effect adjustment required upon adoption.</w:t>
      </w:r>
    </w:p>
    <w:p>
      <w:pPr>
        <w:spacing w:after="0" w:line="203"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In May 2017, the FASB issued an ASU to clarify when changes to the terms or conditions of a share-based payment award must be accounted for as modifications. The ASU is applied prospectively to awards that are modified on or after the adoption date. The ASU is effective for fiscal years beginning after December 15, 2017, with early adoption permitted. We will adopt the standard on January 1, 2018 and we do not expect a material impact to our consolidated financial statements.</w:t>
      </w:r>
    </w:p>
    <w:p>
      <w:pPr>
        <w:spacing w:after="0" w:line="202" w:lineRule="exact"/>
        <w:rPr>
          <w:sz w:val="20"/>
          <w:szCs w:val="20"/>
          <w:color w:val="auto"/>
        </w:rPr>
      </w:pPr>
    </w:p>
    <w:p>
      <w:pPr>
        <w:jc w:val="both"/>
        <w:ind w:right="280"/>
        <w:spacing w:after="0" w:line="237" w:lineRule="auto"/>
        <w:rPr>
          <w:sz w:val="20"/>
          <w:szCs w:val="20"/>
          <w:color w:val="auto"/>
        </w:rPr>
      </w:pPr>
      <w:r>
        <w:rPr>
          <w:rFonts w:ascii="Arial" w:cs="Arial" w:eastAsia="Arial" w:hAnsi="Arial"/>
          <w:sz w:val="18"/>
          <w:szCs w:val="18"/>
          <w:color w:val="auto"/>
        </w:rPr>
        <w:t>In March 2017, the FASB issued an ASU to amend the amortization period for certain purchased callable debt securities held at a premium, shortening the period to the earliest call date instead of the maturity date. The standard does not impact securities held at a discount as the discount continues to be amortized to maturity. The ASU is applied on a modified retrospective basis through a cumulative-effect adjustment directly to retained earnings as of the beginning of the period of adoption. The ASU is effective for fiscal years beginning after December 15, 2018, with early adoption permitted. We will adopt the standard on January 1, 2019. We do not expect a material impact to our consolidated financial statements.</w:t>
      </w:r>
    </w:p>
    <w:p>
      <w:pPr>
        <w:spacing w:after="0" w:line="20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In March 2017, the FASB issued an ASU to improve the presentation of net periodic pension cost and net periodic postretirement benefit cost. The standard requires employers to disaggregate the service cost component from the other components of net benefit cost and disclose the amount and location where the net benefit cost is recorded in the income statement or capitalized in assets. The standard is to be applied on a retrospective basis for the change in presentation in the income statement and prospectively for the change in presentation on the balance sheet. The ASU is effective for fiscal years beginning after December 15, 2017, with early adoption permitted. We will adopt the standard on January 1, 2018. We will reclassify net benefit costs other than service costs below operating income, with no impact to our net earnings. For information on our service cost and other components of net periodic benefit cost for pension, postretirement benefit and postemployment plans,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2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January 2017, the FASB issued an ASU that clarifies the definition of a business with the objective of adding guidance to assist companies with evaluating whether transactions should be accounted for as acquisitions or disposals of assets or businesses. The definition of a business may affect many areas of accounting including acquisitions, disposals, goodwill and consolidation. The ASU is applied on a prospective basis and is effective for fiscal years beginning after December 15, 2017, with early adoption permitted. We will adopt this standard on January 1, 2018 and we do not expect a material impact to our consolidated financial statements.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November 2016, the FASB issued an ASU that requires the change in restricted cash or cash equivalents to be included with other changes in cash and cash equivalents in the statement of cash flows. The ASU is effective for fiscal years beginning after December 15, 2017, with early adoption permitted. We will adopt this standard on January 1, 2018 and we do not expect a material impact on our consolidated statements of cash flows.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October 2016, the FASB issued an ASU that requires the recognition of tax consequences of intercompany asset transfers other than inventory when the transfer occurs and removes the exception to postpone recognition until the asset has been sold to an outside party. The standard is to be applied on a modified retrospective basis through a cumulative-effect adjustment directly to retained earnings. The ASU is effective for fiscal years beginning after December 15, 2017, with early adoption permitted. We will adopt this standard on January 1, 2018 and we do not expect a material impact to our consolidated financial statements.</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August 2016, the FASB issued an ASU to provide guidance on eight specific cash flow classification issues and reduce diversity in practice in how some cash receipts and cash payments are presented and classified in the statement of cash flows. The ASU is effective for fiscal years beginning after December 15, 2017, with early adoption permitted. We will adopt this standard on January 1, 2018 and we do not expect a material impact to our consolidated financial statements.</w:t>
      </w:r>
    </w:p>
    <w:p>
      <w:pPr>
        <w:spacing w:after="0" w:line="20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The ASU is effective for fiscal years beginning after December 15, 2018, with early adoption permitted. We anticipate adopting the new standard on January 1, 2019. We continue to make progress in our due diligence and assess the impact of the new standard across our operations and on our consolidated financial statements, which will consist primarily of recording lease assets and liabilities on our balance sheet for our operating leases.</w:t>
      </w:r>
    </w:p>
    <w:p>
      <w:pPr>
        <w:spacing w:after="0" w:line="20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We will adopt this standard on January 1, 2018 and we do not expect a material impact to our consolidated financial statements.</w:t>
      </w:r>
    </w:p>
    <w:p>
      <w:pPr>
        <w:spacing w:after="0" w:line="20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with early adoption permitted as of the original effective date (annual reporting periods beginning after December 15, 2016). The ASU may be applied retrospectively to historical periods presented or as a cumulative-effect adjustment as of the date of adoption. We adopted the new standard on January 1, 2018 on a full retrospective basis. There was no material financial impact from adopting the new revenue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JDE. Through March 7, 2016, we held a 43.5% interest in JDE. Following the March 7, 2016 exchange of a portion of our investment in JDE for an interest in Keurig, we held a 26.5% equity interest in JDE. (See discussion under </w:t>
      </w:r>
      <w:r>
        <w:rPr>
          <w:rFonts w:ascii="Arial" w:cs="Arial" w:eastAsia="Arial" w:hAnsi="Arial"/>
          <w:sz w:val="18"/>
          <w:szCs w:val="18"/>
          <w:i w:val="1"/>
          <w:iCs w:val="1"/>
          <w:color w:val="auto"/>
        </w:rPr>
        <w:t>Keurig Transaction</w:t>
      </w:r>
      <w:r>
        <w:rPr>
          <w:rFonts w:ascii="Arial" w:cs="Arial" w:eastAsia="Arial" w:hAnsi="Arial"/>
          <w:sz w:val="18"/>
          <w:szCs w:val="18"/>
          <w:color w:val="auto"/>
        </w:rPr>
        <w:t xml:space="preserve"> below.) The remaining 73.5% equity interest in JDE was held by a subsidiary of Acorn Holdings B.V. (“AHBV,” owner of DEMB prior to July 2, 2015). Following the transactions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discussed under </w:t>
      </w:r>
      <w:r>
        <w:rPr>
          <w:rFonts w:ascii="Arial" w:cs="Arial" w:eastAsia="Arial" w:hAnsi="Arial"/>
          <w:sz w:val="18"/>
          <w:szCs w:val="18"/>
          <w:i w:val="1"/>
          <w:iCs w:val="1"/>
          <w:color w:val="auto"/>
        </w:rPr>
        <w:t>JDE Stock-Based Compensation Arrangements</w:t>
      </w:r>
      <w:r>
        <w:rPr>
          <w:rFonts w:ascii="Arial" w:cs="Arial" w:eastAsia="Arial" w:hAnsi="Arial"/>
          <w:sz w:val="18"/>
          <w:szCs w:val="18"/>
          <w:color w:val="auto"/>
        </w:rPr>
        <w:t xml:space="preserve"> below, as of December 31, 2017, we hold a 26.5% voting interest, a 26.4%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ownership interest and a 26.2% profit and dividend sharing interest in JDE. We recorded JDE equity earnings of $129 million in 2017 and</w:t>
      </w:r>
    </w:p>
    <w:p>
      <w:pPr>
        <w:spacing w:after="0" w:line="234" w:lineRule="auto"/>
        <w:rPr>
          <w:sz w:val="20"/>
          <w:szCs w:val="20"/>
          <w:color w:val="auto"/>
        </w:rPr>
      </w:pPr>
      <w:r>
        <w:rPr>
          <w:rFonts w:ascii="Arial" w:cs="Arial" w:eastAsia="Arial" w:hAnsi="Arial"/>
          <w:sz w:val="18"/>
          <w:szCs w:val="18"/>
          <w:color w:val="auto"/>
        </w:rPr>
        <w:t>$100 million in 2016 and equity losses of $58 million in 2015. We also recorded $49 million of cash dividends received during the first quarter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consideration we received in the JDE coffee business transactions completed on July 2, 2015 consisted of €3.8 billion of cash ($4.2 billion as of July 2, 2015), a 43.5% equity interest in JDE and $794 million in receivables (related to sales price adjustments and tax formation cost payments). During the third quarter of 2015, we also recorded $283 million of cash and receivables from JDE related to reimbursement of costs that we incurred in separating our coffee businesses. The cash and equity consideration we received at closing reflects our retaining our interest in our Korea-based joint venture, DSF. During the second quarter of 2015, we also completed the sale of our interest in a Japanese coffee joint venture, Ajinomoto General Foods, Inc. (“AGF”). In lieu of contributing our interest in the AGF joint venture to JDE, we contributed the net cash proceeds from this sale as part of the overall JDE coffee business transactions.</w:t>
      </w:r>
    </w:p>
    <w:p>
      <w:pPr>
        <w:spacing w:after="0" w:line="16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July 5, 2016, we received an expected cash payment of $275 million from JDE to settle the receivable related to tax formation costs that were part of the initial sales price.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contribution of our global coffee businesses to JDE on July 2, 2015, we recorded a final pre-tax gain of $6.8 billion (or</w:t>
      </w:r>
    </w:p>
    <w:p>
      <w:pPr>
        <w:ind w:right="20"/>
        <w:spacing w:after="0" w:line="236" w:lineRule="auto"/>
        <w:rPr>
          <w:sz w:val="20"/>
          <w:szCs w:val="20"/>
          <w:color w:val="auto"/>
        </w:rPr>
      </w:pPr>
      <w:r>
        <w:rPr>
          <w:rFonts w:ascii="Arial" w:cs="Arial" w:eastAsia="Arial" w:hAnsi="Arial"/>
          <w:sz w:val="18"/>
          <w:szCs w:val="18"/>
          <w:color w:val="auto"/>
        </w:rPr>
        <w:t>$6.6 billion after-tax) in 2015 after final adjustments described below. As previously reported, we deconsolidated net assets totaling $2.9 billion and reduced accumulated other comprehensive losses for the transfer of coffee business-related pension obligations by $90 million. We also recorded approximately $1.0 billion of pre-tax net gains related to hedging the expected cash proceeds from the transactions as described further below. During the fourth quarter of 2015, we and JDE concluded negotiations of a sales price adjustment and completed the valuation of our investment in JDE. Primarily due to the negotiated resolution of the sales price adjustment in the fourth quarter of 2015, we recorded a $313 million reduction in the pre-tax gain on the coffee transaction, reducing the $ 7.1 billion estimated gain in the third quarter of 2015 to the $6.8 billion final gain for 2015. As part of our sales price negotiations, we retained the right to collect future cash payments if certain estimated pension liabilities are realized over an agreed amount in the future. As such, we may recognize additional income related to this negotiated term in the future.</w:t>
      </w:r>
    </w:p>
    <w:p>
      <w:pPr>
        <w:spacing w:after="0" w:line="16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The final value of our 43.5%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agreed to divest to comply with the conditioned approval by the European Commission related to the JDE coffee business transactions. As of the end of the first quarter of 2016, these businesses were sold by JDE. As the July 2, 2015 fair values for these businesses were recorded by JDE at their pending sales values, we did not record any gain or loss on the sales of these businesses in our share of JDE’s earnings.</w:t>
      </w:r>
    </w:p>
    <w:p>
      <w:pPr>
        <w:spacing w:after="0" w:line="16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2014 and 2015, in connection with the expected receipt of cash in euros at the time of closing, we entered into a number of consecutive currency exchange forward contracts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and the transfer of the sale proceeds to our subsidiaries that deconsolidated net assets and shares, we recognized a net gain of $436 million in 2015 within interest and other expense, net.</w:t>
      </w:r>
    </w:p>
    <w:p>
      <w:pPr>
        <w:spacing w:after="0" w:line="16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also incurred incremental expenses related to readying our global coffee businesses for the transactions that totaled $278 million for the year ended December 31, 2015. Of these total expenses, $123 million was recorded within asset impairment and exit costs in 2015 and the remainder was recorded within selling, general and administrative expenses of primarily our Europe segment, as well as within general corporate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Capital Increase:</w:t>
      </w:r>
    </w:p>
    <w:p>
      <w:pPr>
        <w:spacing w:after="0" w:line="1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On December 18, 2015, AHBV and we agreed to provide JDE additional capital to pay down some of its debt with lenders. Our pro rata share of the capital increase was €499 million ($544 million as of December 18, 2015) and was made in return for a pro rata number of additional shares in JDE such that our ownership in JDE did not change following the capital increase. To fund our share of the capital increase, we contributed €460 million ($501 million) of JDE receivables and made a €39 million ($43 million) cash payment.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and vested stock-based compensation awards granted to, JDE employees. Under these arrangements, share ownership dilution from the JDE Class C, D and E shareholders is limited to 2%. We retained our 26.5% voting rights and have a slightly lower portion of JDE’s profits and dividends than our shareholder ownership interest as certain employee shareholders receive a slightly larger share. Upon execution of the agreements and the creation of the Class C, D and E JDE shares, as a percentage of the total JDE issued shares, our Class B shares decreased from 26.5% to 26.4% and AHBV’s Class A shares decreased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relative ownership interests will decrease. Based on estimated achievement and forfeiture assumptions, we do not expect our JDE ownership interest to decrease below 26.27%.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Tax Matter Resolution:</w:t>
      </w:r>
    </w:p>
    <w:p>
      <w:pPr>
        <w:spacing w:after="0" w:line="1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July 19, 2016, the Supreme Court of Spain reached a final resolution on a challenged JDE tax position held by a predecessor DEMB company that resulted in an unfavorable tax expense of €114 million. As a result, our share of JDE’s equity earnings during the third quarter of 2016 was negatively affected by €30 million ($34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March 3, 2016, a subsidiary of AHBV completed a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the equity method investment exchange in March 2016. Immediately following the exchange, our ownership interest in JDE was 26.5% and our interest in Keurig was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consolidated balance sheet as of December 31, 2017. The shareholder loan has a 5.5% interest rate and is payable at the end of a seven-year term on February 27, 2023. We recorded Keurig equity earnings of $208 million in 2017 (of which, approximately $119 million relates to the provisional tax benefit Keurig recorded as a result of U.S. tax reform), and $77 million in 2016. We recorded shareholder loan interest of $24 million in 2017 and $20 million in 2016. Additionally, we received shareholder loan interest payments of $30 million in 2017 and $14 million in 2016 and dividends of $14 million in 2017 and $4 million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Keurig Dr Pepper Transaction</w:t>
      </w:r>
      <w:r>
        <w:rPr>
          <w:rFonts w:ascii="Arial" w:cs="Arial" w:eastAsia="Arial" w:hAnsi="Arial"/>
          <w:sz w:val="18"/>
          <w:szCs w:val="18"/>
          <w:color w:val="auto"/>
        </w:rPr>
        <w:t>:</w:t>
      </w:r>
    </w:p>
    <w:p>
      <w:pPr>
        <w:spacing w:after="0" w:line="14"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On January 29, 2018, we announced that we would exchange our ownership interest in Keurig for equity in Keurig Dr Pepper, which is contingent upon the successful completion of a planned merger of Keurig with Dr Pepper Snapple Group, Inc. Following the close of the merger in mid-2018, we expect our ownership in Keurig Dr Pepper to be 13-14%. We expect to account for this new investment under the equity method as we have for Keurig, resulting in our recognizing our share of their earnings within our earnings and our share of their dividends within our cash flows. We will have the right to nominate two directors to the board of Keurig Dr Pepper and will have certain governance rights over Keurig Dr Pepper following the transaction.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JDE, Keurig, DSF and our other equity method investments is reflected below.</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7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center"/>
              <w:ind w:right="33"/>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38,282</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35,089</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39,547</w:t>
            </w: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5,822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15,424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16,472</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21,246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20,620</w:t>
            </w:r>
          </w:p>
        </w:tc>
        <w:tc>
          <w:tcPr>
            <w:tcW w:w="0" w:type="dxa"/>
            <w:vAlign w:val="bottom"/>
          </w:tcPr>
          <w:p>
            <w:pPr>
              <w:spacing w:after="0"/>
              <w:rPr>
                <w:sz w:val="1"/>
                <w:szCs w:val="1"/>
                <w:color w:val="auto"/>
              </w:rPr>
            </w:pPr>
          </w:p>
        </w:tc>
      </w:tr>
      <w:tr>
        <w:trPr>
          <w:trHeight w:val="95"/>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shareowners of investees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18,868</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Equity attributable to noncontrolling interests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15"/>
        </w:trPr>
        <w:tc>
          <w:tcPr>
            <w:tcW w:w="7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net equity of investees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18,927</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Mondelēz International ownership interests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Mondelēz International share of investee net equity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Keurig shareholder loan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6"/>
        </w:trPr>
        <w:tc>
          <w:tcPr>
            <w:tcW w:w="7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center"/>
              <w:ind w:right="33"/>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4,891</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95"/>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investees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Mondelēz International ownership interests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24%-50%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24%-50%</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40%-50%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Mondelēz International share of investee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Keurig shareholder loan interest income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Equity method investment net earnings </w:t>
            </w:r>
            <w:r>
              <w:rPr>
                <w:rFonts w:ascii="Arial" w:cs="Arial" w:eastAsia="Arial" w:hAnsi="Arial"/>
                <w:sz w:val="15"/>
                <w:szCs w:val="15"/>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540" w:hanging="335"/>
        <w:spacing w:after="0" w:line="241" w:lineRule="auto"/>
        <w:tabs>
          <w:tab w:leader="none" w:pos="11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approximately $360 million of basis differences between the U.S. GAAP accounting basis for our equity method investments and the U.S. GAAP accounting basis of our investees’ equity.</w:t>
      </w:r>
    </w:p>
    <w:p>
      <w:pPr>
        <w:ind w:left="1140" w:right="160" w:hanging="335"/>
        <w:spacing w:after="0" w:line="245" w:lineRule="auto"/>
        <w:tabs>
          <w:tab w:leader="none" w:pos="11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after-tax equity method investment earnings outside of operating income. For the six months ended December 31, 2015, after-tax equity method investment net earnings were less than $1 million on a combined basis. Earnings from equity method investments recorded within segment operating income were $56 million for the six months ended July 2, 2015. See Note 1, </w:t>
      </w:r>
      <w:r>
        <w:rPr>
          <w:rFonts w:ascii="Arial" w:cs="Arial" w:eastAsia="Arial" w:hAnsi="Arial"/>
          <w:sz w:val="14"/>
          <w:szCs w:val="14"/>
          <w:i w:val="1"/>
          <w:iCs w:val="1"/>
          <w:color w:val="auto"/>
        </w:rPr>
        <w:t>Summary of Significant Accounting Policies – Principles of Consolidation,</w:t>
      </w:r>
      <w:r>
        <w:rPr>
          <w:rFonts w:ascii="Arial" w:cs="Arial" w:eastAsia="Arial" w:hAnsi="Arial"/>
          <w:sz w:val="14"/>
          <w:szCs w:val="14"/>
          <w:color w:val="auto"/>
        </w:rPr>
        <w:t xml:space="preserve"> for additional information.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1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On December 28, 2017, we completed the sale of a confectionery business in Japan. We received cash proceeds of ¥2.8 billion Japanese Yen ($24 million as of December 28, 2017) and recorded an immaterial pre-tax loss on the divestiture within our AMEA segment.</w:t>
      </w:r>
    </w:p>
    <w:p>
      <w:pPr>
        <w:spacing w:after="0" w:line="19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October 2, 2017, we completed the sale of one of our equity method investments and received cash proceeds of $65 million. We recorded a pre-tax gain of $40 million within the gain on equity method investment transactions and $15 million of tax expense.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connection with the 2012 spin-off of Kraft Foods Group, Inc. (now a part of The Kraft Heinz Company (“KHC”)), Kraft Foods Group and we each granted the other various licenses to use certain trademarks in connection with particular product categories in specified jurisdictions. On August 17, 2017, we entered into two agreements with KHC to terminate the licenses of certain KHC-owned brands used in our grocery business within our Europe region and to transfer to KHC inventory and certain other assets. On August 17, 2017, the first transaction closed and we received cash proceeds of €9 million ($11 million as of August 17, 2017) and on October 23, 2017, the second transaction closed and we received cash proceeds of €2 million ($3 million as of October 23, 2017). The gain on both transactions combined was immaterial.</w:t>
      </w:r>
    </w:p>
    <w:p>
      <w:pPr>
        <w:spacing w:after="0" w:line="21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We divested $ 27 million of current assets, $135 million of non-current assets and $4 million of current liabilities based on the July 4, 2017 exchange rate. We recorded a pre-tax gain of $247 million Australian dollars ($187 million as of July 4, 2017) on the sale. We also recorded divestiture-related costs of $2 million and a foreign currency hedge loss of $3 million during 2017. In the fourth quarter of 2017, we recorded a $3 million inventory-related working capital adjustment, increasing the pre-tax gain to $190 million in 2017.</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We received cash of approximately €157 million ($169 million as of April 28, 2017), net of cash divested with the businesses. On April 28, 2017, we divested $44 million of current assets, $155 million of non-current assets, $8 million of current liabilities and $22 million of non-current liabilities based on the April 28, 2017 exchange rate. We recorded a $3 million loss on the sale and divestiture-related costs of $27 million in 2017 and $84 million in 2016. These divestiture-related costs were recorded within cost of sales and selling, general and administrative expenses primarily within our Europe segment. In prior periods, we recorded a $5 million impairment charge in May 2016 for a candy trademark to reduce the overall net assets to the estimated net sales proceeds after transaction costs. On March 31, 2016, we recorded a $14 million impairment charge for another gum &amp; candy trademark as a portion of its carrying value would not be recoverable based on future cash flows expected under a planned license agreement with the buyer.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we also completed the following sale transactions:</w:t>
      </w:r>
    </w:p>
    <w:p>
      <w:pPr>
        <w:ind w:left="900" w:right="40" w:hanging="325"/>
        <w:spacing w:after="0" w:line="245"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December 31, 2016, we completed the sale of a chocolate factory in Belgium. In connection with this transaction, we recorded a pre-tax loss of €65 million ($68 million as of December 31, 2016), within asset impairment and exit costs in our Europe segment. The loss includes a fixed asset impairment charge of €30 million ($31 million as of December 31, 2016), a loss on disposal of</w:t>
      </w:r>
    </w:p>
    <w:p>
      <w:pPr>
        <w:ind w:left="900" w:right="60"/>
        <w:spacing w:after="0" w:line="242" w:lineRule="auto"/>
        <w:rPr>
          <w:rFonts w:ascii="Arial" w:cs="Arial" w:eastAsia="Arial" w:hAnsi="Arial"/>
          <w:sz w:val="18"/>
          <w:szCs w:val="18"/>
          <w:color w:val="auto"/>
        </w:rPr>
      </w:pPr>
      <w:r>
        <w:rPr>
          <w:rFonts w:ascii="Arial" w:cs="Arial" w:eastAsia="Arial" w:hAnsi="Arial"/>
          <w:sz w:val="18"/>
          <w:szCs w:val="18"/>
          <w:color w:val="auto"/>
        </w:rPr>
        <w:t>€22 million ($23 million as of December 31, 2016) and incremental expenses we incurred and accrued of €13 million ($14 million as of December 31, 2016) related to selling the factory.</w:t>
      </w:r>
    </w:p>
    <w:p>
      <w:pPr>
        <w:spacing w:after="0" w:line="1" w:lineRule="exact"/>
        <w:rPr>
          <w:rFonts w:ascii="Arial" w:cs="Arial" w:eastAsia="Arial" w:hAnsi="Arial"/>
          <w:sz w:val="18"/>
          <w:szCs w:val="18"/>
          <w:color w:val="auto"/>
        </w:rPr>
      </w:pPr>
    </w:p>
    <w:p>
      <w:pPr>
        <w:ind w:left="900" w:right="60" w:hanging="325"/>
        <w:spacing w:after="0" w:line="23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December 1, 2016, we completed the sale of a confectionery business in Costa Rica represented by a local brand. The sales price was $28 million and we recorded a pre-tax gain of $9 million within gains on divestiture within our Latin America segment. We divested approximately $11 million of property, plant and equipment, $4 million of goodwill and $2 million of inventory. In connection with this transaction, we incurred $2 million of transaction costs and accrued expenses.</w:t>
      </w:r>
    </w:p>
    <w:p>
      <w:pPr>
        <w:spacing w:after="0" w:line="3" w:lineRule="exact"/>
        <w:rPr>
          <w:rFonts w:ascii="Arial" w:cs="Arial" w:eastAsia="Arial" w:hAnsi="Arial"/>
          <w:sz w:val="18"/>
          <w:szCs w:val="18"/>
          <w:color w:val="auto"/>
        </w:rPr>
      </w:pPr>
    </w:p>
    <w:p>
      <w:pPr>
        <w:ind w:left="900" w:right="320" w:hanging="325"/>
        <w:spacing w:after="0" w:line="23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August 26, 2016, we recorded a $7 million gain for the sale of a U.S.-owned biscuit trademark. The gain was recorded within selling, general and administrative expenses in 2016.</w:t>
      </w:r>
    </w:p>
    <w:p>
      <w:pPr>
        <w:spacing w:after="0" w:line="1" w:lineRule="exact"/>
        <w:rPr>
          <w:rFonts w:ascii="Arial" w:cs="Arial" w:eastAsia="Arial" w:hAnsi="Arial"/>
          <w:sz w:val="18"/>
          <w:szCs w:val="18"/>
          <w:color w:val="auto"/>
        </w:rPr>
      </w:pPr>
    </w:p>
    <w:p>
      <w:pPr>
        <w:ind w:left="900" w:right="240" w:hanging="325"/>
        <w:spacing w:after="0" w:line="241"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May 2, 2016, we completed the sale of certain local biscuit brands in Finland as part of our strategic decisions to exit select small and local brands and shift investment towards our Power Brands. The sales price was €14 million ($16 million as of May 2, 2016) and we recorded a pre-tax gain of $6 million ($5 million after tax) within selling, general and administrative expenses of our Europe segment in the year ended December 31, 2016. We divested $8 million of indefinite-lived intangible assets and less than $1 million of other assets. We received cash proceeds of €12 million ($14 million as of May 2, 2016) upon closing and another</w:t>
      </w:r>
    </w:p>
    <w:p>
      <w:pPr>
        <w:ind w:left="900" w:right="100"/>
        <w:spacing w:after="0" w:line="262" w:lineRule="auto"/>
        <w:rPr>
          <w:rFonts w:ascii="Arial" w:cs="Arial" w:eastAsia="Arial" w:hAnsi="Arial"/>
          <w:sz w:val="18"/>
          <w:szCs w:val="18"/>
          <w:color w:val="auto"/>
        </w:rPr>
      </w:pPr>
      <w:r>
        <w:rPr>
          <w:rFonts w:ascii="Arial" w:cs="Arial" w:eastAsia="Arial" w:hAnsi="Arial"/>
          <w:sz w:val="18"/>
          <w:szCs w:val="18"/>
          <w:color w:val="auto"/>
        </w:rPr>
        <w:t>€2 million ($2 million as of October 31, 2016) of consideration following the completion of post-closing requirements. The additional $2 million of consideration increased the pre-tax gain to $8 million ($6 million after tax) through December 31, 2016.</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November 2, 2016, we purchased from Burton’s Biscuit Company certain intangibles, which included the license to manufacture, market and sell Cadbury-branded biscuits in additional key markets around the world, including in the United Kingdom, France, Ireland, North America and Saudi Arabia. The transaction was accounted for as a business combination. Total cash paid for the acquired assets was £199 million ($245 million as of November 2, 2016). During the third quarter of 2017, we completed the valuation work and finalized the purchase price allocation of $66 million to definite-lived intangible assets, $173 million to goodwill, $2 million to property, plant and equipment and $ 4 million to inventory, reflecting a November 2, 2016 exchange rate. The acquisition added incremental net revenues of $59 million in 2017 and $16 million in 2016 and added incremental operating income of $8 million in 2017 and $1 million in 2016.</w:t>
      </w:r>
    </w:p>
    <w:p>
      <w:pPr>
        <w:spacing w:after="0" w:line="203"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During the third quarter of 2016, we completed the acquisition of a Vietnamese biscuit operation within our AMEA segment. On July 15, 2015, we acquired an 80% interest in the biscuit operation and on August 22, 2016, we acquired the remaining 20% interest. Total cash paid for the biscuit operation, intellectual property, non-compete and consulting agreements less purchase price adjustments was 12,404 billion Vietnamese dong ($ 569 million using applicable exchange rates on July 15, 2015, November 27, 2015 and August 22, 2016). On August 22, 2016, in connection with acquiring the remaining 20% interest in the biscuit operation, escrowed funds of $70 million were released and we retained an agreed $20 million related to two outstanding acquisition-related matters. We subsequently released $5 million in 2016 and</w:t>
      </w:r>
    </w:p>
    <w:p>
      <w:pPr>
        <w:spacing w:after="0" w:line="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$9 million in 2017 to the sellers and expect to pay $4 million within five years as remaining indemnified obligations are resolved. On August 22, 2016, we also made a final payment of 759 billion Vietnamese dong ($35 million as of August 22, 2016) for the non-compete and consulting agreements. The non-compete and consulting agreements were recorded as prepaid contracts within other current and non-current assets and will be amortized into net earnings over the term of the agreements. During the third quarter of 2016, we also finalized the valuation and purchase price allocation of the acquired net assets of the business, which included $10 million of inventory, $49 million of property, plant and equipment, $86 million of intangible assets, $385 million of goodwill and $31 million of other net liabilities. In periods following the initial July 15, 2015 first closing date, the allocation of the net asset fair values had an immaterial impact on our operating results. The acquisition added incremental net revenues of $71 million in 2016 and $121 million in 2015 and added incremental operating income of $5 million in 2016 and $21 million in 2015. Within selling, general and administrative expenses, we recorded integration costs of $7 million in 2016 and $9 million in 2015 and acquisition costs of $7 million in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Property:</w:t>
      </w:r>
    </w:p>
    <w:p>
      <w:pPr>
        <w:spacing w:after="0" w:line="14"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On November 9, 2016, we completed the sale of a manufacturing plant in Russia and recorded total expenses of $12 million, including a related fixed asset impairment charge of $4 million within asset impairments and exit costs. The sale of the land, buildings and equipment generated cash proceeds of $6 million.</w:t>
      </w:r>
    </w:p>
    <w:p>
      <w:pPr>
        <w:spacing w:after="0" w:line="20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2016, we also sold property within our North America segment and from our centrally held corporate assets. In the third quarter of 2016, we sold property in North America that generated cash proceeds of $10 million and a pre-tax gain of $6 million and we sold a corporate aircraft hangar that generated cash proceeds of $3 million and a pre-tax gain of $ 1 million. In the second quarter of 2016, we also sold property within our North America segment and from our centrally held corporate assets. The North America sale generated cash proceeds of $ 40 million and a pre-tax gain of $33 million. The corporate aircraft sale generated cash proceeds of $ 20 million and a pre-tax gain of $6 million. The gains were recorded within selling, general and administrative expenses and cash proceeds were recorded in cash flows from other investing activities in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160" w:type="dxa"/>
            <w:vAlign w:val="bottom"/>
          </w:tcPr>
          <w:p>
            <w:pPr>
              <w:spacing w:after="0"/>
              <w:rPr>
                <w:sz w:val="6"/>
                <w:szCs w:val="6"/>
                <w:color w:val="auto"/>
              </w:rPr>
            </w:pPr>
          </w:p>
        </w:tc>
        <w:tc>
          <w:tcPr>
            <w:tcW w:w="4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Finished product</w:t>
            </w:r>
          </w:p>
        </w:tc>
        <w:tc>
          <w:tcPr>
            <w:tcW w:w="4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Inventory reserves</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5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840" w:type="dxa"/>
            <w:vAlign w:val="bottom"/>
            <w:vMerge w:val="restart"/>
          </w:tcPr>
          <w:p>
            <w:pPr>
              <w:jc w:val="right"/>
              <w:ind w:right="2850"/>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8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8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2,801</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10,302</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r>
      <w:tr>
        <w:trPr>
          <w:trHeight w:val="216"/>
        </w:trPr>
        <w:tc>
          <w:tcPr>
            <w:tcW w:w="8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14,687</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(6,458)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120" w:type="dxa"/>
            <w:vAlign w:val="bottom"/>
            <w:shd w:val="clear" w:color="auto" w:fill="CCEEFF"/>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Capital expenditures as presented on the statement of cash flow were $1.0 billion, $1.2 billion and $1.5 billion for the years ending December 31, 2017, 2016 and 2015 and excluded $357 million, $343 million and $322 million for accrued capital expenditures not yet paid.</w:t>
      </w:r>
    </w:p>
    <w:p>
      <w:pPr>
        <w:spacing w:after="0" w:line="19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of $206 million in 2017, $301 million in 2016 and $264 million in 2015 (see Note 6, </w:t>
      </w:r>
      <w:r>
        <w:rPr>
          <w:rFonts w:ascii="Arial" w:cs="Arial" w:eastAsia="Arial" w:hAnsi="Arial"/>
          <w:sz w:val="18"/>
          <w:szCs w:val="18"/>
          <w:i w:val="1"/>
          <w:iCs w:val="1"/>
          <w:color w:val="auto"/>
        </w:rPr>
        <w:t>2014-2018</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 Program</w:t>
      </w:r>
      <w:r>
        <w:rPr>
          <w:rFonts w:ascii="Arial" w:cs="Arial" w:eastAsia="Arial" w:hAnsi="Arial"/>
          <w:sz w:val="18"/>
          <w:szCs w:val="18"/>
          <w:color w:val="auto"/>
        </w:rPr>
        <w:t>). These charges related to property, plant and equipment were recorded in the consolidated statements of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asset impairment and exit costs and in the segment results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4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4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AMEA</w:t>
            </w: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North America</w:t>
            </w: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8"/>
                <w:szCs w:val="18"/>
                <w:color w:val="auto"/>
              </w:rPr>
              <w:t>Non-cash property, plant and equipment write-downs</w:t>
            </w:r>
          </w:p>
        </w:tc>
        <w:tc>
          <w:tcPr>
            <w:tcW w:w="1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24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206</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301</w:t>
            </w:r>
          </w:p>
        </w:tc>
        <w:tc>
          <w:tcPr>
            <w:tcW w:w="6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1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300" w:type="dxa"/>
            <w:vAlign w:val="bottom"/>
            <w:gridSpan w:val="2"/>
          </w:tcPr>
          <w:p>
            <w:pPr>
              <w:spacing w:after="0"/>
              <w:rPr>
                <w:sz w:val="20"/>
                <w:szCs w:val="20"/>
                <w:color w:val="auto"/>
              </w:rPr>
            </w:pPr>
            <w:r>
              <w:rPr>
                <w:rFonts w:ascii="Arial" w:cs="Arial" w:eastAsia="Arial" w:hAnsi="Arial"/>
                <w:sz w:val="18"/>
                <w:szCs w:val="18"/>
                <w:color w:val="auto"/>
              </w:rPr>
              <w:t>Goodwill by reportable operating segment was:</w:t>
            </w: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AMEA</w:t>
            </w: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620"/>
              <w:spacing w:after="0"/>
              <w:rPr>
                <w:sz w:val="20"/>
                <w:szCs w:val="20"/>
                <w:color w:val="auto"/>
              </w:rPr>
            </w:pPr>
            <w:r>
              <w:rPr>
                <w:rFonts w:ascii="Arial" w:cs="Arial" w:eastAsia="Arial" w:hAnsi="Arial"/>
                <w:sz w:val="18"/>
                <w:szCs w:val="18"/>
                <w:color w:val="auto"/>
              </w:rPr>
              <w:t>3,371</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7,880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North America</w:t>
            </w: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8,933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60" w:type="dxa"/>
            <w:vAlign w:val="bottom"/>
            <w:vMerge w:val="restart"/>
          </w:tcPr>
          <w:p>
            <w:pPr>
              <w:jc w:val="right"/>
              <w:ind w:right="1250"/>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8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8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Non-amortizable intangible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17,671</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17,004</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r>
      <w:tr>
        <w:trPr>
          <w:trHeight w:val="216"/>
        </w:trPr>
        <w:tc>
          <w:tcPr>
            <w:tcW w:w="8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19,319</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(1,218)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120" w:type="dxa"/>
            <w:vAlign w:val="bottom"/>
            <w:shd w:val="clear" w:color="auto" w:fill="CCEEFF"/>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pacing w:after="0" w:line="2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Amortization expense for intangible assets was $178 million in 2017, $176 million in 2016 and $181 million in 2015. For the next five years, we estimate annual amortization expense of approximately $175 million for the next three years and approximately $85 million in years four and five, reflecting December 31, 2017 exchange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94"/>
              <w:spacing w:after="0" w:line="143" w:lineRule="exact"/>
              <w:rPr>
                <w:sz w:val="20"/>
                <w:szCs w:val="20"/>
                <w:color w:val="auto"/>
              </w:rPr>
            </w:pPr>
            <w:r>
              <w:rPr>
                <w:rFonts w:ascii="Arial" w:cs="Arial" w:eastAsia="Arial" w:hAnsi="Arial"/>
                <w:sz w:val="14"/>
                <w:szCs w:val="14"/>
                <w:b w:val="1"/>
                <w:bCs w:val="1"/>
                <w:color w:val="auto"/>
              </w:rPr>
              <w:t>Intangible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92"/>
              <w:spacing w:after="0" w:line="143"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Goodwill</w:t>
            </w:r>
          </w:p>
        </w:tc>
        <w:tc>
          <w:tcPr>
            <w:tcW w:w="4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Assets, at cost</w:t>
            </w:r>
          </w:p>
        </w:tc>
        <w:tc>
          <w:tcPr>
            <w:tcW w:w="16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Goodwill</w:t>
            </w:r>
          </w:p>
        </w:tc>
        <w:tc>
          <w:tcPr>
            <w:tcW w:w="42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19,847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Changes due to:</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21,085</w:t>
            </w:r>
          </w:p>
        </w:tc>
        <w:tc>
          <w:tcPr>
            <w:tcW w:w="12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20,057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20,276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ind w:left="900" w:right="20" w:hanging="325"/>
        <w:spacing w:after="0" w:line="23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Divestitures – During 2017, in connection with the divestiture of several manufacturing facilities, primarily in France, we divested $23 million of goodwill and $62 million of amortizable and non-amortizable intangible assets. In 2017, we also completed a sale of most of our grocery business in Australia and New Zealand and divested $86 million of related goodwill. Furthermore, we completed a sale of a confectionery business in Japan and divested $5 million of goodwill and $24 million of definite lived intangible assets. Finally, we divested $14 million of definite lived intangible asset as part of our sale of one of our equity method investments. During 2016, we divested $4 million of goodwill related to the sale of a confectionery business in Costa Rica and we sold $8 million of non-amortizable intangible assets in Finland.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5" w:lineRule="exact"/>
        <w:rPr>
          <w:rFonts w:ascii="Arial" w:cs="Arial" w:eastAsia="Arial" w:hAnsi="Arial"/>
          <w:sz w:val="18"/>
          <w:szCs w:val="18"/>
          <w:color w:val="auto"/>
        </w:rPr>
      </w:pPr>
    </w:p>
    <w:p>
      <w:pPr>
        <w:ind w:left="900" w:hanging="325"/>
        <w:spacing w:after="0" w:line="23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Acquisitions – During 2017, we recorded a $15 million adjustment to goodwill and a $7 million adjustment to indefinite lived assets in connection with finalizing the valuation and purchase price allocation for the Burton’s Biscuit Company purchase completed in the fourth quarter of 2016. In connection with the completion of the purchase of a Vietnam biscuit operation in 2016, we finalized the purchase price allocation of the consideration paid to the net assets acquired and recorded $25 million of amortizable intangible assets and $61 million of non-amortizable intangible assets related to acquired trademarks and customer-related intangible assets. A preliminary goodwill balance was recorded in 2015 and subsequently adjusted by $76 million to $385 million in 2016 to reflect finalized intangible asset and other asset fair valuations.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80" w:hanging="325"/>
        <w:spacing w:after="0" w:line="23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Asset impairments – We recorded $109 million of intangible asset impairments in 2017, $137 million in 2016 and $83 million in 2015. Charges related to our annual testing of non-amortizable intangible assets were $70 million in 2017, $98 million in 2016 and $71 million in 2015. During 2017, we also recorded a $38 million intangible asset impairment charge resulting from a category decline and lower than expected product growth related to a gum trademark in our North America segment and a $1 million intangible asset impairment charge related to a transaction. In 2016, we also recorded $20 million of impairment charges within our Europe segment related to the planned sale of a confectionery business in France (see Note 2, </w:t>
      </w:r>
      <w:r>
        <w:rPr>
          <w:rFonts w:ascii="Arial" w:cs="Arial" w:eastAsia="Arial" w:hAnsi="Arial"/>
          <w:sz w:val="18"/>
          <w:szCs w:val="18"/>
          <w:i w:val="1"/>
          <w:iCs w:val="1"/>
          <w:color w:val="auto"/>
        </w:rPr>
        <w:t>Divestitures and Acquisitions –</w:t>
      </w:r>
      <w:r>
        <w:rPr>
          <w:rFonts w:ascii="Arial" w:cs="Arial" w:eastAsia="Arial" w:hAnsi="Arial"/>
          <w:sz w:val="18"/>
          <w:szCs w:val="18"/>
          <w:color w:val="auto"/>
        </w:rPr>
        <w:t xml:space="preserve"> </w:t>
      </w: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 for additional information) and we also recorded $19 million of charges in our Europe,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 AMEA segments resulting from the discontinuation of four biscuit products and one candy product. In 2015, we recorded $12 million of impairment charges within the loss on deconsolidation of Venezuela related to a biscuit trademark.</w:t>
      </w:r>
    </w:p>
    <w:p>
      <w:pPr>
        <w:spacing w:after="0" w:line="2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historically annually tested goodwill and non-amortizable intangible assets for impairment as of October 1. This year, we voluntarily changed the annual impairment assessment date from October 1 to July 1. We believe this measurement date, which represents a change in the method of applying an accounting principle, is preferable because it better aligns with our strategic business planning process and financial forecasts, which are key components of the annual impairment tests. The change in the measurement date did not delay, accelerate or prevent an impairment charge. Each quarter, we have evaluated goodwill and intangible asset impairment risks and recognized any related impairments to date. As such, the change in the annual test date was applied on July 1, 2017.</w:t>
      </w:r>
    </w:p>
    <w:p>
      <w:pPr>
        <w:spacing w:after="0" w:line="20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 2017, 2016 and 2015,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During our 2017 annual testing of non-amortizable intangible assets, we recorded $70 million of impairment charges in the third quarter related to five trademarks. We also noted thirteen brands, including the five impaired trademarks, with $963 million of aggregate book value as of December 31, 2017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2014-2018 Restructuring Program</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May 6, 2014, our Board of Directors approved a $3.5 billion restructuring program and up to $2.2 billion of capital expenditures. On August 31, 2016, our Board of Directors approved a $600 million reallocation between restructuring program cash costs and capital expenditures so that now the $5.7 billion program consists of approximately $4.1 billion of restructuring program costs ($3.1 billion cash costs and $1 billion non-cash costs) and up to $1.6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$3.3 billion related to the 2014-2018 Restructuring Program. We expect to incur the full $4.1 billion of program charges by year-end 2018.</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1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We recorded restructuring charges of $535 million in 2017, $ 714 million in 2016 and $711 million in 2015 within asset impairment and exit costs. The 2014-2018 Restructuring Program liability activity for the years ended December 31, 2017 and 2016 was:</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and related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5"/>
                <w:szCs w:val="15"/>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Write-downs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Liability balance, January 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Liability balance, December 31, 2016</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464</w:t>
            </w:r>
          </w:p>
        </w:tc>
        <w:tc>
          <w:tcPr>
            <w:tcW w:w="36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Cash spent</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settlements/adjustments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Currency</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Liability balance,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We spent $347 million in 2017 and $315 million in 2016 in cash severance and related costs. We also recognized non-cash pension settlement losses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totaling $215 million in 2017 and $321 million in 2016. At December 31, 2017, $412 million of our net restructuring liability was recorded within other current liabilities and $52 million was recorded within other long-term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$257 million in 2017, $372 million in 2016 and $291 million in 2015. We recorded these costs within cost of sales and general corporate expense within selling, general and administrative expenses.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During 2017, 2016 and 2015, and since inception of the 2014-2018 Restructuring Program, we recorded restructuring and implementation costs within operating income by segment (as revised to reflect our current segment structure)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Latin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AMEA</w:t>
            </w:r>
          </w:p>
        </w:tc>
        <w:tc>
          <w:tcPr>
            <w:tcW w:w="14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Europe</w:t>
            </w:r>
          </w:p>
        </w:tc>
        <w:tc>
          <w:tcPr>
            <w:tcW w:w="160" w:type="dxa"/>
            <w:vAlign w:val="bottom"/>
          </w:tcPr>
          <w:p>
            <w:pPr>
              <w:spacing w:after="0"/>
              <w:rPr>
                <w:sz w:val="15"/>
                <w:szCs w:val="15"/>
                <w:color w:val="auto"/>
              </w:rPr>
            </w:pPr>
          </w:p>
        </w:tc>
        <w:tc>
          <w:tcPr>
            <w:tcW w:w="1000" w:type="dxa"/>
            <w:vAlign w:val="bottom"/>
            <w:gridSpan w:val="3"/>
          </w:tcPr>
          <w:p>
            <w:pPr>
              <w:jc w:val="right"/>
              <w:ind w:right="20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04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 xml:space="preserve">Corporate </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Restructuring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Restructuring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Restructuring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Project 2014-2017 </w:t>
            </w:r>
            <w:r>
              <w:rPr>
                <w:rFonts w:ascii="Arial" w:cs="Arial" w:eastAsia="Arial" w:hAnsi="Arial"/>
                <w:sz w:val="11"/>
                <w:szCs w:val="11"/>
                <w:b w:val="1"/>
                <w:bCs w:val="1"/>
                <w:color w:val="auto"/>
              </w:rPr>
              <w:t>(3)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Restructuring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800" w:right="460" w:hanging="346"/>
        <w:spacing w:after="0" w:line="241" w:lineRule="auto"/>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During 2017 and 2016, our North America region implementation costs included incremental costs that we incurred related to renegotiating collective bargaining agreements that expired at the end of February 2016 for eight U.S. facilities and related to executing business continuity plans for the North America business.</w:t>
      </w:r>
    </w:p>
    <w:p>
      <w:pPr>
        <w:ind w:left="800" w:hanging="346"/>
        <w:spacing w:after="0"/>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800" w:hanging="346"/>
        <w:spacing w:after="0"/>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December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4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2"/>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720"/>
              <w:spacing w:after="0" w:line="143" w:lineRule="exact"/>
              <w:rPr>
                <w:sz w:val="20"/>
                <w:szCs w:val="20"/>
                <w:color w:val="auto"/>
              </w:rPr>
            </w:pPr>
            <w:r>
              <w:rPr>
                <w:rFonts w:ascii="Arial" w:cs="Arial" w:eastAsia="Arial" w:hAnsi="Arial"/>
                <w:sz w:val="14"/>
                <w:szCs w:val="14"/>
                <w:b w:val="1"/>
                <w:bCs w:val="1"/>
                <w:color w:val="auto"/>
              </w:rPr>
              <w:t>Amount</w:t>
            </w:r>
          </w:p>
        </w:tc>
        <w:tc>
          <w:tcPr>
            <w:tcW w:w="920" w:type="dxa"/>
            <w:vAlign w:val="bottom"/>
          </w:tcPr>
          <w:p>
            <w:pPr>
              <w:jc w:val="right"/>
              <w:ind w:right="41"/>
              <w:spacing w:after="0" w:line="143" w:lineRule="exact"/>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2"/>
                <w:szCs w:val="12"/>
                <w:color w:val="auto"/>
              </w:rPr>
            </w:pPr>
          </w:p>
        </w:tc>
        <w:tc>
          <w:tcPr>
            <w:tcW w:w="92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r>
      <w:tr>
        <w:trPr>
          <w:trHeight w:val="175"/>
        </w:trPr>
        <w:tc>
          <w:tcPr>
            <w:tcW w:w="4900" w:type="dxa"/>
            <w:vAlign w:val="bottom"/>
          </w:tcPr>
          <w:p>
            <w:pPr>
              <w:spacing w:after="0"/>
              <w:rPr>
                <w:sz w:val="15"/>
                <w:szCs w:val="15"/>
                <w:color w:val="auto"/>
              </w:rPr>
            </w:pPr>
          </w:p>
        </w:tc>
        <w:tc>
          <w:tcPr>
            <w:tcW w:w="15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Outstanding</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Average Rate</w:t>
            </w:r>
          </w:p>
        </w:tc>
        <w:tc>
          <w:tcPr>
            <w:tcW w:w="280" w:type="dxa"/>
            <w:vAlign w:val="bottom"/>
          </w:tcPr>
          <w:p>
            <w:pPr>
              <w:spacing w:after="0"/>
              <w:rPr>
                <w:sz w:val="15"/>
                <w:szCs w:val="15"/>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5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Average Rate</w:t>
            </w:r>
          </w:p>
        </w:tc>
      </w:tr>
      <w:tr>
        <w:trPr>
          <w:trHeight w:val="184"/>
        </w:trPr>
        <w:tc>
          <w:tcPr>
            <w:tcW w:w="490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80"/>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3,410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2,371</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Bank loans</w:t>
            </w:r>
          </w:p>
        </w:tc>
        <w:tc>
          <w:tcPr>
            <w:tcW w:w="1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107</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10.6%</w:t>
            </w:r>
          </w:p>
        </w:tc>
      </w:tr>
      <w:tr>
        <w:trPr>
          <w:trHeight w:val="27"/>
        </w:trPr>
        <w:tc>
          <w:tcPr>
            <w:tcW w:w="4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3,517</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2,531</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of December 31, 2017, commercial paper issued and outstanding had between 2 and 75 days remaining to maturity. Commercial paper borrowings increased since the 2016 year-end primarily as a result of issuances to finance the payment of long-term debt maturities, dividend payments and share repurchases during the year.</w:t>
      </w:r>
    </w:p>
    <w:p>
      <w:pPr>
        <w:spacing w:after="0" w:line="203"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Bank loans include borrowings on primarily uncommitted credit lines maintained by some of our international subsidiaries to meet short-term working capital needs. Collectively, these credit lines amounted to $ 2.0 billion at December 31, 2017 and $1.8 billion at December 31, 2016. Borrowings on these lines were $107 million at December 31, 2017 and $160 million at December 31, 2016.</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 March 1, 2017, to supplement our commercial paper program, we entered into a $1.5 billion revolving credit agreement for a 364-day senior unsecured credit facility that is scheduled to expire on February 28, 2018. The agreement includes the same terms and conditions as our existing $4.5 billion multi-year credit facility discussed below. As of December 31, 2017, no amounts were drawn on the facility.</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December 31, 2017, we complied with this covenant as our shareholders’ equity, as defined by the covenant, was $36.1 billion. The revolving credit facility agreement also contains customary representations, covenants and events of default. There are no credit rating triggers, provisions or other financial covenants that could require us to post collateral as security. As of December 31, 2017, no amounts were drawn on the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2017):</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39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8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dollar notes, 1.385% to 7.000% (weighted-average effective rate 3.414%),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due through 2040</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8,327</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rPr>
              <w:t>Euro notes, 1.000% to 2.375% (weighted-average effective rate 1.930%),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3" w:lineRule="exact"/>
              <w:rPr>
                <w:sz w:val="20"/>
                <w:szCs w:val="20"/>
                <w:color w:val="auto"/>
              </w:rPr>
            </w:pPr>
            <w:r>
              <w:rPr>
                <w:rFonts w:ascii="Arial" w:cs="Arial" w:eastAsia="Arial" w:hAnsi="Arial"/>
                <w:sz w:val="18"/>
                <w:szCs w:val="18"/>
                <w:color w:val="auto"/>
              </w:rPr>
              <w:t>due through 2035</w:t>
            </w: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3,653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Pound sterling notes, 3.875% to 7.250% (weighted-average effective rate 4.441%),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due through 2045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rPr>
              <w:t>Swiss franc notes, 0.050% to 1.125% (weighted-average effective rate 0.627%),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3" w:lineRule="exact"/>
              <w:rPr>
                <w:sz w:val="20"/>
                <w:szCs w:val="20"/>
                <w:color w:val="auto"/>
              </w:rPr>
            </w:pPr>
            <w:r>
              <w:rPr>
                <w:rFonts w:ascii="Arial" w:cs="Arial" w:eastAsia="Arial" w:hAnsi="Arial"/>
                <w:sz w:val="18"/>
                <w:szCs w:val="18"/>
                <w:color w:val="auto"/>
              </w:rPr>
              <w:t>due through 2025</w:t>
            </w: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1,694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 and other obligations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12,972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Deferred debt issuance costs of $33 million as of December 31, 2017 and $40 million as of December 31, 2016 are netted against the related debt in the table above. Deferred financing costs related to our revolving credit facility are classified in long-term other assets and were immaterial for all periods presented.</w:t>
      </w:r>
    </w:p>
    <w:p>
      <w:pPr>
        <w:spacing w:after="0" w:line="20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of December 31, 2017, aggregate maturities of our debt and capital leases based on stated contractual maturities, excluding unamortized non-cash bond premiums, discounts, bank fees and mark-to-market adjustments of $(64) million, were (in millions):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13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4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3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8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Thereafter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10"/>
        </w:trPr>
        <w:tc>
          <w:tcPr>
            <w:tcW w:w="1380" w:type="dxa"/>
            <w:vAlign w:val="bottom"/>
            <w:tcBorders>
              <w:top w:val="single" w:sz="8" w:color="auto"/>
            </w:tcBorders>
          </w:tcPr>
          <w:p>
            <w:pPr>
              <w:jc w:val="right"/>
              <w:ind w:right="339"/>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18"/>
                <w:szCs w:val="18"/>
                <w:color w:val="auto"/>
              </w:rPr>
            </w:pPr>
          </w:p>
        </w:tc>
        <w:tc>
          <w:tcPr>
            <w:tcW w:w="1400" w:type="dxa"/>
            <w:vAlign w:val="bottom"/>
            <w:tcBorders>
              <w:top w:val="single" w:sz="8" w:color="auto"/>
            </w:tcBorders>
          </w:tcPr>
          <w:p>
            <w:pPr>
              <w:jc w:val="right"/>
              <w:ind w:right="339"/>
              <w:spacing w:after="0"/>
              <w:rPr>
                <w:sz w:val="20"/>
                <w:szCs w:val="20"/>
                <w:color w:val="auto"/>
              </w:rPr>
            </w:pPr>
            <w:r>
              <w:rPr>
                <w:rFonts w:ascii="Arial" w:cs="Arial" w:eastAsia="Arial" w:hAnsi="Arial"/>
                <w:sz w:val="18"/>
                <w:szCs w:val="18"/>
                <w:color w:val="auto"/>
              </w:rPr>
              <w:t>$2,651</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rPr>
              <w:t>$3,373</w:t>
            </w:r>
          </w:p>
        </w:tc>
        <w:tc>
          <w:tcPr>
            <w:tcW w:w="200" w:type="dxa"/>
            <w:vAlign w:val="bottom"/>
          </w:tcPr>
          <w:p>
            <w:pPr>
              <w:spacing w:after="0"/>
              <w:rPr>
                <w:sz w:val="18"/>
                <w:szCs w:val="18"/>
                <w:color w:val="auto"/>
              </w:rPr>
            </w:pPr>
          </w:p>
        </w:tc>
        <w:tc>
          <w:tcPr>
            <w:tcW w:w="1280" w:type="dxa"/>
            <w:vAlign w:val="bottom"/>
            <w:tcBorders>
              <w:top w:val="single" w:sz="8" w:color="auto"/>
            </w:tcBorders>
          </w:tcPr>
          <w:p>
            <w:pPr>
              <w:jc w:val="right"/>
              <w:ind w:right="359"/>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58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$5,362</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$14,199</w:t>
            </w:r>
          </w:p>
        </w:tc>
      </w:tr>
    </w:tbl>
    <w:p>
      <w:pPr>
        <w:spacing w:after="0" w:line="20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On April 12, 2017, we discharged $488 million of our 6.500% U.S. dollar-denominated debt. We paid $504 million, representing principal as well as past and future interest accruals from February 2017 through the August 2017 maturity date. We recorded an $11 million loss on debt extinguishment within interest expense and a $5 million reduction in accrued interest.</w:t>
      </w:r>
    </w:p>
    <w:p>
      <w:pPr>
        <w:spacing w:after="0" w:line="18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 xml:space="preserve">On March 30, 2017, </w:t>
      </w:r>
      <w:r>
        <w:rPr>
          <w:rFonts w:ascii="Arial" w:cs="Arial" w:eastAsia="Arial" w:hAnsi="Arial"/>
          <w:sz w:val="18"/>
          <w:szCs w:val="18"/>
          <w:i w:val="1"/>
          <w:iCs w:val="1"/>
          <w:color w:val="auto"/>
        </w:rPr>
        <w:t>fr.</w:t>
      </w:r>
      <w:r>
        <w:rPr>
          <w:rFonts w:ascii="Arial" w:cs="Arial" w:eastAsia="Arial" w:hAnsi="Arial"/>
          <w:sz w:val="18"/>
          <w:szCs w:val="18"/>
          <w:color w:val="auto"/>
        </w:rPr>
        <w:t xml:space="preserve">175 million (approximately $175 million) of our 0.000% Swiss franc-denominated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.350 million Swiss franc-denominated notes issued on March 13, 2017.</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 xml:space="preserve">On March 13, 2017, we launched an offering of </w:t>
      </w:r>
      <w:r>
        <w:rPr>
          <w:rFonts w:ascii="Arial" w:cs="Arial" w:eastAsia="Arial" w:hAnsi="Arial"/>
          <w:sz w:val="18"/>
          <w:szCs w:val="18"/>
          <w:i w:val="1"/>
          <w:iCs w:val="1"/>
          <w:color w:val="auto"/>
        </w:rPr>
        <w:t>fr</w:t>
      </w:r>
      <w:r>
        <w:rPr>
          <w:rFonts w:ascii="Arial" w:cs="Arial" w:eastAsia="Arial" w:hAnsi="Arial"/>
          <w:sz w:val="18"/>
          <w:szCs w:val="18"/>
          <w:color w:val="auto"/>
        </w:rPr>
        <w:t>.350 million of Swiss franc-denominated notes, or $349 million in U.S. dollars as of March 31, 2017, consisting of:</w:t>
      </w:r>
    </w:p>
    <w:p>
      <w:pPr>
        <w:ind w:left="900" w:hanging="325"/>
        <w:spacing w:after="0" w:line="235"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.225 million (or $224 million) of 0.050% fixed rate notes that mature on March 30, 2020</w:t>
      </w:r>
    </w:p>
    <w:p>
      <w:pPr>
        <w:ind w:left="900" w:hanging="325"/>
        <w:spacing w:after="0" w:line="23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.125 million (or $125 million) of 0.617% fixed rate notes that mature on September 30,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March 30, 2017, we received net proceeds of </w:t>
      </w:r>
      <w:r>
        <w:rPr>
          <w:rFonts w:ascii="Arial" w:cs="Arial" w:eastAsia="Arial" w:hAnsi="Arial"/>
          <w:sz w:val="18"/>
          <w:szCs w:val="18"/>
          <w:i w:val="1"/>
          <w:iCs w:val="1"/>
          <w:color w:val="auto"/>
        </w:rPr>
        <w:t>fr.</w:t>
      </w:r>
      <w:r>
        <w:rPr>
          <w:rFonts w:ascii="Arial" w:cs="Arial" w:eastAsia="Arial" w:hAnsi="Arial"/>
          <w:sz w:val="18"/>
          <w:szCs w:val="18"/>
          <w:color w:val="auto"/>
        </w:rPr>
        <w:t>349 million (or $349 million) that were used for general corporate purposes.</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On January 26, 2017, </w:t>
      </w:r>
      <w:r>
        <w:rPr>
          <w:rFonts w:ascii="Arial" w:cs="Arial" w:eastAsia="Arial" w:hAnsi="Arial"/>
          <w:sz w:val="18"/>
          <w:szCs w:val="18"/>
          <w:color w:val="auto"/>
        </w:rPr>
        <w:t>€</w:t>
      </w:r>
      <w:r>
        <w:rPr>
          <w:rFonts w:ascii="Arial" w:cs="Arial" w:eastAsia="Arial" w:hAnsi="Arial"/>
          <w:sz w:val="18"/>
          <w:szCs w:val="18"/>
          <w:color w:val="auto"/>
        </w:rPr>
        <w:t>750 million (approximately $801 million) of our 1.125% euro-denominated notes matured. The notes and accrued interest to date were paid with the issuance of commercial paper and cash on hand.</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December 16, 2016, we redeemed $850 million of 2.250% fixed rate notes, maturing on February 1, 2019, that were issued on January 16, 2014. The notes were redeemed at a redemption cost equal to $866 million, plus accrued and unpaid interest of $7 million. In connection with this redemption, during the three months ended December 31, 2016, we recorded a $19 million loss on debt extinguishment within interest and other expense, net.</w:t>
      </w:r>
    </w:p>
    <w:p>
      <w:pPr>
        <w:spacing w:after="0" w:line="2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October 31, 2016, we completed a cash tender offer and retired $3.18 billion of U.S. dollar, euro and British pound sterling-denominated notes. We financed the repurchase of the notes, including the payment of accrued interest and other costs incurred, from net proceeds received on October 28, 2016 from the $3.75 billion note issuance and the term loans described below. In connection with retiring this debt, during the three months ended December 31, 2016, we recorded a $409 million loss on debt extinguishment within interest expense related to the amount we paid to retire the debt in excess of its carrying value and from recognizing unamortized premiums and deferred financing costs in earnings at the time of the debt extinguishment. Cash costs related to tendering the debt are included in long-term debt repayments in the consolidated statement of cash flows for the year ended December 31, 2016. We also recognized $1 million in interest income related to the partial settlement of fair value hedges due to the tender.</w:t>
      </w:r>
    </w:p>
    <w:p>
      <w:pPr>
        <w:spacing w:after="0" w:line="208"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On October 19, 2016, Mondelez International Holdings Netherlands B.V. (“MIHN”), a wholly owned subsidiary of Mondelēz International, Inc., launched an offering of $3.75 billion of notes, guaranteed by Mondelēz International, Inc. The $1.75 billion of 1.625% notes and the</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$500 million of floating rate notes will mature on October 28, 2019 and the $1.5 billion of 2.0% notes will mature on October 28, 2021. On October 28, 2016, we received proceeds, net of discounts and associated financing costs, of $3.73 billion. Proceeds from the notes issuance were used for general corporate purposes, including to grant loans or make distributions to Mondelēz International, Inc. or its subsidiaries to fund the October 2016 cash tender offer and near-term debt maturities. We recorded approximately $20 million of deferred financing costs and discounts, which will be amortized into interest expense over the life of the notes. We entered into cross-currency swaps, serving as cash flow hedges, so that the U.S. dollar-denominated debt payments will effectively be paid in euros over the life of the debt.</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October 14, 2016, MIHN executed a $1.5 billion bank term loan facility. The loan facility consists of two $750 million loans, one with a three-year maturity and the other with a five-year maturity. The term loans can be drawn at any time for 60 days after signing. On October 25, 2016, we gave notice of our intent to fully draw on the loan with a five-year maturity, and funding occurred on October 28, 2016. Proceeds from the $750 million term loan may be used for general corporate purposes, including funding of the tender offer or other debt. On October 25, 2016, we also gave notice of our intent to terminate the $750 million loan with the three-year maturity.</w:t>
      </w:r>
    </w:p>
    <w:p>
      <w:pPr>
        <w:spacing w:after="0" w:line="20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 xml:space="preserve">On February 9, 2016, $1,750 million of our 4.125% U.S. dollar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 xml:space="preserve">.400 million Swiss franc-denominated notes issued on January 26, 2016 and the </w:t>
      </w:r>
      <w:r>
        <w:rPr>
          <w:rFonts w:ascii="Arial" w:cs="Arial" w:eastAsia="Arial" w:hAnsi="Arial"/>
          <w:sz w:val="18"/>
          <w:szCs w:val="18"/>
          <w:color w:val="auto"/>
        </w:rPr>
        <w:t>€</w:t>
      </w:r>
      <w:r>
        <w:rPr>
          <w:rFonts w:ascii="Arial" w:cs="Arial" w:eastAsia="Arial" w:hAnsi="Arial"/>
          <w:sz w:val="18"/>
          <w:szCs w:val="18"/>
          <w:color w:val="auto"/>
        </w:rPr>
        <w:t>700 million euro-denominated notes issued on January 21, 2016, as well as cash on hand and the issuance of commercial paper. As we refinanced $1,150 million of the matured notes with net proceeds from the long-term debt issued in January 2016, we reflected this amount within long-term debt as of December 31, 2015.</w:t>
      </w:r>
    </w:p>
    <w:p>
      <w:pPr>
        <w:spacing w:after="0" w:line="185" w:lineRule="exact"/>
        <w:rPr>
          <w:sz w:val="20"/>
          <w:szCs w:val="20"/>
          <w:color w:val="auto"/>
        </w:rPr>
      </w:pPr>
    </w:p>
    <w:p>
      <w:pPr>
        <w:ind w:right="580"/>
        <w:spacing w:after="0" w:line="245" w:lineRule="auto"/>
        <w:rPr>
          <w:sz w:val="20"/>
          <w:szCs w:val="20"/>
          <w:color w:val="auto"/>
        </w:rPr>
      </w:pPr>
      <w:r>
        <w:rPr>
          <w:rFonts w:ascii="Arial" w:cs="Arial" w:eastAsia="Arial" w:hAnsi="Arial"/>
          <w:sz w:val="18"/>
          <w:szCs w:val="18"/>
          <w:color w:val="auto"/>
        </w:rPr>
        <w:t xml:space="preserve">On January 26, 2016, we issued </w:t>
      </w:r>
      <w:r>
        <w:rPr>
          <w:rFonts w:ascii="Arial" w:cs="Arial" w:eastAsia="Arial" w:hAnsi="Arial"/>
          <w:sz w:val="18"/>
          <w:szCs w:val="18"/>
          <w:i w:val="1"/>
          <w:iCs w:val="1"/>
          <w:color w:val="auto"/>
        </w:rPr>
        <w:t>fr</w:t>
      </w:r>
      <w:r>
        <w:rPr>
          <w:rFonts w:ascii="Arial" w:cs="Arial" w:eastAsia="Arial" w:hAnsi="Arial"/>
          <w:sz w:val="18"/>
          <w:szCs w:val="18"/>
          <w:color w:val="auto"/>
        </w:rPr>
        <w:t>.400 million of Swiss franc-denominated notes, or $399 million in U.S. dollars locked in with a forward currency contract on January 12, 2016, consisting of:</w:t>
      </w:r>
    </w:p>
    <w:p>
      <w:pPr>
        <w:ind w:left="900" w:hanging="325"/>
        <w:spacing w:after="0" w:line="235"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.250 million (or $249 million) of 0.080% fixed rate notes that mature on January 26, 2018</w:t>
      </w: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.150 million (or $150 million) of 0.650% fixed rate notes that mature on July 26, 2022</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received proceeds, net of premiums and deferred financing costs, of $398 million that were used to partially fund the February 2016 note maturity and for other general corporate purposes. We recorded approximately $1 million of premiums and deferred financing costs, which will be amortized into interest expense over the life of the notes.</w:t>
      </w:r>
    </w:p>
    <w:p>
      <w:pPr>
        <w:spacing w:after="0" w:line="18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On January 21, 2016, we issued €700 million of euro-denominated 1.625% notes, or $760 million in U.S. dollars locked in with a forward currency contract on January 13, 2016. The euro-denominated notes will mature on January 20, 2023. We received proceeds, net of discounts and deferred financing costs, of $752 million that were used to partially fund the February 2016 note maturity and for other general corporate purposes. We recorded approximately $8 million of discounts and deferred financing costs, which will be amortized into interest expense over the life of the notes.</w:t>
      </w:r>
    </w:p>
    <w:p>
      <w:pPr>
        <w:spacing w:after="0" w:line="19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Our weighted-average interest rate on our total debt was 2.1% as of December 31, 2017, 2.2% as of December 31, 2016 and 3.7% as of December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fair value of our short-term borrowings at December 31, 2017 and December 31, 2016 reflects current market interest rates and approximates the amounts we have recorded on our consolidated balance sheets. The fair value of our long-term debt was determined using quoted prices in active markets (Level 1 valuation data) for the publicly traded debt obligations. At December 31, 2017, the aggregate fair value of our total debt was $18,354 million and its carrying value was $17,652 million. At December 31, 2016, the aggregate fair value of our total debt was $17,882 million and its carrying value was $17,199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Years Ended 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2140" w:type="dxa"/>
            <w:vAlign w:val="bottom"/>
            <w:gridSpan w:val="2"/>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5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debt</w:t>
            </w:r>
          </w:p>
        </w:tc>
        <w:tc>
          <w:tcPr>
            <w:tcW w:w="27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396</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Loss on debt extinguishment and related expenses</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JDE coffee business transactions currency-related net</w:t>
            </w:r>
          </w:p>
        </w:tc>
        <w:tc>
          <w:tcPr>
            <w:tcW w:w="2740" w:type="dxa"/>
            <w:vAlign w:val="bottom"/>
            <w:gridSpan w:val="3"/>
            <w:shd w:val="clear" w:color="auto" w:fill="CCEEFF"/>
          </w:tcPr>
          <w:p>
            <w:pPr>
              <w:jc w:val="right"/>
              <w:ind w:right="2188"/>
              <w:spacing w:after="0"/>
              <w:rPr>
                <w:sz w:val="20"/>
                <w:szCs w:val="20"/>
                <w:color w:val="auto"/>
              </w:rPr>
            </w:pPr>
            <w:r>
              <w:rPr>
                <w:rFonts w:ascii="Arial" w:cs="Arial" w:eastAsia="Arial" w:hAnsi="Arial"/>
                <w:sz w:val="18"/>
                <w:szCs w:val="18"/>
                <w:color w:val="auto"/>
              </w:rPr>
              <w:t>gains</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Loss related to interest rate swaps</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Interest and other expense, net</w:t>
            </w: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740" w:type="dxa"/>
            <w:vAlign w:val="bottom"/>
            <w:gridSpan w:val="3"/>
          </w:tcPr>
          <w:p>
            <w:pPr>
              <w:jc w:val="right"/>
              <w:ind w:right="44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382</w:t>
            </w:r>
          </w:p>
        </w:tc>
        <w:tc>
          <w:tcPr>
            <w:tcW w:w="6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1,115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currency exchange forward contracts associated with the JDE coffee business transactions.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loss related to U.S. dollar interest rate swaps no longer designated as accounting cash flow hedges during 2016 and 2015. Also see Note 12,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for information on the $59 million of other income recorded in 2017 in connection with the resolution of a Brazilian indirect tax</w:t>
      </w:r>
      <w:r>
        <w:rPr>
          <w:rFonts w:ascii="Arial" w:cs="Arial" w:eastAsia="Arial" w:hAnsi="Arial"/>
          <w:sz w:val="18"/>
          <w:szCs w:val="18"/>
          <w:i w:val="1"/>
          <w:iCs w:val="1"/>
          <w:color w:val="auto"/>
        </w:rPr>
        <w:t xml:space="preserve"> </w:t>
      </w:r>
      <w:r>
        <w:rPr>
          <w:rFonts w:ascii="Arial" w:cs="Arial" w:eastAsia="Arial" w:hAnsi="Arial"/>
          <w:sz w:val="18"/>
          <w:szCs w:val="18"/>
          <w:color w:val="auto"/>
        </w:rPr>
        <w:t>matter and the reversal of related accrued interest.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3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900"/>
              <w:spacing w:after="0" w:line="143" w:lineRule="exact"/>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2"/>
                <w:szCs w:val="12"/>
                <w:color w:val="auto"/>
              </w:rPr>
            </w:pPr>
          </w:p>
        </w:tc>
        <w:tc>
          <w:tcPr>
            <w:tcW w:w="780" w:type="dxa"/>
            <w:vAlign w:val="bottom"/>
          </w:tcPr>
          <w:p>
            <w:pPr>
              <w:jc w:val="right"/>
              <w:ind w:right="94"/>
              <w:spacing w:after="0" w:line="143" w:lineRule="exact"/>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9"/>
              </w:rPr>
              <w:t>Asset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52"/>
              <w:spacing w:after="0" w:line="143"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2"/>
                <w:szCs w:val="12"/>
                <w:color w:val="auto"/>
              </w:rPr>
            </w:pPr>
          </w:p>
        </w:tc>
      </w:tr>
      <w:tr>
        <w:trPr>
          <w:trHeight w:val="175"/>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Derivatives</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Derivatives</w:t>
            </w:r>
          </w:p>
        </w:tc>
        <w:tc>
          <w:tcPr>
            <w:tcW w:w="32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Derivatives</w:t>
            </w:r>
          </w:p>
        </w:tc>
        <w:tc>
          <w:tcPr>
            <w:tcW w:w="540" w:type="dxa"/>
            <w:vAlign w:val="bottom"/>
          </w:tcPr>
          <w:p>
            <w:pPr>
              <w:spacing w:after="0"/>
              <w:rPr>
                <w:sz w:val="15"/>
                <w:szCs w:val="15"/>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Derivatives</w:t>
            </w:r>
          </w:p>
        </w:tc>
      </w:tr>
      <w:tr>
        <w:trPr>
          <w:trHeight w:val="184"/>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3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80"/>
        </w:trPr>
        <w:tc>
          <w:tcPr>
            <w:tcW w:w="378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Derivatives designated as</w:t>
            </w: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Currency exchange contracts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187"/>
        </w:trPr>
        <w:tc>
          <w:tcPr>
            <w:tcW w:w="3780" w:type="dxa"/>
            <w:vAlign w:val="bottom"/>
          </w:tcPr>
          <w:p>
            <w:pPr>
              <w:spacing w:after="0" w:line="187" w:lineRule="exact"/>
              <w:rPr>
                <w:sz w:val="20"/>
                <w:szCs w:val="20"/>
                <w:color w:val="auto"/>
              </w:rPr>
            </w:pPr>
            <w:r>
              <w:rPr>
                <w:rFonts w:ascii="Arial" w:cs="Arial" w:eastAsia="Arial" w:hAnsi="Arial"/>
                <w:sz w:val="18"/>
                <w:szCs w:val="18"/>
                <w:b w:val="1"/>
                <w:bCs w:val="1"/>
                <w:color w:val="auto"/>
              </w:rPr>
              <w:t>Derivatives not designated as</w:t>
            </w:r>
          </w:p>
        </w:tc>
        <w:tc>
          <w:tcPr>
            <w:tcW w:w="1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378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Commodity contracts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0"/>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We record derivative assets and liabilities on a gross basis on our consolidated balance sheets. The fair value of our asset derivatives is recorded within other current assets and the fair value of our liability derivatives is recorded within other current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rPr>
              <w:t>As of December 31, 2017</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Active Markets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for Identical</w:t>
            </w:r>
          </w:p>
        </w:tc>
        <w:tc>
          <w:tcPr>
            <w:tcW w:w="2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2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4"/>
          </w:tcPr>
          <w:p>
            <w:pPr>
              <w:jc w:val="center"/>
              <w:ind w:left="66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Commodity contracts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Total derivatives</w:t>
            </w:r>
          </w:p>
        </w:tc>
        <w:tc>
          <w:tcPr>
            <w:tcW w:w="1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(646)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(508)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rPr>
              <w:t>As of December 31, 2016</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Active Markets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for Identical</w:t>
            </w:r>
          </w:p>
        </w:tc>
        <w:tc>
          <w:tcPr>
            <w:tcW w:w="2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2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4"/>
          </w:tcPr>
          <w:p>
            <w:pPr>
              <w:jc w:val="center"/>
              <w:ind w:left="66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Commodity contracts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Total derivatives</w:t>
            </w:r>
          </w:p>
        </w:tc>
        <w:tc>
          <w:tcPr>
            <w:tcW w:w="1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center"/>
              <w:ind w:right="193"/>
              <w:spacing w:after="0"/>
              <w:rPr>
                <w:sz w:val="20"/>
                <w:szCs w:val="20"/>
                <w:color w:val="auto"/>
              </w:rPr>
            </w:pPr>
            <w:r>
              <w:rPr>
                <w:rFonts w:ascii="Arial" w:cs="Arial" w:eastAsia="Arial" w:hAnsi="Arial"/>
                <w:sz w:val="18"/>
                <w:szCs w:val="18"/>
                <w:color w:val="auto"/>
                <w:w w:val="99"/>
              </w:rPr>
              <w:t>90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deposits related to our exchange-traded derivatives of $171 million as of December 31, 2017 and $133 million as of December 31, 2016 within other current assets. Based on our net asset or liability positions with individual counterparties, in the event of default and immediate net settlement of all of our open positions, for derivatives we have in a net asset position, our counterparties would owe us a total of $34 million as of December 31, 2017 and $48 million as of December 31, 2016. As of December 31, 2017, we have no Level 1 derivatives in a net liability position, and as of December 31, 2016 we would have owed $2 million for derivatives in a net liability position.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commodity and currency exchange OTC derivatives do not have a legal right of set-off. In connection with our OTC derivatives that could be net-settled in the event of default, assuming all parties were to fail to comply with the terms of the agreements, for Level 2 derivatives we have in a net liability position, we would owe $523 million as of December 31, 2017 and $40 million as of December 31, 2016, and for Level 2 derivatives we have in a net asset position, our counterparties would owe us a total of $26 million as of December 31, 2017 and $162 million as of December 31, 2016.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ectPr>
          <w:pgSz w:w="11900" w:h="16838" w:orient="portrait"/>
          <w:cols w:equalWidth="0" w:num="1">
            <w:col w:w="11420"/>
          </w:cols>
          <w:pgMar w:left="240" w:top="459"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Intercompany loans and forecasted interest payments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Forecasted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Net investment hedge – euro notes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investment hedge – pound sterling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Net investment hedge – Swiss franc notes</w:t>
      </w:r>
    </w:p>
    <w:p>
      <w:pPr>
        <w:spacing w:after="0" w:line="158"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Notional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14490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As of December 31,</w:t>
      </w:r>
    </w:p>
    <w:tbl>
      <w:tblPr>
        <w:tblLayout w:type="fixed"/>
        <w:tblInd w:w="0" w:type="dxa"/>
        <w:tblCellMar>
          <w:top w:w="0" w:type="dxa"/>
          <w:left w:w="0" w:type="dxa"/>
          <w:bottom w:w="0" w:type="dxa"/>
          <w:right w:w="0" w:type="dxa"/>
        </w:tblCellMar>
      </w:tblPr>
      <w:tr>
        <w:trPr>
          <w:trHeight w:val="156"/>
        </w:trPr>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r>
      <w:tr>
        <w:trPr>
          <w:trHeight w:val="184"/>
        </w:trPr>
        <w:tc>
          <w:tcPr>
            <w:tcW w:w="2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r>
      <w:tr>
        <w:trPr>
          <w:trHeight w:val="52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7,089</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3,343</w:t>
            </w:r>
          </w:p>
        </w:tc>
      </w:tr>
      <w:tr>
        <w:trPr>
          <w:trHeight w:val="216"/>
        </w:trPr>
        <w:tc>
          <w:tcPr>
            <w:tcW w:w="20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2,213</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16"/>
        </w:trPr>
        <w:tc>
          <w:tcPr>
            <w:tcW w:w="20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1,204</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20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6,532</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6,365</w:t>
            </w:r>
          </w:p>
        </w:tc>
      </w:tr>
      <w:tr>
        <w:trPr>
          <w:trHeight w:val="216"/>
        </w:trPr>
        <w:tc>
          <w:tcPr>
            <w:tcW w:w="20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3,679</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4,012</w:t>
            </w:r>
          </w:p>
        </w:tc>
      </w:tr>
    </w:tbl>
    <w:p>
      <w:pPr>
        <w:ind w:left="1980" w:hanging="1358"/>
        <w:spacing w:after="0"/>
        <w:tabs>
          <w:tab w:leader="none" w:pos="1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419</w:t>
      </w:r>
    </w:p>
    <w:p>
      <w:pPr>
        <w:spacing w:after="0" w:line="20"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8"/>
          <w:szCs w:val="18"/>
          <w:color w:val="auto"/>
        </w:rPr>
        <w:t>1,694</w:t>
      </w:r>
      <w:r>
        <w:rPr>
          <w:rFonts w:ascii="Arial" w:cs="Arial" w:eastAsia="Arial" w:hAnsi="Arial"/>
          <w:sz w:val="17"/>
          <w:szCs w:val="17"/>
          <w:color w:val="auto"/>
        </w:rPr>
        <w:t>1,447</w:t>
      </w:r>
    </w:p>
    <w:p>
      <w:pPr>
        <w:sectPr>
          <w:pgSz w:w="11900" w:h="16838" w:orient="portrait"/>
          <w:cols w:equalWidth="0" w:num="2">
            <w:col w:w="7900" w:space="720"/>
            <w:col w:w="280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(loss)/gain at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Transfer of realized (gains)/losses in fair value to earnings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in fair value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Accumulated (loss)/gain at end of period</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0"/>
          </w:tcPr>
          <w:p>
            <w:pPr>
              <w:jc w:val="center"/>
              <w:ind w:left="356"/>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6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 – forecasted transactions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Commodity contracts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61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(53)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After-tax gains/(losses) recognized in other comprehensive earnings/(losses) were:</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jc w:val="center"/>
              <w:ind w:left="476"/>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616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gridSpan w:val="2"/>
          </w:tcPr>
          <w:p>
            <w:pPr>
              <w:spacing w:after="0"/>
              <w:rPr>
                <w:sz w:val="6"/>
                <w:szCs w:val="6"/>
                <w:color w:val="auto"/>
              </w:rPr>
            </w:pPr>
          </w:p>
        </w:tc>
        <w:tc>
          <w:tcPr>
            <w:tcW w:w="8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 – forecasted transactions</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Commodity contracts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6160" w:type="dxa"/>
            <w:vAlign w:val="bottom"/>
            <w:vMerge w:val="continue"/>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(129)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Within interest and other expense, net, we recorded pre-tax losses of $ 97 million in the first quarter of 2016 and $34 million in the first quarter of 2015 related to amounts excluded from effectiveness testing. These amounts relate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we changed our plans to issue U.S. dollar-denominated debt and instead issued euro and Swiss franc-denominated notes in 2016 and euro, British pound sterling and Swiss franc-denominated notes in 2015. Amounts excluded from effectiveness testing were not material for all other periods presented.</w:t>
      </w:r>
    </w:p>
    <w:p>
      <w:pPr>
        <w:spacing w:after="0" w:line="205"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ind w:left="900" w:hanging="325"/>
        <w:spacing w:after="0" w:line="23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 of sales for commodity contracts;</w:t>
      </w:r>
    </w:p>
    <w:p>
      <w:pPr>
        <w:ind w:left="900" w:hanging="325"/>
        <w:spacing w:after="0" w:line="23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 and</w:t>
      </w: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Based on current market conditions, we would expect to transfer unrealized losses of $1 million (net of taxes) for interest rate cash flow hedges to earnings during the next 12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1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of December 31, 2017, our longest dated cash flow hedges are interest rate swaps that hedge forecasted interest rate payments over the next 5 years and 10 months.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1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91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6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6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Borrowings</w:t>
            </w: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9"/>
                <w:szCs w:val="19"/>
                <w:color w:val="auto"/>
              </w:rPr>
            </w:pPr>
          </w:p>
        </w:tc>
        <w:tc>
          <w:tcPr>
            <w:tcW w:w="1500" w:type="dxa"/>
            <w:vAlign w:val="bottom"/>
          </w:tcPr>
          <w:p>
            <w:pPr>
              <w:jc w:val="right"/>
              <w:ind w:right="716"/>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jc w:val="center"/>
              <w:ind w:left="394"/>
              <w:spacing w:after="0"/>
              <w:rPr>
                <w:sz w:val="20"/>
                <w:szCs w:val="20"/>
                <w:color w:val="auto"/>
              </w:rPr>
            </w:pPr>
            <w:r>
              <w:rPr>
                <w:rFonts w:ascii="Arial" w:cs="Arial" w:eastAsia="Arial" w:hAnsi="Arial"/>
                <w:sz w:val="14"/>
                <w:szCs w:val="14"/>
                <w:b w:val="1"/>
                <w:bCs w:val="1"/>
                <w:color w:val="auto"/>
              </w:rPr>
              <w:t>For the Years Ended December 31,</w:t>
            </w:r>
          </w:p>
        </w:tc>
        <w:tc>
          <w:tcPr>
            <w:tcW w:w="6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ind w:right="113"/>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2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w:t>
            </w:r>
          </w:p>
        </w:tc>
        <w:tc>
          <w:tcPr>
            <w:tcW w:w="4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21</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5060" w:type="dxa"/>
            <w:vAlign w:val="bottom"/>
          </w:tcPr>
          <w:p>
            <w:pPr>
              <w:ind w:left="360"/>
              <w:spacing w:after="0" w:line="189" w:lineRule="exact"/>
              <w:rPr>
                <w:sz w:val="20"/>
                <w:szCs w:val="20"/>
                <w:color w:val="auto"/>
              </w:rPr>
            </w:pPr>
            <w:r>
              <w:rPr>
                <w:rFonts w:ascii="Arial" w:cs="Arial" w:eastAsia="Arial" w:hAnsi="Arial"/>
                <w:sz w:val="18"/>
                <w:szCs w:val="18"/>
                <w:color w:val="auto"/>
              </w:rPr>
              <w:t>forecasted interest payments</w:t>
            </w:r>
          </w:p>
        </w:tc>
        <w:tc>
          <w:tcPr>
            <w:tcW w:w="2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Forecasted transactions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67"/>
        </w:trPr>
        <w:tc>
          <w:tcPr>
            <w:tcW w:w="506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67"/>
        </w:trPr>
        <w:tc>
          <w:tcPr>
            <w:tcW w:w="5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Selling, general</w:t>
            </w:r>
          </w:p>
        </w:tc>
        <w:tc>
          <w:tcPr>
            <w:tcW w:w="0" w:type="dxa"/>
            <w:vAlign w:val="bottom"/>
          </w:tcPr>
          <w:p>
            <w:pPr>
              <w:spacing w:after="0"/>
              <w:rPr>
                <w:sz w:val="1"/>
                <w:szCs w:val="1"/>
                <w:color w:val="auto"/>
              </w:rPr>
            </w:pPr>
          </w:p>
        </w:tc>
      </w:tr>
      <w:tr>
        <w:trPr>
          <w:trHeight w:val="162"/>
        </w:trPr>
        <w:tc>
          <w:tcPr>
            <w:tcW w:w="50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and administrative</w:t>
            </w:r>
          </w:p>
        </w:tc>
        <w:tc>
          <w:tcPr>
            <w:tcW w:w="0" w:type="dxa"/>
            <w:vAlign w:val="bottom"/>
          </w:tcPr>
          <w:p>
            <w:pPr>
              <w:spacing w:after="0"/>
              <w:rPr>
                <w:sz w:val="1"/>
                <w:szCs w:val="1"/>
                <w:color w:val="auto"/>
              </w:rPr>
            </w:pPr>
          </w:p>
        </w:tc>
      </w:tr>
      <w:tr>
        <w:trPr>
          <w:trHeight w:val="157"/>
        </w:trPr>
        <w:tc>
          <w:tcPr>
            <w:tcW w:w="50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26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(38)</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In connection with the coffee business transactions, we entered into a number of consecutive euro to U.S. dollar currency exchange forward contracts in 2015 to lock in an equivalent expected value in U.S. dollars. The mark-to-market gains and losses on the derivatives were recorded in earnings. We recorded net gains of $436 million for the year ended December 31, 2015 within interest and other expense, net in connection with the forward contracts and the transferring of proceeds to our subsidiaries where coffee net assets and shares were deconsolidated. The currency hedge and related gains and losses were recorded within interest and other expense, net. See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pound sterling and Swiss franc-denominated debt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r>
      <w:tr>
        <w:trPr>
          <w:trHeight w:val="175"/>
        </w:trPr>
        <w:tc>
          <w:tcPr>
            <w:tcW w:w="3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Gain/(Loss)</w:t>
            </w:r>
          </w:p>
        </w:tc>
      </w:tr>
      <w:tr>
        <w:trPr>
          <w:trHeight w:val="156"/>
        </w:trPr>
        <w:tc>
          <w:tcPr>
            <w:tcW w:w="3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3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Recognized in AOCI</w:t>
            </w:r>
          </w:p>
        </w:tc>
      </w:tr>
      <w:tr>
        <w:trPr>
          <w:trHeight w:val="184"/>
        </w:trPr>
        <w:tc>
          <w:tcPr>
            <w:tcW w:w="3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80"/>
        </w:trPr>
        <w:tc>
          <w:tcPr>
            <w:tcW w:w="3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 notes</w:t>
            </w:r>
          </w:p>
        </w:tc>
        <w:tc>
          <w:tcPr>
            <w:tcW w:w="1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(323)</w:t>
            </w:r>
          </w:p>
        </w:tc>
        <w:tc>
          <w:tcPr>
            <w:tcW w:w="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Currency</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Pound sterling notes</w:t>
            </w: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(26)</w:t>
            </w:r>
          </w:p>
        </w:tc>
        <w:tc>
          <w:tcPr>
            <w:tcW w:w="460" w:type="dxa"/>
            <w:vAlign w:val="bottom"/>
          </w:tcPr>
          <w:p>
            <w:pPr>
              <w:spacing w:after="0"/>
              <w:rPr>
                <w:sz w:val="17"/>
                <w:szCs w:val="17"/>
                <w:color w:val="auto"/>
              </w:rPr>
            </w:pPr>
          </w:p>
        </w:tc>
        <w:tc>
          <w:tcPr>
            <w:tcW w:w="9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148</w:t>
            </w:r>
          </w:p>
        </w:tc>
        <w:tc>
          <w:tcPr>
            <w:tcW w:w="480" w:type="dxa"/>
            <w:vAlign w:val="bottom"/>
          </w:tcPr>
          <w:p>
            <w:pPr>
              <w:spacing w:after="0"/>
              <w:rPr>
                <w:sz w:val="17"/>
                <w:szCs w:val="17"/>
                <w:color w:val="auto"/>
              </w:rPr>
            </w:pPr>
          </w:p>
        </w:tc>
        <w:tc>
          <w:tcPr>
            <w:tcW w:w="12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42</w:t>
            </w:r>
          </w:p>
        </w:tc>
        <w:tc>
          <w:tcPr>
            <w:tcW w:w="1380" w:type="dxa"/>
            <w:vAlign w:val="bottom"/>
          </w:tcPr>
          <w:p>
            <w:pPr>
              <w:jc w:val="center"/>
              <w:spacing w:after="0"/>
              <w:rPr>
                <w:sz w:val="20"/>
                <w:szCs w:val="20"/>
                <w:color w:val="auto"/>
              </w:rPr>
            </w:pPr>
            <w:r>
              <w:rPr>
                <w:rFonts w:ascii="Arial" w:cs="Arial" w:eastAsia="Arial" w:hAnsi="Arial"/>
                <w:sz w:val="14"/>
                <w:szCs w:val="14"/>
                <w:color w:val="auto"/>
              </w:rPr>
              <w:t>Translation</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Swiss franc notes</w:t>
            </w: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Adjustment</w:t>
            </w:r>
          </w:p>
        </w:tc>
      </w:tr>
    </w:tbl>
    <w:p>
      <w:pPr>
        <w:spacing w:after="0" w:line="21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Through February 8, 2018, we entered into cross-currency interest rate swaps and forwards with an aggregate notional value of $3.2 billion to hedge our non-U.S. net investments against adverse movements in exchange rates. We designated these swaps and forwards as net investment hedges related to our operations in our Europe and AMEA regions.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Non-U.S. Plans</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January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paid</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Actuarial losses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Projected benefit obligation at December 31</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1,762</w:t>
            </w:r>
          </w:p>
        </w:tc>
        <w:tc>
          <w:tcPr>
            <w:tcW w:w="2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1,614</w:t>
            </w:r>
          </w:p>
        </w:tc>
        <w:tc>
          <w:tcPr>
            <w:tcW w:w="2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10,852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115"/>
        </w:trPr>
        <w:tc>
          <w:tcPr>
            <w:tcW w:w="5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January 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paid</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Divestiture</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December 31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pension (liabilities)/assets at December 31</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accumulated benefit obligation, which represents benefits earned to the measurement date, was $1,715 million at December 31, 2017 and $1,540 million at December 31, 2016 for the U.S. pension plans. The accumulated benefit obligation for the non-U.S. pension plans was $10,610 million at December 31, 2017 and $9,531 million at December 31, 2016.</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Salaried and non-union hourly employees hired after January 1, 2009 in the U.S. and after January 1, 2011 in Canada (or earlier for certain legacy Cadbury employees) are no longer eligible to participate in the defined benefit pension plans. These employees are given an enhanced Company contribution to our employee defined contribution plans. For those salaried and non-union hourly employees who are currently participating in the defined benefit pension plans in the U.S. and Canada, benefit accruals will cease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combined U.S. and non-U.S. pension plans resulted in a net pension liability of $1,570 million at December 31, 2017 and $1,882 million at</w:t>
      </w:r>
    </w:p>
    <w:p>
      <w:pPr>
        <w:spacing w:after="0"/>
        <w:rPr>
          <w:sz w:val="20"/>
          <w:szCs w:val="20"/>
          <w:color w:val="auto"/>
        </w:rPr>
      </w:pPr>
      <w:r>
        <w:rPr>
          <w:rFonts w:ascii="Arial" w:cs="Arial" w:eastAsia="Arial" w:hAnsi="Arial"/>
          <w:sz w:val="18"/>
          <w:szCs w:val="18"/>
          <w:color w:val="auto"/>
        </w:rPr>
        <w:t>December 31, 2016. We recognized these amounts in our consolidated balance sheets as follows: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360" w:type="dxa"/>
            <w:vAlign w:val="bottom"/>
          </w:tcPr>
          <w:p>
            <w:pPr>
              <w:spacing w:after="0"/>
              <w:rPr>
                <w:sz w:val="6"/>
                <w:szCs w:val="6"/>
                <w:color w:val="auto"/>
              </w:rPr>
            </w:pPr>
          </w:p>
        </w:tc>
        <w:tc>
          <w:tcPr>
            <w:tcW w:w="4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assets</w:t>
            </w:r>
          </w:p>
        </w:tc>
        <w:tc>
          <w:tcPr>
            <w:tcW w:w="4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costs</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Pr>
          <w:p>
            <w:pPr>
              <w:spacing w:after="0"/>
              <w:rPr>
                <w:sz w:val="19"/>
                <w:szCs w:val="19"/>
                <w:color w:val="auto"/>
              </w:rPr>
            </w:pPr>
          </w:p>
        </w:tc>
        <w:tc>
          <w:tcPr>
            <w:tcW w:w="4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(1,570)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40" w:type="dxa"/>
            <w:vAlign w:val="bottom"/>
            <w:vMerge w:val="restart"/>
          </w:tcPr>
          <w:p>
            <w:pPr>
              <w:jc w:val="right"/>
              <w:ind w:right="2850"/>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Certain of our U.S. and non-U.S. plans are underfunded with an accumulated benefit obligations in excess of plan assets. For these plans, the projected benefit obligations, accumulated benefit obligations and the fair value of plan assets were:</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center"/>
              <w:ind w:right="302"/>
              <w:spacing w:after="0"/>
              <w:rPr>
                <w:sz w:val="20"/>
                <w:szCs w:val="20"/>
                <w:color w:val="auto"/>
              </w:rPr>
            </w:pPr>
            <w:r>
              <w:rPr>
                <w:rFonts w:ascii="Arial" w:cs="Arial" w:eastAsia="Arial" w:hAnsi="Arial"/>
                <w:sz w:val="14"/>
                <w:szCs w:val="14"/>
                <w:b w:val="1"/>
                <w:bCs w:val="1"/>
                <w:color w:val="auto"/>
              </w:rPr>
              <w:t>U.S. Plans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4"/>
          </w:tcPr>
          <w:p>
            <w:pPr>
              <w:ind w:left="280"/>
              <w:spacing w:after="0"/>
              <w:rPr>
                <w:sz w:val="20"/>
                <w:szCs w:val="20"/>
                <w:color w:val="auto"/>
              </w:rPr>
            </w:pPr>
            <w:r>
              <w:rPr>
                <w:rFonts w:ascii="Arial" w:cs="Arial" w:eastAsia="Arial" w:hAnsi="Arial"/>
                <w:sz w:val="14"/>
                <w:szCs w:val="14"/>
                <w:b w:val="1"/>
                <w:bCs w:val="1"/>
                <w:color w:val="auto"/>
              </w:rPr>
              <w:t>Non-U.S. Plans</w:t>
            </w:r>
          </w:p>
        </w:tc>
      </w:tr>
      <w:tr>
        <w:trPr>
          <w:trHeight w:val="156"/>
        </w:trPr>
        <w:tc>
          <w:tcPr>
            <w:tcW w:w="4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40" w:type="dxa"/>
            <w:vAlign w:val="bottom"/>
            <w:tcBorders>
              <w:top w:val="single" w:sz="8" w:color="auto"/>
              <w:bottom w:val="single" w:sz="8" w:color="auto"/>
            </w:tcBorders>
            <w:gridSpan w:val="3"/>
          </w:tcPr>
          <w:p>
            <w:pPr>
              <w:jc w:val="center"/>
              <w:ind w:left="188"/>
              <w:spacing w:after="0" w:line="155" w:lineRule="exact"/>
              <w:rPr>
                <w:sz w:val="20"/>
                <w:szCs w:val="20"/>
                <w:color w:val="auto"/>
              </w:rPr>
            </w:pPr>
            <w:r>
              <w:rPr>
                <w:rFonts w:ascii="Arial" w:cs="Arial" w:eastAsia="Arial" w:hAnsi="Arial"/>
                <w:sz w:val="14"/>
                <w:szCs w:val="14"/>
                <w:b w:val="1"/>
                <w:bCs w:val="1"/>
                <w:color w:val="auto"/>
              </w:rPr>
              <w:t>As of December 31,</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3"/>
                <w:szCs w:val="13"/>
                <w:color w:val="auto"/>
              </w:rPr>
            </w:pPr>
          </w:p>
        </w:tc>
      </w:tr>
      <w:tr>
        <w:trPr>
          <w:trHeight w:val="156"/>
        </w:trPr>
        <w:tc>
          <w:tcPr>
            <w:tcW w:w="4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84"/>
        </w:trPr>
        <w:tc>
          <w:tcPr>
            <w:tcW w:w="4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6"/>
          </w:tcPr>
          <w:p>
            <w:pPr>
              <w:ind w:left="6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44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6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4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9,345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7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9,138</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8,168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7,709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1380" w:type="dxa"/>
            <w:vAlign w:val="bottom"/>
          </w:tcPr>
          <w:p>
            <w:pPr>
              <w:ind w:left="660"/>
              <w:spacing w:after="0"/>
              <w:rPr>
                <w:sz w:val="20"/>
                <w:szCs w:val="20"/>
                <w:color w:val="auto"/>
              </w:rPr>
            </w:pPr>
            <w:r>
              <w:rPr>
                <w:rFonts w:ascii="Arial" w:cs="Arial" w:eastAsia="Arial" w:hAnsi="Arial"/>
                <w:sz w:val="14"/>
                <w:szCs w:val="14"/>
                <w:b w:val="1"/>
                <w:bCs w:val="1"/>
                <w:color w:val="auto"/>
              </w:rPr>
              <w:t>U.S. Plans</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ind w:left="220"/>
              <w:spacing w:after="0"/>
              <w:rPr>
                <w:sz w:val="20"/>
                <w:szCs w:val="20"/>
                <w:color w:val="auto"/>
              </w:rPr>
            </w:pPr>
            <w:r>
              <w:rPr>
                <w:rFonts w:ascii="Arial" w:cs="Arial" w:eastAsia="Arial" w:hAnsi="Arial"/>
                <w:sz w:val="14"/>
                <w:szCs w:val="14"/>
                <w:b w:val="1"/>
                <w:bCs w:val="1"/>
                <w:color w:val="auto"/>
              </w:rPr>
              <w:t>Non-U.S. Plans</w:t>
            </w:r>
          </w:p>
        </w:tc>
      </w:tr>
      <w:tr>
        <w:trPr>
          <w:trHeight w:val="156"/>
        </w:trPr>
        <w:tc>
          <w:tcPr>
            <w:tcW w:w="6300" w:type="dxa"/>
            <w:vAlign w:val="bottom"/>
          </w:tcPr>
          <w:p>
            <w:pPr>
              <w:spacing w:after="0"/>
              <w:rPr>
                <w:sz w:val="13"/>
                <w:szCs w:val="13"/>
                <w:color w:val="auto"/>
              </w:rPr>
            </w:pPr>
          </w:p>
        </w:tc>
        <w:tc>
          <w:tcPr>
            <w:tcW w:w="2020" w:type="dxa"/>
            <w:vAlign w:val="bottom"/>
            <w:tcBorders>
              <w:top w:val="single" w:sz="8" w:color="auto"/>
              <w:bottom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3"/>
                <w:szCs w:val="13"/>
                <w:color w:val="auto"/>
              </w:rPr>
            </w:pPr>
          </w:p>
        </w:tc>
      </w:tr>
      <w:tr>
        <w:trPr>
          <w:trHeight w:val="156"/>
        </w:trPr>
        <w:tc>
          <w:tcPr>
            <w:tcW w:w="6300" w:type="dxa"/>
            <w:vAlign w:val="bottom"/>
          </w:tcPr>
          <w:p>
            <w:pPr>
              <w:spacing w:after="0"/>
              <w:rPr>
                <w:sz w:val="13"/>
                <w:szCs w:val="13"/>
                <w:color w:val="auto"/>
              </w:rPr>
            </w:pPr>
          </w:p>
        </w:tc>
        <w:tc>
          <w:tcPr>
            <w:tcW w:w="13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84"/>
        </w:trPr>
        <w:tc>
          <w:tcPr>
            <w:tcW w:w="6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gridSpan w:val="3"/>
          </w:tcPr>
          <w:p>
            <w:pPr>
              <w:ind w:left="36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6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3.68%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1380" w:type="dxa"/>
            <w:vAlign w:val="bottom"/>
          </w:tcPr>
          <w:p>
            <w:pPr>
              <w:ind w:left="360"/>
              <w:spacing w:after="0"/>
              <w:rPr>
                <w:sz w:val="20"/>
                <w:szCs w:val="20"/>
                <w:color w:val="auto"/>
              </w:rPr>
            </w:pPr>
            <w:r>
              <w:rPr>
                <w:rFonts w:ascii="Arial" w:cs="Arial" w:eastAsia="Arial" w:hAnsi="Arial"/>
                <w:sz w:val="18"/>
                <w:szCs w:val="18"/>
                <w:color w:val="auto"/>
              </w:rPr>
              <w:t>5.50%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4.90%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3.31%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r>
    </w:tbl>
    <w:p>
      <w:pPr>
        <w:spacing w:after="0" w:line="17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At the end of 2015, we changed the approach used to measure service and interest costs for pension benefits. For 2015, we measured service and interest costs utilizing a single weighted-average discount rate derived from the yield curve used to measure the plan obligations. For 2016, we measured service and interest costs by applying the specific spot rates along that yield curve to the plans’ liability cash flows. We believe the new approach provided a more precise measurement of service and interest costs by aligning the timing of the plans’ liability cash flows to the corresponding spot rates on the yield curve. The impact of this change was a decrease in net periodic pension cost of approximately $64 million for the year ended December 31, 2016. This change did not affect the measurement of our plan obligations. We accounted for this change as a change in accounting estimate and, accordingly, accounted for it on a prospective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U.S. Plans</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Non-U.S. Plans</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center"/>
              <w:ind w:right="34"/>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9"/>
          </w:tcPr>
          <w:p>
            <w:pPr>
              <w:jc w:val="center"/>
              <w:ind w:right="32"/>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 xml:space="preserve">Prior service cost/(benefit)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Net periodic pension cost</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60" w:right="260" w:hanging="436"/>
        <w:spacing w:after="0" w:line="258"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the year ended December 31, 2015, amortization of prior service cost includes $17 million of pension curtailment losses related to employees who transitioned to JDE upon the contribution of our global coffee business. Refer to Note 2</w:t>
      </w:r>
      <w:r>
        <w:rPr>
          <w:rFonts w:ascii="Arial" w:cs="Arial" w:eastAsia="Arial" w:hAnsi="Arial"/>
          <w:sz w:val="14"/>
          <w:szCs w:val="14"/>
          <w:i w:val="1"/>
          <w:iCs w:val="1"/>
          <w:color w:val="auto"/>
        </w:rPr>
        <w:t>, Divestitures and Acquisitions – JDE Coffee Business Transactions</w:t>
      </w:r>
      <w:r>
        <w:rPr>
          <w:rFonts w:ascii="Arial" w:cs="Arial" w:eastAsia="Arial" w:hAnsi="Arial"/>
          <w:sz w:val="14"/>
          <w:szCs w:val="14"/>
          <w:color w:val="auto"/>
        </w:rPr>
        <w:t>, for more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right="120" w:hanging="436"/>
        <w:spacing w:after="0" w:line="245"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Settlement losses include $11 million for the year ended December 31, 2017, $15 million for the year ended December 31, 2016 and $9 million for the year ended December 31, 2015 of pension settlement losses for employees who elected lump-sum payments in connection with our 2014-2018 Restructuring Program. Retired employees who elected lump-sum payments resulted in net settlement losses of $21 million for our U.S. plans and $6 million for our non-U.S. plans in 2017, $15 million for our U.S. plans and $6 million for our non-U.S. plans in 2016 and $10 million for our U.S. plans and $2 million for our non-U.S. plans in 2015. See Note 6, </w:t>
      </w:r>
      <w:r>
        <w:rPr>
          <w:rFonts w:ascii="Arial" w:cs="Arial" w:eastAsia="Arial" w:hAnsi="Arial"/>
          <w:sz w:val="14"/>
          <w:szCs w:val="14"/>
          <w:i w:val="1"/>
          <w:iCs w:val="1"/>
          <w:color w:val="auto"/>
        </w:rPr>
        <w:t>2014-2018</w:t>
      </w:r>
      <w:r>
        <w:rPr>
          <w:rFonts w:ascii="Arial" w:cs="Arial" w:eastAsia="Arial" w:hAnsi="Arial"/>
          <w:sz w:val="14"/>
          <w:szCs w:val="14"/>
          <w:color w:val="auto"/>
        </w:rPr>
        <w:t xml:space="preserve">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9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For the U.S. plans, we determine the expected return on plan assets component of net periodic benefit cost using a calculated market return value that recognizes the cost over a four year period. For our non-U.S. plans, we utilize a similar approach with varying cost recognition periods for some plans, and with others, we determine the expected return on plan assets based on asset fair values as of the measurement date.</w:t>
      </w:r>
    </w:p>
    <w:p>
      <w:pPr>
        <w:spacing w:after="0" w:line="202" w:lineRule="exact"/>
        <w:rPr>
          <w:sz w:val="20"/>
          <w:szCs w:val="20"/>
          <w:color w:val="auto"/>
        </w:rPr>
      </w:pPr>
    </w:p>
    <w:p>
      <w:pPr>
        <w:ind w:right="1260"/>
        <w:spacing w:after="0" w:line="234" w:lineRule="auto"/>
        <w:rPr>
          <w:sz w:val="20"/>
          <w:szCs w:val="20"/>
          <w:color w:val="auto"/>
        </w:rPr>
      </w:pPr>
      <w:r>
        <w:rPr>
          <w:rFonts w:ascii="Arial" w:cs="Arial" w:eastAsia="Arial" w:hAnsi="Arial"/>
          <w:sz w:val="18"/>
          <w:szCs w:val="18"/>
          <w:color w:val="auto"/>
        </w:rPr>
        <w:t>As of December 31, 2017, for the combined U.S. and non-U.S. pension plans, we expected to amortize from accumulated other comprehensive earnings/(losses) into net periodic pension cost during 2018:</w:t>
      </w:r>
    </w:p>
    <w:p>
      <w:pPr>
        <w:ind w:left="900" w:hanging="325"/>
        <w:spacing w:after="0" w:line="23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estimated $209 million of net loss from experience differences; and</w:t>
      </w: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less than $1 million of estimated prior service credit.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pacing w:after="0" w:line="226" w:lineRule="exact"/>
        <w:rPr>
          <w:sz w:val="20"/>
          <w:szCs w:val="20"/>
          <w:color w:val="auto"/>
        </w:rPr>
      </w:pPr>
    </w:p>
    <w:p>
      <w:pPr>
        <w:ind w:left="5560"/>
        <w:spacing w:after="0"/>
        <w:tabs>
          <w:tab w:leader="none" w:pos="9140" w:val="left"/>
        </w:tabs>
        <w:rPr>
          <w:sz w:val="20"/>
          <w:szCs w:val="20"/>
          <w:color w:val="auto"/>
        </w:rPr>
      </w:pPr>
      <w:r>
        <w:rPr>
          <w:rFonts w:ascii="Arial" w:cs="Arial" w:eastAsia="Arial" w:hAnsi="Arial"/>
          <w:sz w:val="14"/>
          <w:szCs w:val="14"/>
          <w:b w:val="1"/>
          <w:bCs w:val="1"/>
          <w:color w:val="auto"/>
        </w:rPr>
        <w:t>U.S. Plans</w:t>
      </w:r>
      <w:r>
        <w:rPr>
          <w:sz w:val="20"/>
          <w:szCs w:val="20"/>
          <w:color w:val="auto"/>
        </w:rPr>
        <w:tab/>
      </w: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8890</wp:posOffset>
            </wp:positionV>
            <wp:extent cx="45364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9"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0</wp:posOffset>
            </wp:positionV>
            <wp:extent cx="21437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4500"/>
        <w:spacing w:after="0"/>
        <w:tabs>
          <w:tab w:leader="none" w:pos="5720" w:val="left"/>
          <w:tab w:leader="none" w:pos="69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0</wp:posOffset>
            </wp:positionV>
            <wp:extent cx="21437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0</wp:posOffset>
            </wp:positionV>
            <wp:extent cx="21437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tabs>
          <w:tab w:leader="none" w:pos="1240" w:val="left"/>
          <w:tab w:leader="none" w:pos="25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0</wp:posOffset>
            </wp:positionV>
            <wp:extent cx="21437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7540" w:space="720"/>
            <w:col w:w="3160"/>
          </w:cols>
          <w:pgMar w:left="240" w:top="459" w:right="239" w:bottom="1440" w:gutter="0" w:footer="0" w:header="0"/>
          <w:type w:val="continuous"/>
        </w:sectPr>
      </w:pPr>
    </w:p>
    <w:tbl>
      <w:tblPr>
        <w:tblLayout w:type="fixed"/>
        <w:tblInd w:w="760" w:type="dxa"/>
        <w:tblCellMar>
          <w:top w:w="0" w:type="dxa"/>
          <w:left w:w="0" w:type="dxa"/>
          <w:bottom w:w="0" w:type="dxa"/>
          <w:right w:w="0" w:type="dxa"/>
        </w:tblCellMar>
      </w:tblP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4.19%</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4.50%</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4.20%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2.31%</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Expected rate of return</w:t>
            </w: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60" w:type="dxa"/>
            <w:vAlign w:val="bottom"/>
          </w:tcPr>
          <w:p>
            <w:pPr>
              <w:ind w:left="180"/>
              <w:spacing w:after="0" w:line="203" w:lineRule="exact"/>
              <w:rPr>
                <w:sz w:val="20"/>
                <w:szCs w:val="20"/>
                <w:color w:val="auto"/>
              </w:rPr>
            </w:pPr>
            <w:r>
              <w:rPr>
                <w:rFonts w:ascii="Arial" w:cs="Arial" w:eastAsia="Arial" w:hAnsi="Arial"/>
                <w:sz w:val="18"/>
                <w:szCs w:val="18"/>
                <w:color w:val="auto"/>
              </w:rPr>
              <w:t>on plan assets</w:t>
            </w:r>
          </w:p>
        </w:tc>
        <w:tc>
          <w:tcPr>
            <w:tcW w:w="15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6.25%</w:t>
            </w:r>
          </w:p>
        </w:tc>
        <w:tc>
          <w:tcPr>
            <w:tcW w:w="126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6.75%</w:t>
            </w:r>
          </w:p>
        </w:tc>
        <w:tc>
          <w:tcPr>
            <w:tcW w:w="126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7.25%</w:t>
            </w:r>
          </w:p>
        </w:tc>
        <w:tc>
          <w:tcPr>
            <w:tcW w:w="12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5.14%</w:t>
            </w:r>
          </w:p>
        </w:tc>
        <w:tc>
          <w:tcPr>
            <w:tcW w:w="126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5.87%</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5.96%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3.29%</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As of December 31, 2017</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680"/>
              <w:spacing w:after="0" w:line="143" w:lineRule="exact"/>
              <w:rPr>
                <w:sz w:val="20"/>
                <w:szCs w:val="20"/>
                <w:color w:val="auto"/>
              </w:rPr>
            </w:pPr>
            <w:r>
              <w:rPr>
                <w:rFonts w:ascii="Arial" w:cs="Arial" w:eastAsia="Arial" w:hAnsi="Arial"/>
                <w:sz w:val="14"/>
                <w:szCs w:val="14"/>
                <w:b w:val="1"/>
                <w:bCs w:val="1"/>
                <w:color w:val="auto"/>
              </w:rPr>
              <w:t>Quoted Prices</w:t>
            </w:r>
          </w:p>
        </w:tc>
        <w:tc>
          <w:tcPr>
            <w:tcW w:w="1220" w:type="dxa"/>
            <w:vAlign w:val="bottom"/>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in Active Markets</w:t>
            </w:r>
          </w:p>
        </w:tc>
        <w:tc>
          <w:tcPr>
            <w:tcW w:w="1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for Identical</w:t>
            </w: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Total Fair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1060" w:type="dxa"/>
            <w:vAlign w:val="bottom"/>
            <w:tcBorders>
              <w:top w:val="single" w:sz="8" w:color="auto"/>
            </w:tcBorders>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06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equity securities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0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bonds and 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133</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1,179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fixed-income securities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5,941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4,535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95"/>
        </w:trPr>
        <w:tc>
          <w:tcPr>
            <w:tcW w:w="10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As of December 31, 2016</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Quoted Prices</w:t>
            </w:r>
          </w:p>
        </w:tc>
        <w:tc>
          <w:tcPr>
            <w:tcW w:w="124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in Active Markets</w:t>
            </w:r>
          </w:p>
        </w:tc>
        <w:tc>
          <w:tcPr>
            <w:tcW w:w="1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for Identical</w:t>
            </w: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Total Fair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1060" w:type="dxa"/>
            <w:vAlign w:val="bottom"/>
            <w:tcBorders>
              <w:top w:val="single" w:sz="8" w:color="auto"/>
            </w:tcBorders>
          </w:tcPr>
          <w:p>
            <w:pPr>
              <w:spacing w:after="0"/>
              <w:rPr>
                <w:sz w:val="15"/>
                <w:szCs w:val="15"/>
                <w:color w:val="auto"/>
              </w:rPr>
            </w:pPr>
          </w:p>
        </w:tc>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0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equity securities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Non-U.S. equity securities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Pooled funds - equity securities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1,235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160"/>
              <w:spacing w:after="0"/>
              <w:rPr>
                <w:sz w:val="20"/>
                <w:szCs w:val="20"/>
                <w:color w:val="auto"/>
              </w:rPr>
            </w:pPr>
            <w:r>
              <w:rPr>
                <w:rFonts w:ascii="Arial" w:cs="Arial" w:eastAsia="Arial" w:hAnsi="Arial"/>
                <w:sz w:val="16"/>
                <w:szCs w:val="16"/>
                <w:color w:val="auto"/>
              </w:rPr>
              <w:t>Total equity securities</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1,235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01"/>
        </w:trPr>
        <w:tc>
          <w:tcPr>
            <w:tcW w:w="10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Government bonds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2,972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Pooled funds - fixed-income securities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1"/>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bonds and other</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fixed-income securities</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160"/>
              <w:spacing w:after="0"/>
              <w:rPr>
                <w:sz w:val="20"/>
                <w:szCs w:val="20"/>
                <w:color w:val="auto"/>
              </w:rPr>
            </w:pPr>
            <w:r>
              <w:rPr>
                <w:rFonts w:ascii="Arial" w:cs="Arial" w:eastAsia="Arial" w:hAnsi="Arial"/>
                <w:sz w:val="16"/>
                <w:szCs w:val="16"/>
                <w:color w:val="auto"/>
              </w:rPr>
              <w:t>Total fixed-income securities</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3,547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101"/>
        </w:trPr>
        <w:tc>
          <w:tcPr>
            <w:tcW w:w="10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Real estate</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Private equity</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 in the fair value hierarchy</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6,817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1,382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4,833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7"/>
        </w:trPr>
        <w:tc>
          <w:tcPr>
            <w:tcW w:w="3920" w:type="dxa"/>
            <w:vAlign w:val="bottom"/>
            <w:gridSpan w:val="2"/>
          </w:tcPr>
          <w:p>
            <w:pPr>
              <w:spacing w:after="0"/>
              <w:rPr>
                <w:sz w:val="20"/>
                <w:szCs w:val="20"/>
                <w:color w:val="auto"/>
              </w:rPr>
            </w:pPr>
            <w:r>
              <w:rPr>
                <w:rFonts w:ascii="Arial" w:cs="Arial" w:eastAsia="Arial" w:hAnsi="Arial"/>
                <w:sz w:val="16"/>
                <w:szCs w:val="16"/>
                <w:color w:val="auto"/>
              </w:rPr>
              <w:t>Investments measured at net asset value</w:t>
            </w:r>
          </w:p>
        </w:tc>
        <w:tc>
          <w:tcPr>
            <w:tcW w:w="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investments at fair value</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9,484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excluded plan assets of $71 million at December 31, 2017 and $62 million at December 31, 2016 from the above tables related to certain insurance contracts as they are reported at contract value, in accordance with authoritative guidance.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 w:lineRule="exact"/>
        <w:rPr>
          <w:sz w:val="20"/>
          <w:szCs w:val="20"/>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ind w:left="440" w:right="80" w:hanging="324"/>
        <w:spacing w:after="0" w:line="234" w:lineRule="auto"/>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3" w:lineRule="exact"/>
        <w:rPr>
          <w:rFonts w:ascii="Arial" w:cs="Arial" w:eastAsia="Arial" w:hAnsi="Arial"/>
          <w:sz w:val="18"/>
          <w:szCs w:val="18"/>
          <w:color w:val="auto"/>
        </w:rPr>
      </w:pPr>
    </w:p>
    <w:p>
      <w:pPr>
        <w:ind w:left="440" w:right="60" w:hanging="324"/>
        <w:spacing w:after="0" w:line="234" w:lineRule="auto"/>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spacing w:after="0" w:line="1" w:lineRule="exact"/>
        <w:rPr>
          <w:rFonts w:ascii="Arial" w:cs="Arial" w:eastAsia="Arial" w:hAnsi="Arial"/>
          <w:sz w:val="18"/>
          <w:szCs w:val="18"/>
          <w:color w:val="auto"/>
        </w:rPr>
      </w:pPr>
    </w:p>
    <w:p>
      <w:pPr>
        <w:ind w:left="900" w:right="200" w:hanging="325"/>
        <w:spacing w:after="0" w:line="23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2" w:lineRule="exact"/>
        <w:rPr>
          <w:rFonts w:ascii="Arial" w:cs="Arial" w:eastAsia="Arial" w:hAnsi="Arial"/>
          <w:sz w:val="18"/>
          <w:szCs w:val="18"/>
          <w:color w:val="auto"/>
        </w:rPr>
      </w:pPr>
    </w:p>
    <w:p>
      <w:pPr>
        <w:ind w:left="900" w:right="40" w:hanging="325"/>
        <w:spacing w:after="0" w:line="23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3" w:lineRule="exact"/>
        <w:rPr>
          <w:rFonts w:ascii="Arial" w:cs="Arial" w:eastAsia="Arial" w:hAnsi="Arial"/>
          <w:sz w:val="18"/>
          <w:szCs w:val="18"/>
          <w:color w:val="auto"/>
        </w:rPr>
      </w:pPr>
    </w:p>
    <w:p>
      <w:pPr>
        <w:ind w:left="900" w:right="260" w:hanging="325"/>
        <w:spacing w:after="0" w:line="23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but not limited to income-based techniques such as discounted cash flow projections or market-based techniques utilizing public and private transaction multiples as comparables.</w:t>
      </w:r>
    </w:p>
    <w:p>
      <w:pPr>
        <w:spacing w:after="0" w:line="2" w:lineRule="exact"/>
        <w:rPr>
          <w:rFonts w:ascii="Arial" w:cs="Arial" w:eastAsia="Arial" w:hAnsi="Arial"/>
          <w:sz w:val="18"/>
          <w:szCs w:val="18"/>
          <w:color w:val="auto"/>
        </w:rPr>
      </w:pPr>
    </w:p>
    <w:p>
      <w:pPr>
        <w:ind w:left="900" w:right="80" w:hanging="325"/>
        <w:spacing w:after="0" w:line="23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the investment managers using the present value of future cash flows expected to be received from the investments, based on valuation methodologies such as appraisals, local market conditions, and current and projected operating performance.</w:t>
      </w:r>
    </w:p>
    <w:p>
      <w:pPr>
        <w:spacing w:after="0" w:line="2" w:lineRule="exact"/>
        <w:rPr>
          <w:rFonts w:ascii="Arial" w:cs="Arial" w:eastAsia="Arial" w:hAnsi="Arial"/>
          <w:sz w:val="18"/>
          <w:szCs w:val="18"/>
          <w:color w:val="auto"/>
        </w:rPr>
      </w:pPr>
    </w:p>
    <w:p>
      <w:pPr>
        <w:ind w:left="900" w:right="320" w:hanging="325"/>
        <w:spacing w:after="0" w:line="23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Fair value estimates for certain fixed-income securities such as insurance contracts are calculated based on the future stream of benefit payments discounted using prevailing interest rates based on the valuation date.</w:t>
      </w:r>
    </w:p>
    <w:p>
      <w:pPr>
        <w:spacing w:after="0" w:line="1" w:lineRule="exact"/>
        <w:rPr>
          <w:rFonts w:ascii="Arial" w:cs="Arial" w:eastAsia="Arial" w:hAnsi="Arial"/>
          <w:sz w:val="18"/>
          <w:szCs w:val="18"/>
          <w:color w:val="auto"/>
        </w:rPr>
      </w:pPr>
    </w:p>
    <w:p>
      <w:pPr>
        <w:ind w:left="440" w:right="260" w:hanging="324"/>
        <w:spacing w:after="0" w:line="246" w:lineRule="auto"/>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earnings/(losses), included:</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Net Realized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January 1,</w:t>
            </w: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and Unrealized</w:t>
            </w:r>
          </w:p>
        </w:tc>
        <w:tc>
          <w:tcPr>
            <w:tcW w:w="1400" w:type="dxa"/>
            <w:vAlign w:val="bottom"/>
            <w:gridSpan w:val="4"/>
          </w:tcPr>
          <w:p>
            <w:pPr>
              <w:ind w:left="14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Transfers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Into/(Out of)</w:t>
            </w:r>
          </w:p>
        </w:tc>
        <w:tc>
          <w:tcPr>
            <w:tcW w:w="1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56"/>
        </w:trPr>
        <w:tc>
          <w:tcPr>
            <w:tcW w:w="1060" w:type="dxa"/>
            <w:vAlign w:val="bottom"/>
            <w:tcBorders>
              <w:top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ind w:left="700"/>
              <w:spacing w:after="0" w:line="155"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Pooled funds-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100" w:type="dxa"/>
            <w:vAlign w:val="bottom"/>
          </w:tcPr>
          <w:p>
            <w:pPr>
              <w:spacing w:after="0"/>
              <w:rPr>
                <w:sz w:val="17"/>
                <w:szCs w:val="17"/>
                <w:color w:val="auto"/>
              </w:rPr>
            </w:pPr>
          </w:p>
        </w:tc>
        <w:tc>
          <w:tcPr>
            <w:tcW w:w="11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18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bond and other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Level 3 investments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602</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Net Realized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January 1,</w:t>
            </w: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and Unrealized</w:t>
            </w:r>
          </w:p>
        </w:tc>
        <w:tc>
          <w:tcPr>
            <w:tcW w:w="1400" w:type="dxa"/>
            <w:vAlign w:val="bottom"/>
            <w:gridSpan w:val="4"/>
          </w:tcPr>
          <w:p>
            <w:pPr>
              <w:ind w:left="14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Transfers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Into/(Out of)</w:t>
            </w:r>
          </w:p>
        </w:tc>
        <w:tc>
          <w:tcPr>
            <w:tcW w:w="1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56"/>
        </w:trPr>
        <w:tc>
          <w:tcPr>
            <w:tcW w:w="1060" w:type="dxa"/>
            <w:vAlign w:val="bottom"/>
            <w:tcBorders>
              <w:top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ind w:left="700"/>
              <w:spacing w:after="0" w:line="155"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Pooled funds-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100" w:type="dxa"/>
            <w:vAlign w:val="bottom"/>
          </w:tcPr>
          <w:p>
            <w:pPr>
              <w:spacing w:after="0"/>
              <w:rPr>
                <w:sz w:val="17"/>
                <w:szCs w:val="17"/>
                <w:color w:val="auto"/>
              </w:rPr>
            </w:pPr>
          </w:p>
        </w:tc>
        <w:tc>
          <w:tcPr>
            <w:tcW w:w="11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bond and other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Level 3 investments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924</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increases in Level 3 pension plan investments during 2017 were primarily due to net purchases in corporate bonds and other fixed income securities, which includes private debt placements, and the effects of currency. The decreases in Level 3 pension plan investments during 2016 were primarily due to net settlements in real estate funds and the effects of currency.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U.S. Plans</w:t>
            </w:r>
          </w:p>
        </w:tc>
        <w:tc>
          <w:tcPr>
            <w:tcW w:w="70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70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rPr>
              <w:t>Non-U.S. Plans</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320" w:type="dxa"/>
            <w:vAlign w:val="bottom"/>
            <w:tcBorders>
              <w:bottom w:val="single" w:sz="8" w:color="auto"/>
            </w:tcBorders>
            <w:gridSpan w:val="4"/>
          </w:tcPr>
          <w:p>
            <w:pPr>
              <w:jc w:val="right"/>
              <w:ind w:right="412"/>
              <w:spacing w:after="0" w:line="155" w:lineRule="exact"/>
              <w:rPr>
                <w:sz w:val="20"/>
                <w:szCs w:val="20"/>
                <w:color w:val="auto"/>
              </w:rPr>
            </w:pPr>
            <w:r>
              <w:rPr>
                <w:rFonts w:ascii="Arial" w:cs="Arial" w:eastAsia="Arial" w:hAnsi="Arial"/>
                <w:sz w:val="14"/>
                <w:szCs w:val="14"/>
                <w:b w:val="1"/>
                <w:bCs w:val="1"/>
                <w:color w:val="auto"/>
              </w:rPr>
              <w:t>As of December 31,</w:t>
            </w:r>
          </w:p>
        </w:tc>
        <w:tc>
          <w:tcPr>
            <w:tcW w:w="580" w:type="dxa"/>
            <w:vAlign w:val="bottom"/>
          </w:tcPr>
          <w:p>
            <w:pPr>
              <w:spacing w:after="0"/>
              <w:rPr>
                <w:sz w:val="13"/>
                <w:szCs w:val="13"/>
                <w:color w:val="auto"/>
              </w:rPr>
            </w:pPr>
          </w:p>
        </w:tc>
        <w:tc>
          <w:tcPr>
            <w:tcW w:w="23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gridSpan w:val="2"/>
            <w:vMerge w:val="continue"/>
          </w:tcPr>
          <w:p>
            <w:pPr>
              <w:spacing w:after="0"/>
              <w:rPr>
                <w:sz w:val="13"/>
                <w:szCs w:val="13"/>
                <w:color w:val="auto"/>
              </w:rPr>
            </w:pPr>
          </w:p>
        </w:tc>
        <w:tc>
          <w:tcPr>
            <w:tcW w:w="88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86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060" w:type="dxa"/>
            <w:vAlign w:val="bottom"/>
            <w:tcBorders>
              <w:top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16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6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Cash</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For our U.S. plans, our investment strategy is to reduce the risk of underfunded plans in part through appropriate asset allocation within our plan assets. We attempt to maintain our target asset allocation by rebalancing between asset classes as we make contributions and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32% equity securities (including investments in real estate), approximately 66% fixed-income securities and approximately 2% for other types of securities. Our investment strategy for our largest non-U.S. plan, which comprises 63% of our non-U.S. pension assets, is designed to balance risk and return by diversifying across a wide range of return-seeking and liability matching assets, invested in a range of both active and passive mandates. We target an allocation of approximately 23% in equity securities, 20% credit, and 57% liability matching assets. The strategy uses indexed global developed equities, actively managed global investment grade and alternative credit, real estate and other liability matching assets including a buy-in annuity policy.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2017, we contributed $23 million to our U.S. pension plans and $470 million to our non-U.S. pension plans. The non-U.S. amount included a non-recurring $250 million contribution made in connection with a new funding agreement for a Company plan in the United Kingdom. In addition, employees contributed $12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162"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In 2018, we estimate that our pension contributions will be $39 million to our U.S. plans and $250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2017 were (in millions):</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2023-2027</w:t>
            </w:r>
          </w:p>
        </w:tc>
        <w:tc>
          <w:tcPr>
            <w:tcW w:w="60" w:type="dxa"/>
            <w:vAlign w:val="bottom"/>
          </w:tcPr>
          <w:p>
            <w:pPr>
              <w:spacing w:after="0"/>
              <w:rPr>
                <w:sz w:val="15"/>
                <w:szCs w:val="15"/>
                <w:color w:val="auto"/>
              </w:rPr>
            </w:pPr>
          </w:p>
        </w:tc>
      </w:tr>
      <w:tr>
        <w:trPr>
          <w:trHeight w:val="88"/>
        </w:trPr>
        <w:tc>
          <w:tcPr>
            <w:tcW w:w="2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U.S. Plans</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Non-U.S. Plans</w:t>
            </w:r>
          </w:p>
        </w:tc>
        <w:tc>
          <w:tcPr>
            <w:tcW w:w="62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2,196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of</w:t>
      </w:r>
    </w:p>
    <w:p>
      <w:pPr>
        <w:spacing w:after="0" w:line="239" w:lineRule="auto"/>
        <w:rPr>
          <w:sz w:val="20"/>
          <w:szCs w:val="20"/>
          <w:color w:val="auto"/>
        </w:rPr>
      </w:pPr>
      <w:r>
        <w:rPr>
          <w:rFonts w:ascii="Arial" w:cs="Arial" w:eastAsia="Arial" w:hAnsi="Arial"/>
          <w:sz w:val="18"/>
          <w:szCs w:val="18"/>
          <w:color w:val="auto"/>
        </w:rPr>
        <w:t>$26 million in 2017, $ 25 million in 2016 and $31 million in 2015. There are risks of participating in multiemployer pension plans that are different from single employer plans. Contributions made by a participating employer are not segregated to be used to provide benefits for participants related to that participating employer. If a participating employer stops contributing to the plan, the unfunded vested obligations of the plan are borne by the remaining participating employers.</w:t>
      </w:r>
    </w:p>
    <w:p>
      <w:pPr>
        <w:spacing w:after="0" w:line="16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only individually significant multiemployer plan we participate in as of December 31, 2017 is the Bakery and Confectionery Union and Industry International Pension Fund (the “Fund”). Our contributions to the Fund exceeded 5% of total contributions to the Fund for fiscal years 2017, 2016 and 2015. Our contributions to the Fund were $22 million in 2017, $ 21 million in 2016 and $27 million in 2015. Our contributions to other multiemployer pension plans that were not individually significant were $4 million in 2017, $4 million in 2016 and $ 4 million in 2015. Our contributions are based on our contribution rates under our collective bargaining agreements, the number of our eligible employees and Fund surcharges.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62"/>
        </w:trPr>
        <w:tc>
          <w:tcPr>
            <w:tcW w:w="9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FIP / RP</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of Collective-</w:t>
            </w:r>
          </w:p>
        </w:tc>
      </w:tr>
      <w:tr>
        <w:trPr>
          <w:trHeight w:val="162"/>
        </w:trPr>
        <w:tc>
          <w:tcPr>
            <w:tcW w:w="9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EIN / Pension</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Protection Act</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Status Pending /</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Surcharge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Bargaining</w:t>
            </w:r>
          </w:p>
        </w:tc>
      </w:tr>
      <w:tr>
        <w:trPr>
          <w:trHeight w:val="17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Pension Fund</w:t>
            </w:r>
          </w:p>
        </w:tc>
        <w:tc>
          <w:tcPr>
            <w:tcW w:w="4420" w:type="dxa"/>
            <w:vAlign w:val="bottom"/>
          </w:tcPr>
          <w:p>
            <w:pPr>
              <w:spacing w:after="0"/>
              <w:rPr>
                <w:sz w:val="15"/>
                <w:szCs w:val="15"/>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Number</w:t>
            </w:r>
          </w:p>
        </w:tc>
        <w:tc>
          <w:tcPr>
            <w:tcW w:w="2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Zone Status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Implemented</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Imposed</w:t>
            </w:r>
          </w:p>
        </w:tc>
        <w:tc>
          <w:tcPr>
            <w:tcW w:w="2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Agreements</w:t>
            </w:r>
          </w:p>
        </w:tc>
      </w:tr>
      <w:tr>
        <w:trPr>
          <w:trHeight w:val="290"/>
        </w:trPr>
        <w:tc>
          <w:tcPr>
            <w:tcW w:w="5380" w:type="dxa"/>
            <w:vAlign w:val="bottom"/>
            <w:gridSpan w:val="2"/>
          </w:tcPr>
          <w:p>
            <w:pPr>
              <w:spacing w:after="0"/>
              <w:rPr>
                <w:sz w:val="20"/>
                <w:szCs w:val="20"/>
                <w:color w:val="auto"/>
              </w:rPr>
            </w:pPr>
            <w:r>
              <w:rPr>
                <w:rFonts w:ascii="Arial" w:cs="Arial" w:eastAsia="Arial" w:hAnsi="Arial"/>
                <w:sz w:val="18"/>
                <w:szCs w:val="18"/>
                <w:color w:val="auto"/>
              </w:rPr>
              <w:t>Bakery and Confectionery Union and</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color w:val="auto"/>
              </w:rPr>
              <w:t>Industry International Pension Fund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526118572</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Red</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Implemented</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Yes</w:t>
            </w:r>
          </w:p>
        </w:tc>
        <w:tc>
          <w:tcPr>
            <w:tcW w:w="1060" w:type="dxa"/>
            <w:vAlign w:val="bottom"/>
          </w:tcPr>
          <w:p>
            <w:pPr>
              <w:jc w:val="right"/>
              <w:spacing w:after="0"/>
              <w:rPr>
                <w:sz w:val="20"/>
                <w:szCs w:val="20"/>
                <w:color w:val="auto"/>
              </w:rPr>
            </w:pPr>
            <w:r>
              <w:rPr>
                <w:rFonts w:ascii="Arial" w:cs="Arial" w:eastAsia="Arial" w:hAnsi="Arial"/>
                <w:sz w:val="18"/>
                <w:szCs w:val="18"/>
                <w:color w:val="auto"/>
              </w:rPr>
              <w:t>2/29/2016</w:t>
            </w:r>
          </w:p>
        </w:tc>
      </w:tr>
    </w:tbl>
    <w:p>
      <w:pPr>
        <w:spacing w:after="0" w:line="16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Effective January 1, 2012, the Fund’s zone status changed to “Red”. As a result of this certification, beginning in July 2012, we were charged a 10% surcharge on our contribution rates. The Fund subsequently adopted a rehabilitation plan on November 7, 2012 that required contribution increases and reductions to benefit provisions. As of August 28, 2016, the 10% surcharge was no longer applicable and we were required to pay higher contributions under the Fund’s rehabilitation plan. Although our collective bargaining agreements with the Fund expired during 2016 and while we continue to renegotiate the agreements, we continue to make contributions to the Fund.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$43 million in 2017, $44 million in 2016 and $45 million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rPr>
          <w:sz w:val="20"/>
          <w:szCs w:val="20"/>
          <w:color w:val="auto"/>
        </w:rPr>
      </w:pPr>
      <w:r>
        <w:rPr>
          <w:rFonts w:ascii="Arial" w:cs="Arial" w:eastAsia="Arial" w:hAnsi="Arial"/>
          <w:sz w:val="18"/>
          <w:szCs w:val="18"/>
          <w:color w:val="auto"/>
        </w:rPr>
        <w:t>Our postretirement health care plans are not funded. The changes in and the amount of the accrued benefit obligation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9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r>
      <w:tr>
        <w:trPr>
          <w:trHeight w:val="184"/>
        </w:trPr>
        <w:tc>
          <w:tcPr>
            <w:tcW w:w="7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obligation at January 1</w:t>
            </w:r>
          </w:p>
        </w:tc>
        <w:tc>
          <w:tcPr>
            <w:tcW w:w="6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62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6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Plan amendments </w:t>
            </w:r>
            <w:r>
              <w:rPr>
                <w:rFonts w:ascii="Arial" w:cs="Arial" w:eastAsia="Arial" w:hAnsi="Arial"/>
                <w:sz w:val="15"/>
                <w:szCs w:val="15"/>
                <w:color w:val="auto"/>
              </w:rPr>
              <w:t>(1)</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Currency</w:t>
            </w:r>
          </w:p>
        </w:tc>
        <w:tc>
          <w:tcPr>
            <w:tcW w:w="62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Assumption changes</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23"/>
        </w:trPr>
        <w:tc>
          <w:tcPr>
            <w:tcW w:w="7940" w:type="dxa"/>
            <w:vAlign w:val="bottom"/>
          </w:tcPr>
          <w:p>
            <w:pPr>
              <w:ind w:left="180"/>
              <w:spacing w:after="0"/>
              <w:rPr>
                <w:sz w:val="20"/>
                <w:szCs w:val="20"/>
                <w:color w:val="auto"/>
              </w:rPr>
            </w:pPr>
            <w:r>
              <w:rPr>
                <w:rFonts w:ascii="Arial" w:cs="Arial" w:eastAsia="Arial" w:hAnsi="Arial"/>
                <w:sz w:val="18"/>
                <w:szCs w:val="18"/>
                <w:color w:val="auto"/>
              </w:rPr>
              <w:t>Actuarial losses/(gains)</w:t>
            </w:r>
          </w:p>
        </w:tc>
        <w:tc>
          <w:tcPr>
            <w:tcW w:w="62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obligation at December 31</w:t>
            </w:r>
          </w:p>
        </w:tc>
        <w:tc>
          <w:tcPr>
            <w:tcW w:w="6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00" w:hanging="335"/>
        <w:spacing w:after="0" w:line="258" w:lineRule="auto"/>
        <w:tabs>
          <w:tab w:leader="none" w:pos="11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Plan amendments in 2016 included a change in eligibility requirements related to medical and life insurance benefits and a change in benefits for Medicare-eligible participants.</w:t>
      </w:r>
    </w:p>
    <w:p>
      <w:pPr>
        <w:spacing w:after="0" w:line="18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current portion of our accrued postretirement benefit obligation of $16 million at December 31, 2017 and $12 million at December 31, 2016 was included in other current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ectPr>
          <w:pgSz w:w="11900" w:h="16838" w:orient="portrait"/>
          <w:cols w:equalWidth="0" w:num="1">
            <w:col w:w="11420"/>
          </w:cols>
          <w:pgMar w:left="240" w:top="459" w:right="239" w:bottom="1440" w:gutter="0" w:footer="0" w:header="0"/>
        </w:sectPr>
      </w:pPr>
    </w:p>
    <w:p>
      <w:pPr>
        <w:spacing w:after="0" w:line="22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8890</wp:posOffset>
            </wp:positionV>
            <wp:extent cx="1191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9"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0</wp:posOffset>
            </wp:positionV>
            <wp:extent cx="1191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7740"/>
        <w:spacing w:after="0"/>
        <w:tabs>
          <w:tab w:leader="none" w:pos="8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0</wp:posOffset>
            </wp:positionV>
            <wp:extent cx="11918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8890</wp:posOffset>
            </wp:positionV>
            <wp:extent cx="11918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0</wp:posOffset>
            </wp:positionV>
            <wp:extent cx="11918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tabs>
          <w:tab w:leader="none" w:pos="10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0</wp:posOffset>
            </wp:positionV>
            <wp:extent cx="11918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9060" w:space="700"/>
            <w:col w:w="1660"/>
          </w:cols>
          <w:pgMar w:left="240" w:top="459" w:right="239" w:bottom="1440" w:gutter="0" w:footer="0" w:header="0"/>
          <w:type w:val="continuous"/>
        </w:sectPr>
      </w:pPr>
    </w:p>
    <w:tbl>
      <w:tblPr>
        <w:tblLayout w:type="fixed"/>
        <w:tblInd w:w="760" w:type="dxa"/>
        <w:tblCellMar>
          <w:top w:w="0" w:type="dxa"/>
          <w:left w:w="0" w:type="dxa"/>
          <w:bottom w:w="0" w:type="dxa"/>
          <w:right w:w="0" w:type="dxa"/>
        </w:tblCellMar>
      </w:tblPr>
      <w:tr>
        <w:trPr>
          <w:trHeight w:val="21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3.66%</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4.14%</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6.25%</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6.50%</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5.56%</w:t>
            </w: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2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4.81%</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2024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20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20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At the end of 2015, we changed the approach used to measure service and interest costs for other postretirement benefits. For 2015, we measured service and interest costs utilizing a single weighted-average discount rate derived from the yield curve used to measure the plan obligations. For 2016, we measured service and interest costs by applying the specific spot rates along that yield curve to the plans’ liability cash flows. We believe the new approach provided a more precise measurement of service and interest costs by aligning the timing of the plans’ liability cash flows to the corresponding spot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rates on the yield curve. The impact of this change was a decrease in net periodic postretirement cost of approximately $4 million for the year ended December 31, 2016. This change does not affect the measurement of our plan obligations. We accounted for this change as a change in accounting estimate and, accordingly, accounted for it on a prospective basis.</w:t>
      </w:r>
    </w:p>
    <w:p>
      <w:pPr>
        <w:spacing w:after="0" w:line="176"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Assumed health care cost trend rates have a significant impact on the amounts reported for the health care plans. A one-percentage-point change in assumed health care cost trend rates would have the following effects: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Effect on postretirement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Effect on annual service and interest cost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663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One-Percentage-Point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663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160"/>
        <w:spacing w:after="0"/>
        <w:tabs>
          <w:tab w:leader="none" w:pos="1820" w:val="left"/>
        </w:tabs>
        <w:rPr>
          <w:sz w:val="20"/>
          <w:szCs w:val="20"/>
          <w:color w:val="auto"/>
        </w:rPr>
      </w:pPr>
      <w:r>
        <w:rPr>
          <w:rFonts w:ascii="Arial" w:cs="Arial" w:eastAsia="Arial" w:hAnsi="Arial"/>
          <w:sz w:val="14"/>
          <w:szCs w:val="14"/>
          <w:b w:val="1"/>
          <w:bCs w:val="1"/>
          <w:color w:val="auto"/>
        </w:rPr>
        <w:t>Increase</w:t>
      </w:r>
      <w:r>
        <w:rPr>
          <w:sz w:val="20"/>
          <w:szCs w:val="20"/>
          <w:color w:val="auto"/>
        </w:rPr>
        <w:tab/>
      </w:r>
      <w:r>
        <w:rPr>
          <w:rFonts w:ascii="Arial" w:cs="Arial" w:eastAsia="Arial" w:hAnsi="Arial"/>
          <w:sz w:val="14"/>
          <w:szCs w:val="14"/>
          <w:b w:val="1"/>
          <w:bCs w:val="1"/>
          <w:color w:val="auto"/>
        </w:rPr>
        <w:t>Decrease</w:t>
      </w:r>
    </w:p>
    <w:tbl>
      <w:tblPr>
        <w:tblLayout w:type="fixed"/>
        <w:tblInd w:w="0" w:type="dxa"/>
        <w:tblCellMar>
          <w:top w:w="0" w:type="dxa"/>
          <w:left w:w="0" w:type="dxa"/>
          <w:bottom w:w="0" w:type="dxa"/>
          <w:right w:w="0" w:type="dxa"/>
        </w:tblCellMar>
      </w:tblPr>
      <w:tr>
        <w:trPr>
          <w:trHeight w:val="190"/>
        </w:trPr>
        <w:tc>
          <w:tcPr>
            <w:tcW w:w="4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302"/>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96"/>
              <w:spacing w:after="0"/>
              <w:rPr>
                <w:sz w:val="20"/>
                <w:szCs w:val="20"/>
                <w:color w:val="auto"/>
              </w:rPr>
            </w:pPr>
            <w:r>
              <w:rPr>
                <w:rFonts w:ascii="Arial" w:cs="Arial" w:eastAsia="Arial" w:hAnsi="Arial"/>
                <w:sz w:val="18"/>
                <w:szCs w:val="18"/>
                <w:color w:val="auto"/>
              </w:rPr>
              <w:t>49</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7"/>
        </w:trPr>
        <w:tc>
          <w:tcPr>
            <w:tcW w:w="400" w:type="dxa"/>
            <w:vAlign w:val="bottom"/>
          </w:tcPr>
          <w:p>
            <w:pPr>
              <w:spacing w:after="0"/>
              <w:rPr>
                <w:sz w:val="18"/>
                <w:szCs w:val="18"/>
                <w:color w:val="auto"/>
              </w:rPr>
            </w:pPr>
          </w:p>
        </w:tc>
        <w:tc>
          <w:tcPr>
            <w:tcW w:w="900" w:type="dxa"/>
            <w:vAlign w:val="bottom"/>
          </w:tcPr>
          <w:p>
            <w:pPr>
              <w:jc w:val="right"/>
              <w:ind w:right="296"/>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w:t>
            </w:r>
          </w:p>
        </w:tc>
      </w:tr>
    </w:tbl>
    <w:p>
      <w:pPr>
        <w:spacing w:after="0" w:line="769" w:lineRule="exact"/>
        <w:rPr>
          <w:sz w:val="20"/>
          <w:szCs w:val="20"/>
          <w:color w:val="auto"/>
        </w:rPr>
      </w:pPr>
    </w:p>
    <w:p>
      <w:pPr>
        <w:sectPr>
          <w:pgSz w:w="11900" w:h="16838" w:orient="portrait"/>
          <w:cols w:equalWidth="0" w:num="2">
            <w:col w:w="7960" w:space="720"/>
            <w:col w:w="2740"/>
          </w:cols>
          <w:pgMar w:left="240" w:top="459" w:right="239" w:bottom="1440" w:gutter="0" w:footer="0" w:header="0"/>
          <w:type w:val="continuous"/>
        </w:sectPr>
      </w:pPr>
    </w:p>
    <w:tbl>
      <w:tblPr>
        <w:tblLayout w:type="fixed"/>
        <w:tblInd w:w="76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Interest cost</w:t>
            </w:r>
          </w:p>
        </w:tc>
        <w:tc>
          <w:tcPr>
            <w:tcW w:w="640" w:type="dxa"/>
            <w:vAlign w:val="bottom"/>
          </w:tcPr>
          <w:p>
            <w:pPr>
              <w:spacing w:after="0"/>
              <w:rPr>
                <w:sz w:val="18"/>
                <w:szCs w:val="18"/>
                <w:color w:val="auto"/>
              </w:rPr>
            </w:pPr>
          </w:p>
        </w:tc>
        <w:tc>
          <w:tcPr>
            <w:tcW w:w="1060" w:type="dxa"/>
            <w:vAlign w:val="bottom"/>
            <w:gridSpan w:val="2"/>
          </w:tcPr>
          <w:p>
            <w:pPr>
              <w:jc w:val="right"/>
              <w:ind w:right="708"/>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640" w:type="dxa"/>
            <w:vAlign w:val="bottom"/>
          </w:tcPr>
          <w:p>
            <w:pPr>
              <w:spacing w:after="0"/>
              <w:rPr>
                <w:sz w:val="18"/>
                <w:szCs w:val="18"/>
                <w:color w:val="auto"/>
              </w:rPr>
            </w:pPr>
          </w:p>
        </w:tc>
        <w:tc>
          <w:tcPr>
            <w:tcW w:w="1060" w:type="dxa"/>
            <w:vAlign w:val="bottom"/>
            <w:gridSpan w:val="2"/>
          </w:tcPr>
          <w:p>
            <w:pPr>
              <w:jc w:val="right"/>
              <w:ind w:right="708"/>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15"/>
                <w:szCs w:val="15"/>
                <w:color w:val="auto"/>
              </w:rPr>
              <w:t>(1)</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w w:val="99"/>
              </w:rPr>
              <w:t>(40)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Net periodic postretirement health care costs</w:t>
            </w: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48"/>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22</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140" w:right="200" w:hanging="335"/>
        <w:spacing w:after="0" w:line="258" w:lineRule="auto"/>
        <w:tabs>
          <w:tab w:leader="none" w:pos="11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the fourth quarter of 2016, the prior service credit included a one-time $9 million curtailment gain related to a change in the eligibility requirement resulting in ongoing amortization of $10 million. In 2017, we continue to amortize prior service credit and recorded $40 million on a full year basis.</w:t>
      </w:r>
    </w:p>
    <w:p>
      <w:pPr>
        <w:spacing w:after="0" w:line="148"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color w:val="auto"/>
        </w:rPr>
        <w:t>As of December 31, 2017, we expected to amortize from accumulated other comprehensive earnings/(losses) into pre-tax net periodic postretirement health care costs during 2018:</w:t>
      </w:r>
    </w:p>
    <w:p>
      <w:pPr>
        <w:ind w:left="900" w:hanging="325"/>
        <w:spacing w:after="0" w:line="23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estimated $18 million of net loss from experience differences, and</w:t>
      </w: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estimated $39 million of prior service credit.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U.S. Plans</w:t>
            </w:r>
          </w:p>
        </w:tc>
        <w:tc>
          <w:tcPr>
            <w:tcW w:w="8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Non-U.S. Plans</w:t>
            </w:r>
          </w:p>
        </w:tc>
        <w:tc>
          <w:tcPr>
            <w:tcW w:w="820" w:type="dxa"/>
            <w:vAlign w:val="bottom"/>
            <w:tcBorders>
              <w:bottom w:val="single" w:sz="8" w:color="auto"/>
            </w:tcBorders>
          </w:tcPr>
          <w:p>
            <w:pPr>
              <w:spacing w:after="0"/>
              <w:rPr>
                <w:sz w:val="15"/>
                <w:szCs w:val="15"/>
                <w:color w:val="auto"/>
              </w:rPr>
            </w:pPr>
          </w:p>
        </w:tc>
      </w:tr>
      <w:tr>
        <w:trPr>
          <w:trHeight w:val="156"/>
        </w:trPr>
        <w:tc>
          <w:tcPr>
            <w:tcW w:w="3660" w:type="dxa"/>
            <w:vAlign w:val="bottom"/>
          </w:tcPr>
          <w:p>
            <w:pPr>
              <w:spacing w:after="0"/>
              <w:rPr>
                <w:sz w:val="13"/>
                <w:szCs w:val="13"/>
                <w:color w:val="auto"/>
              </w:rPr>
            </w:pPr>
          </w:p>
        </w:tc>
        <w:tc>
          <w:tcPr>
            <w:tcW w:w="328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420" w:type="dxa"/>
            <w:vAlign w:val="bottom"/>
          </w:tcPr>
          <w:p>
            <w:pPr>
              <w:spacing w:after="0"/>
              <w:rPr>
                <w:sz w:val="13"/>
                <w:szCs w:val="13"/>
                <w:color w:val="auto"/>
              </w:rPr>
            </w:pPr>
          </w:p>
        </w:tc>
        <w:tc>
          <w:tcPr>
            <w:tcW w:w="330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366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1240" w:type="dxa"/>
            <w:vAlign w:val="bottom"/>
            <w:gridSpan w:val="2"/>
          </w:tcPr>
          <w:p>
            <w:pPr>
              <w:jc w:val="center"/>
              <w:ind w:left="359"/>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2015</w:t>
            </w:r>
          </w:p>
        </w:tc>
      </w:tr>
      <w:tr>
        <w:trPr>
          <w:trHeight w:val="88"/>
        </w:trPr>
        <w:tc>
          <w:tcPr>
            <w:tcW w:w="366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4.14%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4.60%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4.55%</w:t>
            </w:r>
          </w:p>
        </w:tc>
        <w:tc>
          <w:tcPr>
            <w:tcW w:w="124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color w:val="auto"/>
                <w:w w:val="97"/>
              </w:rPr>
              <w:t>4.77%</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4.52%</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Health care cost trend rate</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6.50%</w:t>
            </w:r>
          </w:p>
        </w:tc>
        <w:tc>
          <w:tcPr>
            <w:tcW w:w="4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6.50%</w:t>
            </w:r>
          </w:p>
        </w:tc>
        <w:tc>
          <w:tcPr>
            <w:tcW w:w="4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6.50%</w:t>
            </w:r>
          </w:p>
        </w:tc>
        <w:tc>
          <w:tcPr>
            <w:tcW w:w="4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5.50%</w:t>
            </w:r>
          </w:p>
        </w:tc>
        <w:tc>
          <w:tcPr>
            <w:tcW w:w="1240" w:type="dxa"/>
            <w:vAlign w:val="bottom"/>
            <w:gridSpan w:val="2"/>
          </w:tcPr>
          <w:p>
            <w:pPr>
              <w:jc w:val="center"/>
              <w:ind w:left="339"/>
              <w:spacing w:after="0"/>
              <w:rPr>
                <w:sz w:val="20"/>
                <w:szCs w:val="20"/>
                <w:color w:val="auto"/>
              </w:rPr>
            </w:pPr>
            <w:r>
              <w:rPr>
                <w:rFonts w:ascii="Arial" w:cs="Arial" w:eastAsia="Arial" w:hAnsi="Arial"/>
                <w:sz w:val="18"/>
                <w:szCs w:val="18"/>
                <w:color w:val="auto"/>
                <w:w w:val="97"/>
              </w:rPr>
              <w:t>5.50%</w:t>
            </w:r>
          </w:p>
        </w:tc>
        <w:tc>
          <w:tcPr>
            <w:tcW w:w="4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5.18%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2017 were (in millions):</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rPr>
              <w:t>2023-2027</w:t>
            </w:r>
          </w:p>
        </w:tc>
        <w:tc>
          <w:tcPr>
            <w:tcW w:w="60" w:type="dxa"/>
            <w:vAlign w:val="bottom"/>
          </w:tcPr>
          <w:p>
            <w:pPr>
              <w:spacing w:after="0"/>
              <w:rPr>
                <w:sz w:val="15"/>
                <w:szCs w:val="15"/>
                <w:color w:val="auto"/>
              </w:rPr>
            </w:pPr>
          </w:p>
        </w:tc>
      </w:tr>
      <w:tr>
        <w:trPr>
          <w:trHeight w:val="88"/>
        </w:trPr>
        <w:tc>
          <w:tcPr>
            <w:tcW w:w="1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U.S. Plans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Non-U.S. Plans</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made contributions to multiemployer medical plans totaling $ 18 million in 2017, $19 million in 2016 and $20 million in 2015. These plans provide medical benefits to active employees and retirees under certain collective bargaining agreements.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ind w:right="260"/>
        <w:spacing w:after="0" w:line="246" w:lineRule="auto"/>
        <w:rPr>
          <w:sz w:val="20"/>
          <w:szCs w:val="20"/>
          <w:color w:val="auto"/>
        </w:rPr>
      </w:pPr>
      <w:r>
        <w:rPr>
          <w:rFonts w:ascii="Arial" w:cs="Arial" w:eastAsia="Arial" w:hAnsi="Arial"/>
          <w:sz w:val="18"/>
          <w:szCs w:val="18"/>
          <w:color w:val="auto"/>
        </w:rPr>
        <w:t>Our postemployment plans are primarily not funded. The changes in and the amount of the accrued benefit obligation at December 31, 2017 and 2016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86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7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obligation at January 1</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640" w:type="dxa"/>
            <w:vAlign w:val="bottom"/>
          </w:tcPr>
          <w:p>
            <w:pPr>
              <w:spacing w:after="0"/>
              <w:rPr>
                <w:sz w:val="18"/>
                <w:szCs w:val="18"/>
                <w:color w:val="auto"/>
              </w:rPr>
            </w:pP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640" w:type="dxa"/>
            <w:vAlign w:val="bottom"/>
          </w:tcPr>
          <w:p>
            <w:pPr>
              <w:spacing w:after="0"/>
              <w:rPr>
                <w:sz w:val="18"/>
                <w:szCs w:val="18"/>
                <w:color w:val="auto"/>
              </w:rPr>
            </w:pPr>
          </w:p>
        </w:tc>
        <w:tc>
          <w:tcPr>
            <w:tcW w:w="1120" w:type="dxa"/>
            <w:vAlign w:val="bottom"/>
            <w:gridSpan w:val="2"/>
          </w:tcPr>
          <w:p>
            <w:pPr>
              <w:jc w:val="right"/>
              <w:ind w:right="708"/>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Assumption changes</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Actuarial losses/(gains)</w:t>
            </w:r>
          </w:p>
        </w:tc>
        <w:tc>
          <w:tcPr>
            <w:tcW w:w="640" w:type="dxa"/>
            <w:vAlign w:val="bottom"/>
          </w:tcPr>
          <w:p>
            <w:pPr>
              <w:spacing w:after="0"/>
              <w:rPr>
                <w:sz w:val="18"/>
                <w:szCs w:val="18"/>
                <w:color w:val="auto"/>
              </w:rPr>
            </w:pP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7"/>
        </w:trPr>
        <w:tc>
          <w:tcPr>
            <w:tcW w:w="7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obligation at December 31</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r>
      <w:tr>
        <w:trPr>
          <w:trHeight w:val="20"/>
        </w:trPr>
        <w:tc>
          <w:tcPr>
            <w:tcW w:w="7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accrued benefit obligation was determined using a weighted-average discount rate of 6.5% in 2017 and 6.2% in 2016, an assumed weighted-average ultimate annual turnover rate of 0.3% in 2017 and 2016, assumed compensation cost increases of 4.0% in 2017 and 2016 and assumed benefits as defined in the respective plans.</w:t>
      </w:r>
    </w:p>
    <w:p>
      <w:pPr>
        <w:spacing w:after="0" w:line="20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Net periodic postemployment costs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680" w:type="dxa"/>
            <w:vAlign w:val="bottom"/>
            <w:gridSpan w:val="2"/>
          </w:tcPr>
          <w:p>
            <w:pPr>
              <w:jc w:val="right"/>
              <w:ind w:right="508"/>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of December 31, 2017, the estimated net gain for the postemployment benefit plans that we expected to amortize from accumulated other comprehensive earnings/(losses) into net periodic postemployment costs during 2018 was approximately $3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Plans</w:t>
      </w:r>
    </w:p>
    <w:p>
      <w:pPr>
        <w:spacing w:after="0" w:line="23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our Amended and Restated 2005 Performance Incentive Plan (the “Plan”), we are authorized through May 21, 2024 to issue a maximum of 243.7 million shares of our Common Stock to employees and non-employee directors. As of December 31, 2017, there were 67.2 million shares available to be granted under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Stock options (including stock appreciation rights) are granted at an exercise price equal to the market value of the underlying stock on the grant date, generally become exercisable in three annual installments beginning on the first anniversary of the grant date and have a maximum term of ten years.</w:t>
      </w:r>
    </w:p>
    <w:p>
      <w:pPr>
        <w:spacing w:after="0" w:line="2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to measure stock option expense at the date of grant. The fair value of the stock options at the date of grant is amortized to expense over the vesting period. We recorded compensation expense related to stock options held by our employees of $50 million in 2017, $57 million in 2016 and $50 million in 2015 in our results from continuing operations. The deferred tax benefit recorded related to this compensation expense was $12 million in 2017, $15 million in 2016 and $13 million in 2015. The unamortized compensation expense related to our employee stock options was $44 million at December 31, 2017 and is expected to be recognized over a weighted-average period of 1.2 years.</w:t>
      </w:r>
    </w:p>
    <w:p>
      <w:pPr>
        <w:spacing w:after="0" w:line="1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fair value assumptions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Risk-Free</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Expected</w:t>
            </w: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Expected</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r>
      <w:tr>
        <w:trPr>
          <w:trHeight w:val="175"/>
        </w:trPr>
        <w:tc>
          <w:tcPr>
            <w:tcW w:w="3460" w:type="dxa"/>
            <w:vAlign w:val="bottom"/>
          </w:tcPr>
          <w:p>
            <w:pPr>
              <w:spacing w:after="0"/>
              <w:rPr>
                <w:sz w:val="15"/>
                <w:szCs w:val="15"/>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Interest Rate</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Expected Life</w:t>
            </w: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Volatility</w:t>
            </w: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Dividend Yield</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at Grant Date</w:t>
            </w:r>
          </w:p>
        </w:tc>
      </w:tr>
      <w:tr>
        <w:trPr>
          <w:trHeight w:val="88"/>
        </w:trPr>
        <w:tc>
          <w:tcPr>
            <w:tcW w:w="346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3460" w:type="dxa"/>
            <w:vAlign w:val="bottom"/>
            <w:shd w:val="clear" w:color="auto" w:fill="CCEEFF"/>
          </w:tcPr>
          <w:p>
            <w:pPr>
              <w:jc w:val="right"/>
              <w:ind w:right="2970"/>
              <w:spacing w:after="0"/>
              <w:rPr>
                <w:sz w:val="20"/>
                <w:szCs w:val="20"/>
                <w:color w:val="auto"/>
              </w:rPr>
            </w:pPr>
            <w:r>
              <w:rPr>
                <w:rFonts w:ascii="Arial" w:cs="Arial" w:eastAsia="Arial" w:hAnsi="Arial"/>
                <w:sz w:val="18"/>
                <w:szCs w:val="18"/>
                <w:color w:val="auto"/>
                <w:w w:val="94"/>
              </w:rPr>
              <w:t>2017</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 years</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22.75%</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w:t>
            </w:r>
          </w:p>
        </w:tc>
      </w:tr>
      <w:tr>
        <w:trPr>
          <w:trHeight w:val="216"/>
        </w:trPr>
        <w:tc>
          <w:tcPr>
            <w:tcW w:w="3460" w:type="dxa"/>
            <w:vAlign w:val="bottom"/>
          </w:tcPr>
          <w:p>
            <w:pPr>
              <w:jc w:val="right"/>
              <w:ind w:right="2970"/>
              <w:spacing w:after="0"/>
              <w:rPr>
                <w:sz w:val="20"/>
                <w:szCs w:val="20"/>
                <w:color w:val="auto"/>
              </w:rPr>
            </w:pPr>
            <w:r>
              <w:rPr>
                <w:rFonts w:ascii="Arial" w:cs="Arial" w:eastAsia="Arial" w:hAnsi="Arial"/>
                <w:sz w:val="18"/>
                <w:szCs w:val="18"/>
                <w:color w:val="auto"/>
                <w:w w:val="94"/>
              </w:rPr>
              <w:t>2016</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6 years</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23.11%</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r>
      <w:tr>
        <w:trPr>
          <w:trHeight w:val="216"/>
        </w:trPr>
        <w:tc>
          <w:tcPr>
            <w:tcW w:w="3460" w:type="dxa"/>
            <w:vAlign w:val="bottom"/>
            <w:shd w:val="clear" w:color="auto" w:fill="CCEEFF"/>
          </w:tcPr>
          <w:p>
            <w:pPr>
              <w:jc w:val="right"/>
              <w:ind w:right="2970"/>
              <w:spacing w:after="0"/>
              <w:rPr>
                <w:sz w:val="20"/>
                <w:szCs w:val="20"/>
                <w:color w:val="auto"/>
              </w:rPr>
            </w:pPr>
            <w:r>
              <w:rPr>
                <w:rFonts w:ascii="Arial" w:cs="Arial" w:eastAsia="Arial" w:hAnsi="Arial"/>
                <w:sz w:val="18"/>
                <w:szCs w:val="18"/>
                <w:color w:val="auto"/>
                <w:w w:val="94"/>
              </w:rPr>
              <w:t>2015</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 years</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18.51%</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r>
    </w:tbl>
    <w:p>
      <w:pPr>
        <w:spacing w:after="0" w:line="21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Weighted-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Exercise 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 Subject</w:t>
            </w:r>
          </w:p>
        </w:tc>
        <w:tc>
          <w:tcPr>
            <w:tcW w:w="16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Grant Price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 Option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Per Share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88"/>
        </w:trPr>
        <w:tc>
          <w:tcPr>
            <w:tcW w:w="558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56,431,551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24.19</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 million</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8,899,530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36.94</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35.84</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9,800,870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36.84</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(6,444,515)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22.94</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 million</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(2,753,798)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32.35</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57,034,108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26.12</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1,068 million</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7,517,290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39.70</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42.26</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7,633,090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39.74</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(8,883,101)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24.09</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 million</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(2,182,485)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35.23</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53,601,612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28.02</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 million</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6,012,140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43.20</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42.54</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6,175,020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43.18</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(9,431,009)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26.17</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 million</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(1,910,968)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38.10</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48,434,655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29.92</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years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 million</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Exercisable at December 31, 2017</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37,240,858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26.58</w:t>
            </w:r>
          </w:p>
        </w:tc>
        <w:tc>
          <w:tcPr>
            <w:tcW w:w="860" w:type="dxa"/>
            <w:vAlign w:val="bottom"/>
          </w:tcPr>
          <w:p>
            <w:pPr>
              <w:ind w:left="160"/>
              <w:spacing w:after="0"/>
              <w:rPr>
                <w:sz w:val="20"/>
                <w:szCs w:val="20"/>
                <w:color w:val="auto"/>
              </w:rPr>
            </w:pPr>
            <w:r>
              <w:rPr>
                <w:rFonts w:ascii="Arial" w:cs="Arial" w:eastAsia="Arial" w:hAnsi="Arial"/>
                <w:sz w:val="18"/>
                <w:szCs w:val="18"/>
                <w:color w:val="auto"/>
              </w:rPr>
              <w:t>4 years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604 million</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620" w:hanging="335"/>
        <w:spacing w:after="0" w:line="258" w:lineRule="auto"/>
        <w:tabs>
          <w:tab w:leader="none" w:pos="11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Cash received from options exercised was $257 million in 2017, $221 million in 2016 and $148 million in 2015. The actual tax benefit realized for the tax deductions from the option exercises totaled $31 million in 2017, $31 million in 2016 and $58 million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only grant deferred stock units and performance share units and no longer grant restricted stock. We may grant shares of deferred stock units to eligible employees, giving them, in most instances, all of the rights of shareholders, except that they may not sell, assign, pledge or otherwise encumber the shares and our deferred stock units do not have voting rights until vested. Shares of deferred stock units are subject to forfeiture if certain employment conditions are not met. Deferred stock units generally vest on the third anniversary of the grant date. Performance share units granted under our 2005 Plan vest based on varying performance, market and service conditions. The unvested performance share units have no voting rights and do not pay dividends. Dividend equivalents accumulated over the vesting period are paid only after the performance share units vest.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fair value of the deferred stock units, performance share units and restricted stock at the date of grant is amortized to earnings over the vesting period. The fair value of our deferred stock units and restricted stock is measured at the market price of our Common Stock on the grant date. Performance share unit awards generally have targets tied to both performance and market-based conditions. For market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 condition components, we estimate the probability that the performance conditions will be achieved each quarter and adjust compensation expenses accordingly. The grant date fair value of performance share units is determined based on the Monte Carlo simulation model for the market-based total shareholder return component and the market price of our Common Stock on the grant date for performance-based components. The number of performance share units that ultimately vest ranges from 0-200 percent of the number granted, based on the achievement of the performance and market-based components. We recorded compensation expense related to deferred stock units, performance share units and restricted stock of $87 million in 2017, $83 million in 2016 and $86 million in 2015 in our results from continuing operations. The deferred tax benefit recorded related to this compensation expense was $23 million in 2017, $ 22 million in 2016 and $24 million in 2015. The unamortized compensation expense related to our deferred stock units, performance share units and restricted stock was $138 million at December 31, 2017 and is expected to be recognized over a weighted-average period of 1.8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restricted stock activity is reflected below:</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Balance at January 1, 2015</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Annual grant to eligible employees: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Performance share units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Restricted stock</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Deferred stock units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shares granted</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Balance at December 31, 2015</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Annual grant to eligible employees: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Performance share units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Deferred stock units</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(3)</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shares granted</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Balance at December 31, 2016</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Annual grant to eligible employees:</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Performance share units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Deferred stock units</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(3)</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shares granted</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Balance at December 31, 2017</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b w:val="1"/>
                <w:bCs w:val="1"/>
                <w:color w:val="auto"/>
              </w:rPr>
              <w:t>Weighted-Average   Weighted-Average</w:t>
            </w:r>
          </w:p>
        </w:tc>
        <w:tc>
          <w:tcPr>
            <w:tcW w:w="0" w:type="dxa"/>
            <w:vAlign w:val="bottom"/>
          </w:tcPr>
          <w:p>
            <w:pPr>
              <w:spacing w:after="0"/>
              <w:rPr>
                <w:sz w:val="1"/>
                <w:szCs w:val="1"/>
                <w:color w:val="auto"/>
              </w:rPr>
            </w:pPr>
          </w:p>
        </w:tc>
      </w:tr>
      <w:tr>
        <w:trPr>
          <w:trHeight w:val="162"/>
        </w:trPr>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100" w:type="dxa"/>
            <w:vAlign w:val="bottom"/>
          </w:tcPr>
          <w:p>
            <w:pPr>
              <w:jc w:val="right"/>
              <w:ind w:right="17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of Shares</w:t>
            </w:r>
          </w:p>
        </w:tc>
        <w:tc>
          <w:tcPr>
            <w:tcW w:w="320" w:type="dxa"/>
            <w:vAlign w:val="bottom"/>
          </w:tcPr>
          <w:p>
            <w:pPr>
              <w:spacing w:after="0"/>
              <w:rPr>
                <w:sz w:val="15"/>
                <w:szCs w:val="15"/>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Per Share (4)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Fair Value (4)</w:t>
            </w:r>
          </w:p>
        </w:tc>
        <w:tc>
          <w:tcPr>
            <w:tcW w:w="0" w:type="dxa"/>
            <w:vAlign w:val="bottom"/>
          </w:tcPr>
          <w:p>
            <w:pPr>
              <w:spacing w:after="0"/>
              <w:rPr>
                <w:sz w:val="1"/>
                <w:szCs w:val="1"/>
                <w:color w:val="auto"/>
              </w:rPr>
            </w:pPr>
          </w:p>
        </w:tc>
      </w:tr>
      <w:tr>
        <w:trPr>
          <w:trHeight w:val="30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10,582,640</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28.86</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Feb. 18, 2015</w:t>
            </w: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1,598,290</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38.81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386,910</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36.94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866,640</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36.94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1,087,322</w:t>
            </w:r>
          </w:p>
        </w:tc>
        <w:tc>
          <w:tcPr>
            <w:tcW w:w="32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Arial" w:cs="Arial" w:eastAsia="Arial" w:hAnsi="Arial"/>
                <w:sz w:val="18"/>
                <w:szCs w:val="18"/>
                <w:color w:val="auto"/>
                <w:w w:val="98"/>
              </w:rPr>
              <w:t>Various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36.00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60" w:type="dxa"/>
            <w:vAlign w:val="bottom"/>
          </w:tcPr>
          <w:p>
            <w:pPr>
              <w:jc w:val="right"/>
              <w:spacing w:after="0"/>
              <w:rPr>
                <w:sz w:val="20"/>
                <w:szCs w:val="20"/>
                <w:color w:val="auto"/>
              </w:rPr>
            </w:pPr>
            <w:r>
              <w:rPr>
                <w:rFonts w:ascii="Arial" w:cs="Arial" w:eastAsia="Arial" w:hAnsi="Arial"/>
                <w:sz w:val="18"/>
                <w:szCs w:val="18"/>
                <w:color w:val="auto"/>
              </w:rPr>
              <w:t>3,939,162</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37.44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 million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(3,905,745)</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24.66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 million</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(1,197,841)</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32.63</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9,418,216</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Feb. 22, 2016</w:t>
            </w: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1,406,500</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34.35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1,040,790</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39.70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864,851</w:t>
            </w:r>
          </w:p>
        </w:tc>
        <w:tc>
          <w:tcPr>
            <w:tcW w:w="32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Arial" w:cs="Arial" w:eastAsia="Arial" w:hAnsi="Arial"/>
                <w:sz w:val="18"/>
                <w:szCs w:val="18"/>
                <w:color w:val="auto"/>
                <w:w w:val="98"/>
              </w:rPr>
              <w:t>Various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32.90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60" w:type="dxa"/>
            <w:vAlign w:val="bottom"/>
          </w:tcPr>
          <w:p>
            <w:pPr>
              <w:jc w:val="right"/>
              <w:spacing w:after="0"/>
              <w:rPr>
                <w:sz w:val="20"/>
                <w:szCs w:val="20"/>
                <w:color w:val="auto"/>
              </w:rPr>
            </w:pPr>
            <w:r>
              <w:rPr>
                <w:rFonts w:ascii="Arial" w:cs="Arial" w:eastAsia="Arial" w:hAnsi="Arial"/>
                <w:sz w:val="18"/>
                <w:szCs w:val="18"/>
                <w:color w:val="auto"/>
              </w:rPr>
              <w:t>3,312,141</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 million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(3,992,902)</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28.15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 million</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(1,143,828)</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37.58</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7,593,627</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36.90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Feb. 16, 2017</w:t>
            </w: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1,087,010</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43.14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845,550</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43.20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1,537,763</w:t>
            </w:r>
          </w:p>
        </w:tc>
        <w:tc>
          <w:tcPr>
            <w:tcW w:w="32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Arial" w:cs="Arial" w:eastAsia="Arial" w:hAnsi="Arial"/>
                <w:sz w:val="18"/>
                <w:szCs w:val="18"/>
                <w:color w:val="auto"/>
                <w:w w:val="98"/>
              </w:rPr>
              <w:t>Various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42.22</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60" w:type="dxa"/>
            <w:vAlign w:val="bottom"/>
          </w:tcPr>
          <w:p>
            <w:pPr>
              <w:jc w:val="right"/>
              <w:spacing w:after="0"/>
              <w:rPr>
                <w:sz w:val="20"/>
                <w:szCs w:val="20"/>
                <w:color w:val="auto"/>
              </w:rPr>
            </w:pPr>
            <w:r>
              <w:rPr>
                <w:rFonts w:ascii="Arial" w:cs="Arial" w:eastAsia="Arial" w:hAnsi="Arial"/>
                <w:sz w:val="18"/>
                <w:szCs w:val="18"/>
                <w:color w:val="auto"/>
              </w:rPr>
              <w:t>3,470,323</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42.75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 million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(2,622,807)</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 million</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(771,438)</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38.69</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7,669,705</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39.74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-3798570</wp:posOffset>
            </wp:positionV>
            <wp:extent cx="676656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-3489960</wp:posOffset>
            </wp:positionV>
            <wp:extent cx="676656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-3215005</wp:posOffset>
            </wp:positionV>
            <wp:extent cx="67665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-2923540</wp:posOffset>
            </wp:positionV>
            <wp:extent cx="676656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-2649220</wp:posOffset>
            </wp:positionV>
            <wp:extent cx="676656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-2323465</wp:posOffset>
            </wp:positionV>
            <wp:extent cx="67665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-2049145</wp:posOffset>
            </wp:positionV>
            <wp:extent cx="676656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-1757680</wp:posOffset>
            </wp:positionV>
            <wp:extent cx="67665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-1482725</wp:posOffset>
            </wp:positionV>
            <wp:extent cx="676656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-1156970</wp:posOffset>
            </wp:positionV>
            <wp:extent cx="67665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-882650</wp:posOffset>
            </wp:positionV>
            <wp:extent cx="676656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-591185</wp:posOffset>
            </wp:positionV>
            <wp:extent cx="67665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-316865</wp:posOffset>
            </wp:positionV>
            <wp:extent cx="676656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480"/>
          </w:cols>
          <w:pgMar w:left="240" w:top="459" w:right="259" w:bottom="1440" w:gutter="0" w:footer="0" w:header="0"/>
          <w:type w:val="continuous"/>
        </w:sectPr>
      </w:pPr>
    </w:p>
    <w:p>
      <w:pPr>
        <w:spacing w:after="0" w:line="61" w:lineRule="exact"/>
        <w:rPr>
          <w:sz w:val="20"/>
          <w:szCs w:val="20"/>
          <w:color w:val="auto"/>
        </w:rPr>
      </w:pPr>
    </w:p>
    <w:p>
      <w:pPr>
        <w:ind w:left="1140" w:hanging="335"/>
        <w:spacing w:after="0"/>
        <w:tabs>
          <w:tab w:leader="none" w:pos="11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restricted stock.</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restricted stock. The actual tax benefit realized for the tax deductions from the shares vested totaled $7 million in 2017, $18 million in 2016 and $18 million in 2015.</w:t>
      </w:r>
    </w:p>
    <w:p>
      <w:pPr>
        <w:ind w:left="1140" w:hanging="335"/>
        <w:spacing w:after="0"/>
        <w:tabs>
          <w:tab w:leader="none" w:pos="11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Performance share units reflect grant date fair values. Prior-year weighted average fair value per share has been revised.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Stock</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amended and restated articles of incorporation authorize 5.0 billion shares of Class A common stock (“Common Stock”) and 500 million shares of preferred stock. There were no preferred shares issued and outstanding at December 31, 2017, 2016 and 2015. Shares of Common Stock issued, in treasury and outstanding were:</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Treasury Shares</w:t>
            </w: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88"/>
        </w:trPr>
        <w:tc>
          <w:tcPr>
            <w:tcW w:w="648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(332,896,779)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1,663,640,999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Shares repurchased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(91,875,878)</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(91,875,878)</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and issuance of</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other stock awards</w:t>
            </w:r>
          </w:p>
        </w:tc>
        <w:tc>
          <w:tcPr>
            <w:tcW w:w="14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8,268,033</w:t>
            </w:r>
          </w:p>
        </w:tc>
        <w:tc>
          <w:tcPr>
            <w:tcW w:w="14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8,268,033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Balance at December 31, 2015</w:t>
            </w: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1,996,537,778</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(416,504,624)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1,580,033,154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(61,972,713)</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(61,972,713)</w:t>
            </w:r>
          </w:p>
        </w:tc>
        <w:tc>
          <w:tcPr>
            <w:tcW w:w="0" w:type="dxa"/>
            <w:vAlign w:val="bottom"/>
          </w:tcPr>
          <w:p>
            <w:pPr>
              <w:spacing w:after="0"/>
              <w:rPr>
                <w:sz w:val="1"/>
                <w:szCs w:val="1"/>
                <w:color w:val="auto"/>
              </w:rPr>
            </w:pP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rPr>
              <w:t>Exercise of stock options and issuance of</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3" w:lineRule="exact"/>
              <w:rPr>
                <w:sz w:val="20"/>
                <w:szCs w:val="20"/>
                <w:color w:val="auto"/>
              </w:rPr>
            </w:pPr>
            <w:r>
              <w:rPr>
                <w:rFonts w:ascii="Arial" w:cs="Arial" w:eastAsia="Arial" w:hAnsi="Arial"/>
                <w:sz w:val="18"/>
                <w:szCs w:val="18"/>
                <w:color w:val="auto"/>
              </w:rPr>
              <w:t>other stock awards</w:t>
            </w:r>
          </w:p>
        </w:tc>
        <w:tc>
          <w:tcPr>
            <w:tcW w:w="14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10,305,100</w:t>
            </w:r>
          </w:p>
        </w:tc>
        <w:tc>
          <w:tcPr>
            <w:tcW w:w="14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10,305,100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(468,172,237)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1,528,365,541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Shares repurchased</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(50,598,902)</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(50,598,902)</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and issuance of</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other stock awards</w:t>
            </w:r>
          </w:p>
        </w:tc>
        <w:tc>
          <w:tcPr>
            <w:tcW w:w="14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10,369,445</w:t>
            </w:r>
          </w:p>
        </w:tc>
        <w:tc>
          <w:tcPr>
            <w:tcW w:w="14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10,369,445</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1,996,537,778</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(508,401,694)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1,488,136,084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2017, 123 million shares of Common Stock held in treasury were reserved for stock options and other stock awards.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2017, we had repurchased approximately $10.8 billion of Common Stock pursuant to this authorization. During 2017, we repurchased approximately 50.6 million shares of Common Stock at an average cost of $43.51 per share, or an aggregate cost of approximately $2.2 billion, all of which was paid during the period except for approximately $28 million settled in January 2018. All share repurchases were funded through available cash and commercial paper issuances. As of December 31, 2017, we have approximately</w:t>
      </w:r>
    </w:p>
    <w:p>
      <w:pPr>
        <w:spacing w:after="0" w:line="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$0.6 billion in remaining share repurchase capacity. As of January 31, 2018, subsequent to approximately $0.1 billion of share repurchases in January, our remaining share repurchase capacity was $6.5 billion.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subject to legal proceedings, claims and governmental inspections or investigations incidental to our business, including those specified below.</w:t>
      </w:r>
    </w:p>
    <w:p>
      <w:pPr>
        <w:spacing w:after="0" w:line="1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($59 million as of December 31, 2017)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($91 million as of December 31, 2017). We have appealed this order. In addition, the Excise Authority issued additional show cause notices in February 2015, December 2015 and October 2017 on the same issue but covering the periods January to October 2014, November 2014 to September 2015 and October 2015 to June 2017, respectively. These notices added a total of 4.9 billion Indian rupees ($77 million as of December 31, 2017) of unpaid excise taxes as well as penalties to be determined up to an amount equivalent to that claimed by the Excise Authority plus interest. With the implementation of the new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w:t>
      </w:r>
    </w:p>
    <w:p>
      <w:pPr>
        <w:spacing w:after="0" w:line="2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 Northern District of Illinois, Eastern Division (the “CFTC action”).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In June 2016, the court denied Mondelēz Global and Kraft Foods Group’s motion to dismiss, and the parties are now in discovery. It is not possible to predict the outcome of these matters; however, based on our Separation and Distribution Agreement with Kraft Foods Group dated as of September 27, 2012, we expect to bear any monetary penalties or other payments in connection with the CFTC action.</w:t>
      </w:r>
    </w:p>
    <w:p>
      <w:pPr>
        <w:spacing w:after="0" w:line="2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December 31, 2017, we had no material third-party guarantees recorded on our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$ 58 million due to the non-cash reversal of Cadbury-related accrued liabilities related to this matter. In 2017, we recorded additional income of $4 million related to bank guarantee releases within selling, general and administrative expenses and interest and other expense, net.</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During the first quarter of 2017, the Brazilian Supreme Court (the “Court”) ruled against the Brazilian tax authorities in a leading case related to the computation of certain indirect taxes. The Court ruled that the indirect tax base should not include a value-added tax known as “ICMS”. By removing the ICMS from the tax base, the Court effectively eliminated a “tax on a tax.” Our Brazilian subsidiary had received an injunction against making payments for the “tax on a tax” in 2008 and since that time until December 2016, had accrued this portion of the tax each quarter in the event that the tax was reaffirmed by the Brazilian courts. On September 30, 2017, based on legal advice and the publication of the Court’s decision related to this case, we determined that the likelihood that the increased tax base would be reinstated and assessed against us was remote. Accordingly, we reversed our accrual of 667 million Brazilian reais, or $212 million as of September 30, 2017, of which, $153 million was recorded within selling, general and administrative expenses and $59 million was recorded within interest and other expense, net. The Brazilian tax authority is seeking potential clarification or adjustment of the terms of enforcement with the Court. We continue to monitor developments in this matter and currently do not expect a material future impact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Rental expenses recorded in continuing operations were $284 million in 2017, $317 million in 2016 and $331 million in 2015. As of</w:t>
      </w:r>
    </w:p>
    <w:p>
      <w:pPr>
        <w:spacing w:after="0"/>
        <w:rPr>
          <w:sz w:val="20"/>
          <w:szCs w:val="20"/>
          <w:color w:val="auto"/>
        </w:rPr>
      </w:pPr>
      <w:r>
        <w:rPr>
          <w:rFonts w:ascii="Arial" w:cs="Arial" w:eastAsia="Arial" w:hAnsi="Arial"/>
          <w:sz w:val="18"/>
          <w:szCs w:val="18"/>
          <w:color w:val="auto"/>
        </w:rPr>
        <w:t>December 31, 2017, minimum rental commitments under non-cancelable operating leases in effect at year-end were (in millions):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2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9"/>
              </w:rPr>
              <w:t>Thereafter</w:t>
            </w:r>
          </w:p>
        </w:tc>
        <w:tc>
          <w:tcPr>
            <w:tcW w:w="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318"/>
        </w:trPr>
        <w:tc>
          <w:tcPr>
            <w:tcW w:w="1220" w:type="dxa"/>
            <w:vAlign w:val="bottom"/>
          </w:tcPr>
          <w:p>
            <w:pPr>
              <w:ind w:left="7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96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80"/>
              <w:spacing w:after="0"/>
              <w:rPr>
                <w:sz w:val="20"/>
                <w:szCs w:val="20"/>
                <w:color w:val="auto"/>
              </w:rPr>
            </w:pPr>
            <w:r>
              <w:rPr>
                <w:rFonts w:ascii="Arial" w:cs="Arial" w:eastAsia="Arial" w:hAnsi="Arial"/>
                <w:sz w:val="18"/>
                <w:szCs w:val="18"/>
                <w:color w:val="auto"/>
              </w:rPr>
              <w:t>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5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351"/>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3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$174 million in 2017, $250 million in 2016 and $350 million in 2015.</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jc w:val="center"/>
              <w:ind w:left="411"/>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(8,914)</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(8,006)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Reclassification to earnings related to:</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Venezuela deconsolidation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Equity method investment transactions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(expense)/benefit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Arial" w:cs="Arial" w:eastAsia="Arial" w:hAnsi="Arial"/>
                <w:sz w:val="18"/>
                <w:szCs w:val="18"/>
                <w:color w:val="auto"/>
              </w:rPr>
              <w:t>Other comprehensive earnings/(losses)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(earnings)/loss attributable to noncontrolling interests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(7,741)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(8,914)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Other Benefit Plans: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(2,087)</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(1,934)</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actuarial gain/(loss) arising during period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Tax (expense)/benefit on net actuarial gain/(loss)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Losses/(gains) reclassified into net earnings: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40" w:type="dxa"/>
            <w:vAlign w:val="bottom"/>
          </w:tcPr>
          <w:p>
            <w:pPr>
              <w:ind w:left="360"/>
              <w:spacing w:after="0" w:line="199" w:lineRule="exact"/>
              <w:rPr>
                <w:sz w:val="20"/>
                <w:szCs w:val="20"/>
                <w:color w:val="auto"/>
              </w:rPr>
            </w:pPr>
            <w:r>
              <w:rPr>
                <w:rFonts w:ascii="Arial" w:cs="Arial" w:eastAsia="Arial" w:hAnsi="Arial"/>
                <w:sz w:val="18"/>
                <w:szCs w:val="18"/>
                <w:color w:val="auto"/>
              </w:rPr>
              <w:t>Amortization of experience losses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tcPr>
          <w:p>
            <w:pPr>
              <w:ind w:left="54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5"/>
                <w:szCs w:val="15"/>
                <w:color w:val="auto"/>
              </w:rPr>
              <w:t>(1)</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Settlement losses </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Venezuela deconsolidation</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Currency impact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Cash Flow Hedges: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derivative gains/(losses)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Tax (expense)/benefit on net derivative gain/(loss)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Losses/(gains) reclassified into net earnings: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40" w:type="dxa"/>
            <w:vAlign w:val="bottom"/>
          </w:tcPr>
          <w:p>
            <w:pPr>
              <w:ind w:left="360"/>
              <w:spacing w:after="0" w:line="199" w:lineRule="exact"/>
              <w:rPr>
                <w:sz w:val="20"/>
                <w:szCs w:val="20"/>
                <w:color w:val="auto"/>
              </w:rPr>
            </w:pPr>
            <w:r>
              <w:rPr>
                <w:rFonts w:ascii="Arial" w:cs="Arial" w:eastAsia="Arial" w:hAnsi="Arial"/>
                <w:sz w:val="18"/>
                <w:szCs w:val="18"/>
                <w:color w:val="auto"/>
              </w:rPr>
              <w:t>Currency exchange contracts -</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tcPr>
          <w:p>
            <w:pPr>
              <w:ind w:left="540"/>
              <w:spacing w:after="0"/>
              <w:rPr>
                <w:sz w:val="20"/>
                <w:szCs w:val="20"/>
                <w:color w:val="auto"/>
              </w:rPr>
            </w:pPr>
            <w:r>
              <w:rPr>
                <w:rFonts w:ascii="Arial" w:cs="Arial" w:eastAsia="Arial" w:hAnsi="Arial"/>
                <w:sz w:val="18"/>
                <w:szCs w:val="18"/>
                <w:color w:val="auto"/>
              </w:rPr>
              <w:t xml:space="preserve">forecasted transactions </w:t>
            </w:r>
            <w:r>
              <w:rPr>
                <w:rFonts w:ascii="Arial" w:cs="Arial" w:eastAsia="Arial" w:hAnsi="Arial"/>
                <w:sz w:val="15"/>
                <w:szCs w:val="15"/>
                <w:color w:val="auto"/>
              </w:rPr>
              <w:t>(3)</w:t>
            </w: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15"/>
                <w:szCs w:val="15"/>
                <w:color w:val="auto"/>
              </w:rPr>
              <w:t>(3)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Currency impact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Accumulated other comprehensive income attributable</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 Mondelēz International: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(11,122)</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(9,986)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earnings/(losses)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Less: (earnings)/loss attributable to noncontrolling interests</w:t>
            </w: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comprehensive earnings/(losses)</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attributable to Mondelēz International</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1,124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(1,136)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(9,998)</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(11,122)</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800"/>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line="252" w:lineRule="auto"/>
        <w:tabs>
          <w:tab w:leader="none" w:pos="11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 Settlement losses include the transfer of coffee business-related pension obligations in the amount of $90 million in 2015.</w:t>
      </w:r>
    </w:p>
    <w:p>
      <w:pPr>
        <w:ind w:left="1140" w:hanging="335"/>
        <w:spacing w:after="0"/>
        <w:tabs>
          <w:tab w:leader="none" w:pos="11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These reclassified losses are recorded within interest and other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December 22, 2017, new U.S. tax reform legislation was enacted that included a broad range of complex provisions impacting the taxation of businesses. Certain impacts of the new legislation would generally require accounting to be completed in the period of enactment, however in response to the complexities of this new legislation, the SEC issued guidance to provide companies with relief. Specifically, when the initial accounting for items under the new legislation is incomplete, the guidance allows us to recognize provisional amounts when reasonable estimates can be made or to continue to apply the prior tax law if a reasonable estimate of the impact cannot be made. The SEC has provided up to a one -year window for companies to finalize the accounting for the impacts of this new legislation and we anticipate finalizing our accounting during 2018.</w:t>
      </w:r>
    </w:p>
    <w:p>
      <w:pPr>
        <w:spacing w:after="0" w:line="20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While our accounting for the new U.S. tax legislation is not complete, we have made reasonable estimates for some provisions and recognized a $59 million discrete net tax benefit in our 2017 financial statements. This net benefit is primarily comprised of a $1,311 million provisional deferred tax benefit from revaluing our net U.S. deferred tax liabilities to reflect the new U.S. corporate tax rate as well as an additional</w:t>
      </w:r>
    </w:p>
    <w:p>
      <w:pPr>
        <w:spacing w:after="0" w:line="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$61 million provisional deferred tax benefit related to changes in our indefinite reinvestment assertion, partially offset by a $1,317 million provisional charge for the estimated transition tax.</w:t>
      </w:r>
    </w:p>
    <w:p>
      <w:pPr>
        <w:spacing w:after="0" w:line="1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general, the transition tax is as a result of the deemed repatriation imposed by the new legislation that results in the taxation of our accumulated foreign earnings and profits (“E&amp;P”) at a 15.5% rate on liquid assets (i.e. cash and other specified assets) and 8% on the remaining unremitted foreign E&amp;P, both net of foreign tax credits. At this time, we have not yet gathered, prepared and analyzed the necessary information in sufficient detail to complete the complex calculations necessary to finalize the amount of our transition tax. We believe that our provisional calculations result in a reasonable estimate of the transition tax and related foreign tax credit, and as such have included those amounts in our year-end income tax provision. We do not believe that it is more likely than not that we will realize the benefit of the estimated excess foreign tax credit carryforward created by the deemed repatriation and have thus recognized a full valuation allowance against this deferred tax asset. As we complete the analysis of accumulated foreign E&amp;P and related foreign taxes paid on an entity by entity basis and finalize the amounts held in cash or other specified assets, we will update our provisional estimate of the transition tax and related foreign tax credit, including any excess credit carryforward and the corresponding valuation allowance.</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estimate of the deferred tax benefit due to the revaluation of our net U.S. deferred tax liabilities is also a provisional amount under the SEC’s guidance. Due to the newly enacted U.S. tax rate change, timing differences that are estimated balances as of the date of enactment and year-end will result in changes to our estimate of the deferred rate change when those estimates are finalized with the filing of the 2017 income tax return. This is a result of the different federal income tax rates in effect for 2017 (35%) and 2018 (21%). Since many of the year-end deferred tax balances include estimates of events that have not yet occurred such as payments expected to be made during 2018 but which are deductible on the 2017 tax return, these amounts cannot yet be known to finalize the impact of the tax rate change.</w:t>
      </w:r>
    </w:p>
    <w:p>
      <w:pPr>
        <w:spacing w:after="0" w:line="2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a result of U.S. tax reform, we have changed our indefinite reinvestment assertion for most companies owned directly by our U.S. subsidiaries, and as such, we may need to accrue deferred taxes. As of year end, we have calculated the impact to accrue the deferred tax assets related to two entities where the deferred tax benefits are now expected to be realized in the foreseeable future. However, we do not have the necessary information gathered, prepared and analyzed to make a reasonable estimate of the impact of any remaining outside basis differences inherent in the rest of our foreign subsidiaries. We will gather the information necessary and compute the outside basis differences for those subsidiaries where we are no longer indefinitely reinvested and record any new deferred taxes as reasonable estimates are available. We estimate that the unremitted earnings as of December 31, 2017 in those subsidiaries where we expect to continue to be indefinitely reinvested is approximately $2 billion. It is impracticable for us to determine the amount of unrecognized deferred tax liabilities on these indefinitely reinvested earnings. Future tax law changes or changes in the needs of our non-U.S. subsidiaries could require us to recognize deferred tax liabilities on a portion, or all, of our accumulated earnings that were previously expected to be indefinitely reinvested.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legislation also establishes new provisions that will affect our 2018 results, including but not limited to, a reduction in the U.S. corporate tax rate on domestic operations; the creation of a new minimum tax called the base erosion anti-abuse tax (BEAT); a new provision that taxes U.S. allocated expenses (e.g. interest and general administrative expenses) as well as currently taxes certain income from foreign operations (Global Intangible Low-Tax Income, or “GILTI”); a general elimination of U.S. federal income taxes on dividends from foreign subsidiaries; a new limitation on deductible interest expense; the repeal of the domestic manufacturing deduction; and limitations on the deductibility of certain employee compensation.</w:t>
      </w:r>
    </w:p>
    <w:p>
      <w:pPr>
        <w:spacing w:after="0" w:line="20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While the new legislation generally eliminates U.S. federal income tax on dividends from foreign subsidiaries going forward, certain income earned by certain subsidiaries must be included currently in our U.S. taxable income under the new GILTI inclusion rules (as a result of U.S. expense allocation rules). Because of the complexity of the new GILTI tax rules, we are continuing to evaluate this provision of the legislation and the application of U.S. GAAP. Under U.S. GAAP, we are allowed to make an accounting policy election and either treat taxes due from GILTI as a current-period expense when they are incurred or factor such amounts into our measurement of deferred taxes. Our selection of an accounting policy with respect to the new GILTI rules will depend in part on analyzing our global income to determine whether we expect to have future U.S. inclusions in taxable income related to GILTI, and if so, what the impact is expected to be. We have not yet computed a reasonable estimate of the effect of this provision, and therefore, we have not made a policy decision regarding whether to record deferred taxes related to GILTI nor have we made any adjustments related to GILTI tax in our year-end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center"/>
              <w:ind w:left="432"/>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Earnings/(losses) from continuing operations</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before income taxes:</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354</w:t>
            </w: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3,124</w:t>
            </w: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1,454</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United States federal:</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1,322</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Deferred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Deferred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180"/>
              <w:spacing w:after="0"/>
              <w:rPr>
                <w:sz w:val="20"/>
                <w:szCs w:val="20"/>
                <w:color w:val="auto"/>
              </w:rPr>
            </w:pPr>
            <w:r>
              <w:rPr>
                <w:rFonts w:ascii="Arial" w:cs="Arial" w:eastAsia="Arial" w:hAnsi="Arial"/>
                <w:sz w:val="18"/>
                <w:szCs w:val="18"/>
                <w:color w:val="auto"/>
              </w:rPr>
              <w:t>Total United States</w:t>
            </w:r>
          </w:p>
        </w:tc>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1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Current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180"/>
              <w:spacing w:after="0"/>
              <w:rPr>
                <w:sz w:val="20"/>
                <w:szCs w:val="20"/>
                <w:color w:val="auto"/>
              </w:rPr>
            </w:pPr>
            <w:r>
              <w:rPr>
                <w:rFonts w:ascii="Arial" w:cs="Arial" w:eastAsia="Arial" w:hAnsi="Arial"/>
                <w:sz w:val="18"/>
                <w:szCs w:val="18"/>
                <w:color w:val="auto"/>
              </w:rPr>
              <w:t>Total outside United States</w:t>
            </w:r>
          </w:p>
        </w:tc>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688</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recorded an out-of-period adjustment of $14 million net expense in 2015 that had an immaterial impact on the annual provision for income taxes.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for the following reasons:</w:t>
      </w:r>
    </w:p>
    <w:p>
      <w:pPr>
        <w:spacing w:after="0" w:line="226"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8890</wp:posOffset>
            </wp:positionV>
            <wp:extent cx="23323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9" w:lineRule="exact"/>
        <w:rPr>
          <w:sz w:val="20"/>
          <w:szCs w:val="20"/>
          <w:color w:val="auto"/>
        </w:rPr>
      </w:pPr>
    </w:p>
    <w:p>
      <w:pPr>
        <w:jc w:val="both"/>
        <w:ind w:left="7960"/>
        <w:spacing w:after="0"/>
        <w:tabs>
          <w:tab w:leader="none" w:pos="9340" w:val="left"/>
          <w:tab w:leader="none" w:pos="107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0</wp:posOffset>
            </wp:positionV>
            <wp:extent cx="23323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Increase/(decrease) resulting from:</w:t>
      </w:r>
    </w:p>
    <w:p>
      <w:pPr>
        <w:spacing w:after="0" w:line="9" w:lineRule="exact"/>
        <w:rPr>
          <w:sz w:val="20"/>
          <w:szCs w:val="20"/>
          <w:color w:val="auto"/>
        </w:rPr>
      </w:pPr>
    </w:p>
    <w:p>
      <w:pPr>
        <w:ind w:left="1120" w:right="1700" w:hanging="179"/>
        <w:spacing w:after="0" w:line="234" w:lineRule="auto"/>
        <w:rPr>
          <w:sz w:val="20"/>
          <w:szCs w:val="20"/>
          <w:color w:val="auto"/>
        </w:rPr>
      </w:pPr>
      <w:r>
        <w:rPr>
          <w:rFonts w:ascii="Arial" w:cs="Arial" w:eastAsia="Arial" w:hAnsi="Arial"/>
          <w:sz w:val="18"/>
          <w:szCs w:val="18"/>
          <w:color w:val="auto"/>
        </w:rPr>
        <w:t>State and local income taxes, net of federal tax benefit excluding IRS audit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-255270</wp:posOffset>
            </wp:positionV>
            <wp:extent cx="6766560" cy="2571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66560" cy="25717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Foreign rate differences</w:t>
      </w:r>
    </w:p>
    <w:p>
      <w:pPr>
        <w:spacing w:after="0" w:line="9" w:lineRule="exact"/>
        <w:rPr>
          <w:sz w:val="20"/>
          <w:szCs w:val="20"/>
          <w:color w:val="auto"/>
        </w:rPr>
      </w:pPr>
    </w:p>
    <w:p>
      <w:pPr>
        <w:ind w:left="940" w:right="1360"/>
        <w:spacing w:after="0" w:line="250" w:lineRule="auto"/>
        <w:rPr>
          <w:sz w:val="20"/>
          <w:szCs w:val="20"/>
          <w:color w:val="auto"/>
        </w:rPr>
      </w:pPr>
      <w:r>
        <w:rPr>
          <w:rFonts w:ascii="Arial" w:cs="Arial" w:eastAsia="Arial" w:hAnsi="Arial"/>
          <w:sz w:val="18"/>
          <w:szCs w:val="18"/>
          <w:color w:val="auto"/>
        </w:rPr>
        <w:t>Changes in judgment on realizability of deferred tax assets Reversal of other tax accruals no longer required Tax accrual on investment in Keurig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-409575</wp:posOffset>
            </wp:positionV>
            <wp:extent cx="676656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66560" cy="13716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-135255</wp:posOffset>
            </wp:positionV>
            <wp:extent cx="676656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Excess tax benefits from equity compensation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Tax legislation (non-U.S.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right="1700"/>
        <w:spacing w:after="0" w:line="250" w:lineRule="auto"/>
        <w:rPr>
          <w:sz w:val="20"/>
          <w:szCs w:val="20"/>
          <w:color w:val="auto"/>
        </w:rPr>
      </w:pPr>
      <w:r>
        <w:rPr>
          <w:rFonts w:ascii="Arial" w:cs="Arial" w:eastAsia="Arial" w:hAnsi="Arial"/>
          <w:sz w:val="18"/>
          <w:szCs w:val="18"/>
          <w:color w:val="auto"/>
        </w:rPr>
        <w:t>U.S. tax reform - deferred benefit from tax rate change U.S. tax reform - transition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-135255</wp:posOffset>
            </wp:positionV>
            <wp:extent cx="676656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U.S. tax reform - changes in indefinite reinvestment assertion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Gains on coffee business transactions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Business sales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Loss on deconsolidation of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Non-deductible expenses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66560" cy="13716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35.0%</w:t>
            </w: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620"/>
        </w:trPr>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0.8%</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(18.6)%</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(7.7)%</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2.3%</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(4.0)%</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42.2%</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0.9%</w:t>
            </w: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03"/>
        </w:trPr>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7"/>
                <w:szCs w:val="17"/>
                <w:color w:val="auto"/>
              </w:rPr>
            </w:pPr>
          </w:p>
        </w:tc>
        <w:tc>
          <w:tcPr>
            <w:tcW w:w="14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0.2%</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0.1%</w:t>
            </w: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54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80" w:space="720"/>
            <w:col w:w="3700"/>
          </w:cols>
          <w:pgMar w:left="240" w:top="459" w:right="259" w:bottom="1440" w:gutter="0" w:footer="0" w:header="0"/>
          <w:type w:val="continuous"/>
        </w:sectPr>
      </w:pPr>
    </w:p>
    <w:p>
      <w:pPr>
        <w:spacing w:after="0" w:line="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2017 effective tax rate of 22.0% was favorably impacted by the mix of pre-tax income in various non-U.S. tax jurisdictions and net tax benefits from $117 million of discrete one-time events, partially offset by an increase in domestic earnings as compared to the prior year. The discrete net tax benefits included the provisional net impact from U.S. tax reform discussed previously, favorable audit settlements and statutes of limitations in various jurisdictions, and the net reduction of our French and Belgian deferred tax liabilities resulting from tax legislation enacted during 2017 that reduced the corporate income tax rates in each country, partially offset by the addition of a valuation allowance in one of our Chinese entities.</w:t>
      </w:r>
    </w:p>
    <w:p>
      <w:pPr>
        <w:spacing w:after="0" w:line="205" w:lineRule="exact"/>
        <w:rPr>
          <w:sz w:val="20"/>
          <w:szCs w:val="20"/>
          <w:color w:val="auto"/>
        </w:rPr>
      </w:pPr>
    </w:p>
    <w:p>
      <w:pPr>
        <w:jc w:val="both"/>
        <w:ind w:right="460"/>
        <w:spacing w:after="0" w:line="239" w:lineRule="auto"/>
        <w:rPr>
          <w:sz w:val="20"/>
          <w:szCs w:val="20"/>
          <w:color w:val="auto"/>
        </w:rPr>
      </w:pPr>
      <w:r>
        <w:rPr>
          <w:rFonts w:ascii="Arial" w:cs="Arial" w:eastAsia="Arial" w:hAnsi="Arial"/>
          <w:sz w:val="18"/>
          <w:szCs w:val="18"/>
          <w:color w:val="auto"/>
        </w:rPr>
        <w:t>Our 2016 effective tax rate of 8.9% was favorably impacted by the mix of pre-tax income in various non-U.S. tax jurisdictions and net tax benefits from $161 million of discrete one-time events. The discrete net tax benefits related to favorable audit settlements and statutes of limitations in various jurisdictions and the net reduction of our U.K. and French deferred tax liabilities resulting from tax legislation enacted during 2016 that reduced the corporate income tax rates in each country.</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2015 effective tax rate of 7.5% was favorably impacted by the one-time third quarter sale of our coffee business that resulted in a pre-tax gain of $6,809 million and $184 million of related tax expense, as well as $27 million of tax costs incurred to remit proceeds up from lower-tier foreign subsidiaries to allow cash to be redeployed within our retained foreign operations. The benefit of the third quarter transaction was partially offset by the tax costs associated with the sale of our interest in AGF in the first half of the year and the impact of deconsolidating our Venezuelan operations on December 31, 2015. Excluding the impacts of these transactions, our effective tax rate would have been 17.8%, reflecting favorable impacts from the mix of pre-tax income in various non-U.S. tax jurisdictions and net tax benefits from $119 million of discrete one-time events. The remaining discrete one-time events primarily related to favorable tax audit settlements and expirations of statutes of limitations in several jurisdictions and the net reduction of U.K. deferred tax liabilities resulting from tax legislation enacted during 2015 that reduced the U.K. corporate income tax rate.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gave rise to deferred income tax assets and liabilities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80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Accrued postretirement and postemployment benefits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191</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pension costs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Other employee benefits</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Loss carryforwards</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(853)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0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(3,977)</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Total deferred income tax liabilities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(4,617)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75"/>
        </w:trPr>
        <w:tc>
          <w:tcPr>
            <w:tcW w:w="80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(3,057)</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significant valuation allowances are in the U.S., Mexico, China and Ireland. The U.S. valuation allowance relates to excess foreign tax credits generated by the deemed repatriation under U.S. tax reform. The valuation allowance in China results from a change in judgment as to the realizability of one of our Chinese entity’s deferred tax assets. The Mexico and Ireland valuation allowances relate to loss carryforwards where we do not currently expect to generate gains of the proper character to utilize the carryforwards in the future.</w:t>
      </w:r>
    </w:p>
    <w:p>
      <w:pPr>
        <w:spacing w:after="0" w:line="202"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At December 31, 2017, the Company has pre-tax loss carryforwards of $ 4,060 million, of which $1,105 million will expire at various dates between 2018 and 2037 and the remaining $2,955 million can be carried forward indefinitely.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8"/>
          </w:tcPr>
          <w:p>
            <w:pPr>
              <w:jc w:val="center"/>
              <w:ind w:left="12"/>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7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22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610</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Increases from positions taken during prior periods</w:t>
            </w: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Decreases from positions taken during prior periods</w:t>
            </w: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Increases from positions taken during the current period</w:t>
            </w: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Decreases relating to settlements with taxing authorities</w:t>
            </w: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4720" w:type="dxa"/>
            <w:vAlign w:val="bottom"/>
          </w:tcPr>
          <w:p>
            <w:pPr>
              <w:ind w:left="180"/>
              <w:spacing w:after="0" w:line="201" w:lineRule="exact"/>
              <w:rPr>
                <w:sz w:val="20"/>
                <w:szCs w:val="20"/>
                <w:color w:val="auto"/>
              </w:rPr>
            </w:pPr>
            <w:r>
              <w:rPr>
                <w:rFonts w:ascii="Arial" w:cs="Arial" w:eastAsia="Arial" w:hAnsi="Arial"/>
                <w:sz w:val="18"/>
                <w:szCs w:val="18"/>
                <w:color w:val="auto"/>
              </w:rPr>
              <w:t>Reductions resulting from the lapse of the applicable</w:t>
            </w: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3" w:lineRule="exact"/>
              <w:rPr>
                <w:sz w:val="20"/>
                <w:szCs w:val="20"/>
                <w:color w:val="auto"/>
              </w:rPr>
            </w:pPr>
            <w:r>
              <w:rPr>
                <w:rFonts w:ascii="Arial" w:cs="Arial" w:eastAsia="Arial" w:hAnsi="Arial"/>
                <w:sz w:val="18"/>
                <w:szCs w:val="18"/>
                <w:color w:val="auto"/>
              </w:rPr>
              <w:t>statute of limitations</w:t>
            </w: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Currency/other</w:t>
            </w: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December 31</w:t>
            </w:r>
          </w:p>
        </w:tc>
        <w:tc>
          <w:tcPr>
            <w:tcW w:w="1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22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579</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610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60" w:type="dxa"/>
            <w:vAlign w:val="bottom"/>
            <w:vMerge w:val="restart"/>
          </w:tcPr>
          <w:p>
            <w:pPr>
              <w:jc w:val="right"/>
              <w:ind w:right="1190"/>
              <w:spacing w:after="0"/>
              <w:rPr>
                <w:sz w:val="20"/>
                <w:szCs w:val="20"/>
                <w:color w:val="auto"/>
              </w:rPr>
            </w:pPr>
            <w:r>
              <w:rPr>
                <w:rFonts w:ascii="Arial" w:cs="Arial" w:eastAsia="Arial" w:hAnsi="Arial"/>
                <w:sz w:val="18"/>
                <w:szCs w:val="18"/>
                <w:color w:val="auto"/>
              </w:rPr>
              <w:t>112</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As of January 1, 2017, our unrecognized tax benefits were $610 million. If we had recognized all of these benefits, the net impact on our income tax provision would have been $549 million. Our unrecognized tax benefits were $579 million at December 31, 2017, and if we had recognized all of these benefits, the net impact on our income tax provision would have been $524 million. Within the next 12 months, our unrecognized tax benefits could increase by approximately $40 million due to unfavorable audit developments or decrease by approximately $150 million due to audit settlements and the expiration of statutes of limitations in various jurisdictions. We include accrued interest and penalties related to uncertain tax positions in our tax provision. We had accrued interest and penalties of $189 million as of January 1, 2017 and $212 million as of December 31, 2017. Our 2017 provision for income taxes included $26 million for interest and penalties.</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income tax filings are regularly examined by federal, state and non-U.S. tax authorities. Our 2013-2015 U.S. federal income tax filings are currently under examination by the IRS. U.S. state and non-U.S. jurisdictions have statutes of limitations generally ranging from three to five years; however, these statutes are often extended by mutual agreement with the tax authorities. Years still open to examination by non-U.S. tax authorities in major jurisdictions include (earliest open tax year in parentheses): Brazil (2012), China (2007), France (2014), India (2005), Italy (2012) and the United Kingdom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center"/>
              <w:ind w:left="435"/>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gridSpan w:val="8"/>
          </w:tcPr>
          <w:p>
            <w:pPr>
              <w:jc w:val="center"/>
              <w:ind w:left="435"/>
              <w:spacing w:after="0"/>
              <w:rPr>
                <w:sz w:val="20"/>
                <w:szCs w:val="20"/>
                <w:color w:val="auto"/>
              </w:rPr>
            </w:pPr>
            <w:r>
              <w:rPr>
                <w:rFonts w:ascii="Arial" w:cs="Arial" w:eastAsia="Arial" w:hAnsi="Arial"/>
                <w:sz w:val="14"/>
                <w:szCs w:val="14"/>
                <w:b w:val="1"/>
                <w:bCs w:val="1"/>
                <w:color w:val="auto"/>
              </w:rPr>
              <w:t>(in millions, except per share data)</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Noncontrolling interest (earnings)</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Weighted-average shares for basic EPS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1,513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1,556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Plus incremental shares from assumed conversions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stock options and long-term incentive plan shares</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Weighted-average shares for diluted EPS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1,531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1,573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share attributable to</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Mondelēz International</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Diluted earnings per share attributable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3" w:lineRule="exact"/>
              <w:rPr>
                <w:sz w:val="20"/>
                <w:szCs w:val="20"/>
                <w:color w:val="auto"/>
              </w:rPr>
            </w:pPr>
            <w:r>
              <w:rPr>
                <w:rFonts w:ascii="Arial" w:cs="Arial" w:eastAsia="Arial" w:hAnsi="Arial"/>
                <w:sz w:val="18"/>
                <w:szCs w:val="18"/>
                <w:color w:val="auto"/>
              </w:rPr>
              <w:t>Mondelēz International</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1.91</w:t>
            </w:r>
          </w:p>
        </w:tc>
        <w:tc>
          <w:tcPr>
            <w:tcW w:w="360" w:type="dxa"/>
            <w:vAlign w:val="bottom"/>
          </w:tcPr>
          <w:p>
            <w:pPr>
              <w:spacing w:after="0"/>
              <w:rPr>
                <w:sz w:val="17"/>
                <w:szCs w:val="17"/>
                <w:color w:val="auto"/>
              </w:rPr>
            </w:pPr>
          </w:p>
        </w:tc>
        <w:tc>
          <w:tcPr>
            <w:tcW w:w="5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c>
          <w:tcPr>
            <w:tcW w:w="340" w:type="dxa"/>
            <w:vAlign w:val="bottom"/>
          </w:tcPr>
          <w:p>
            <w:pPr>
              <w:spacing w:after="0"/>
              <w:rPr>
                <w:sz w:val="17"/>
                <w:szCs w:val="17"/>
                <w:color w:val="auto"/>
              </w:rPr>
            </w:pPr>
          </w:p>
        </w:tc>
        <w:tc>
          <w:tcPr>
            <w:tcW w:w="5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4.44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8.5 million for the year ended December 31, 2017, 7.8 million for the year ended December 31, 2016 and 5.1 million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the AMEA operating segment. We have reflected the segment change as if it had occurred in all periods presented.</w:t>
      </w:r>
    </w:p>
    <w:p>
      <w:pPr>
        <w:spacing w:after="0" w:line="20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For the six months ended December 31, 2015, after-tax equity method investment net earnings were less than $1 million on a combined basis. Earnings from equity method investments through July 2, 2015 recorded within segment operating income were $52 million in AMEA and</w:t>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$4 million in North America. See Note 1, </w:t>
      </w:r>
      <w:r>
        <w:rPr>
          <w:rFonts w:ascii="Arial" w:cs="Arial" w:eastAsia="Arial" w:hAnsi="Arial"/>
          <w:sz w:val="18"/>
          <w:szCs w:val="18"/>
          <w:i w:val="1"/>
          <w:iCs w:val="1"/>
          <w:color w:val="auto"/>
        </w:rPr>
        <w:t>Summary of Significant Accounting Policies – Principles of Consolidation,</w:t>
      </w:r>
      <w:r>
        <w:rPr>
          <w:rFonts w:ascii="Arial" w:cs="Arial" w:eastAsia="Arial" w:hAnsi="Arial"/>
          <w:sz w:val="18"/>
          <w:szCs w:val="18"/>
          <w:color w:val="auto"/>
        </w:rPr>
        <w:t xml:space="preserve"> and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for additional information.</w:t>
      </w:r>
    </w:p>
    <w:p>
      <w:pPr>
        <w:spacing w:after="0" w:line="1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2015, we also began to report stock-based compensation for our corporate employees within general corporate expenses that were reported within our North America region. We reclassified $32 million of corporate stock-based compensation expense in 2015 from the North America segment to general corporate expenses.</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loss on deconsolidation of Venezuela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left="415"/>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3,566</w:t>
            </w:r>
          </w:p>
        </w:tc>
        <w:tc>
          <w:tcPr>
            <w:tcW w:w="8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3,392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AMEA </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9,755</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25,896</w:t>
            </w:r>
          </w:p>
        </w:tc>
        <w:tc>
          <w:tcPr>
            <w:tcW w:w="6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25,923</w:t>
            </w:r>
          </w:p>
        </w:tc>
        <w:tc>
          <w:tcPr>
            <w:tcW w:w="6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29,636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0" w:hanging="335"/>
        <w:spacing w:after="0" w:line="242" w:lineRule="auto"/>
        <w:tabs>
          <w:tab w:leader="none" w:pos="11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Net revenues of $1,217 million for 2015 from our Venezuelan subsidiaries are included in our consolidated financial statements. Beginning in 2016, we account for our Venezuelan subsidiaries using the cost method of accounting and no longer include net revenues of our Venezuelan subsidiaries within our consolidated financial statements. Refer to Note 1, </w:t>
      </w:r>
      <w:r>
        <w:rPr>
          <w:rFonts w:ascii="Arial" w:cs="Arial" w:eastAsia="Arial" w:hAnsi="Arial"/>
          <w:sz w:val="14"/>
          <w:szCs w:val="14"/>
          <w:i w:val="1"/>
          <w:iCs w:val="1"/>
          <w:color w:val="auto"/>
        </w:rPr>
        <w:t>Summary of Significant Accounting Policies – Currency Translation and Highly Inflationary Accounting: Venezuela,</w:t>
      </w:r>
      <w:r>
        <w:rPr>
          <w:rFonts w:ascii="Arial" w:cs="Arial" w:eastAsia="Arial" w:hAnsi="Arial"/>
          <w:sz w:val="14"/>
          <w:szCs w:val="14"/>
          <w:color w:val="auto"/>
        </w:rPr>
        <w:t xml:space="preserve"> for more information.</w:t>
      </w:r>
    </w:p>
    <w:p>
      <w:pPr>
        <w:spacing w:after="0" w:line="161" w:lineRule="exact"/>
        <w:rPr>
          <w:rFonts w:ascii="Arial" w:cs="Arial" w:eastAsia="Arial" w:hAnsi="Arial"/>
          <w:sz w:val="14"/>
          <w:szCs w:val="14"/>
          <w:color w:val="auto"/>
        </w:rPr>
      </w:pPr>
    </w:p>
    <w:p>
      <w:pPr>
        <w:ind w:left="1140" w:right="120" w:hanging="335"/>
        <w:spacing w:after="0" w:line="250" w:lineRule="auto"/>
        <w:tabs>
          <w:tab w:leader="none" w:pos="11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and AMEA segments. Net revenues of our global coffee business were $1,561 million in Europe and $66 million in AMEA for the year ended December 31, 2015. Refer to Note 2, </w:t>
      </w:r>
      <w:r>
        <w:rPr>
          <w:rFonts w:ascii="Arial" w:cs="Arial" w:eastAsia="Arial" w:hAnsi="Arial"/>
          <w:sz w:val="14"/>
          <w:szCs w:val="14"/>
          <w:i w:val="1"/>
          <w:iCs w:val="1"/>
          <w:color w:val="auto"/>
        </w:rPr>
        <w:t>Divestitures and Acquisitions – JDE Coffee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 for more information.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center"/>
              <w:ind w:left="432"/>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5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565</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AMEA</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1,120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1,105</w:t>
            </w:r>
          </w:p>
        </w:tc>
      </w:tr>
      <w:tr>
        <w:trPr>
          <w:trHeight w:val="202"/>
        </w:trPr>
        <w:tc>
          <w:tcPr>
            <w:tcW w:w="5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(losses)/gains on hedging activities</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(mark-to-market impacts)</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96</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Net gain on divestitures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6,822</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deconsolidation of Venezuela</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7"/>
        </w:trPr>
        <w:tc>
          <w:tcPr>
            <w:tcW w:w="5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8,897</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r>
      <w:tr>
        <w:trPr>
          <w:trHeight w:val="27"/>
        </w:trPr>
        <w:tc>
          <w:tcPr>
            <w:tcW w:w="5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3,124</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7,884</w:t>
            </w:r>
          </w:p>
        </w:tc>
      </w:tr>
      <w:tr>
        <w:trPr>
          <w:trHeight w:val="20"/>
        </w:trPr>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No single customer accounted for 10% or more of our net revenues from continuing operations in 2017. Our five largest customers accounted for 15.6% and our ten largest customers accounted for 21.4% of net revenues from continuing operations in 2017.</w:t>
      </w:r>
    </w:p>
    <w:p>
      <w:pPr>
        <w:spacing w:after="0" w:line="17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including the Venezuela deconsolidation and currency devaluation,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Note 5,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Note 6,</w:t>
      </w:r>
      <w:r>
        <w:rPr>
          <w:rFonts w:ascii="Arial" w:cs="Arial" w:eastAsia="Arial" w:hAnsi="Arial"/>
          <w:sz w:val="18"/>
          <w:szCs w:val="18"/>
          <w:i w:val="1"/>
          <w:iCs w:val="1"/>
          <w:color w:val="auto"/>
        </w:rPr>
        <w:t xml:space="preserve"> 2014-2018 Restructuring Program </w:t>
      </w:r>
      <w:r>
        <w:rPr>
          <w:rFonts w:ascii="Arial" w:cs="Arial" w:eastAsia="Arial" w:hAnsi="Arial"/>
          <w:sz w:val="18"/>
          <w:szCs w:val="18"/>
          <w:color w:val="auto"/>
        </w:rPr>
        <w:t>and Note 12,</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19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Total assets, depreciation expense and capital expenditures by segment, reflecting our current segment structure for all periods presented,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4,948</w:t>
            </w:r>
          </w:p>
        </w:tc>
        <w:tc>
          <w:tcPr>
            <w:tcW w:w="3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5,156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10,031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21,611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19,934</w:t>
            </w: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21,026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20,694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21,175</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5,585</w:t>
            </w: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Unallocated assets and adjustments </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63,109</w:t>
            </w:r>
          </w:p>
        </w:tc>
        <w:tc>
          <w:tcPr>
            <w:tcW w:w="32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61,538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60" w:hanging="335"/>
        <w:spacing w:after="0" w:line="258"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Final adjustments for jurisdictional netting of deferred tax assets and liabilities is done at a consolidated level.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Total depreciation expense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Total capital expenditures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Geographic data for net revenues (recognized in the countries where products are sold) and long-lived assets, excluding deferred tax, goodwill, intangible assets and equity method investments,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Total net revenues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25,923</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29,636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left="437"/>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Total long-lived assets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8,737</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country within Other exceeded 10% of our net revenues or long-lived assets for all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8"/>
          </w:tcPr>
          <w:p>
            <w:pPr>
              <w:jc w:val="center"/>
              <w:ind w:right="660"/>
              <w:spacing w:after="0"/>
              <w:rPr>
                <w:sz w:val="20"/>
                <w:szCs w:val="20"/>
                <w:color w:val="auto"/>
              </w:rPr>
            </w:pPr>
            <w:r>
              <w:rPr>
                <w:rFonts w:ascii="Arial" w:cs="Arial" w:eastAsia="Arial" w:hAnsi="Arial"/>
                <w:sz w:val="14"/>
                <w:szCs w:val="14"/>
                <w:b w:val="1"/>
                <w:bCs w:val="1"/>
                <w:color w:val="auto"/>
              </w:rPr>
              <w:t>For the Year Ended December 31, 2017</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500"/>
              <w:spacing w:after="0" w:line="139"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760"/>
              <w:spacing w:after="0" w:line="139"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1220" w:type="dxa"/>
            <w:vAlign w:val="bottom"/>
            <w:gridSpan w:val="4"/>
          </w:tcPr>
          <w:p>
            <w:pPr>
              <w:jc w:val="center"/>
              <w:ind w:right="30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5"/>
                <w:szCs w:val="15"/>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820" w:type="dxa"/>
            <w:vAlign w:val="bottom"/>
            <w:gridSpan w:val="2"/>
          </w:tcPr>
          <w:p>
            <w:pPr>
              <w:jc w:val="right"/>
              <w:ind w:right="26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Biscuits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Chocolate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4,933</w:t>
            </w: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Gum &amp; Candy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Beverages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Cheese &amp; Grocery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Total net revenues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5,739</w:t>
            </w:r>
          </w:p>
        </w:tc>
        <w:tc>
          <w:tcPr>
            <w:tcW w:w="4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9,794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6,797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gridSpan w:val="9"/>
          </w:tcPr>
          <w:p>
            <w:pPr>
              <w:jc w:val="center"/>
              <w:ind w:right="640"/>
              <w:spacing w:after="0"/>
              <w:rPr>
                <w:sz w:val="20"/>
                <w:szCs w:val="20"/>
                <w:color w:val="auto"/>
              </w:rPr>
            </w:pPr>
            <w:r>
              <w:rPr>
                <w:rFonts w:ascii="Arial" w:cs="Arial" w:eastAsia="Arial" w:hAnsi="Arial"/>
                <w:sz w:val="14"/>
                <w:szCs w:val="14"/>
                <w:b w:val="1"/>
                <w:bCs w:val="1"/>
                <w:color w:val="auto"/>
              </w:rPr>
              <w:t>For the Year Ended December 31, 2016</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520"/>
              <w:spacing w:after="0" w:line="139"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620"/>
              <w:spacing w:after="0" w:line="139"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jc w:val="right"/>
              <w:ind w:right="30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AMEA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5"/>
                <w:szCs w:val="15"/>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820" w:type="dxa"/>
            <w:vAlign w:val="bottom"/>
            <w:gridSpan w:val="2"/>
          </w:tcPr>
          <w:p>
            <w:pPr>
              <w:jc w:val="right"/>
              <w:ind w:right="26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Biscuits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Chocolate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4,840</w:t>
            </w: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Gum &amp; Candy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Beverages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Cheese &amp; Grocery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 net revenues</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3,392</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5,816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9,755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6,960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9"/>
          </w:tcPr>
          <w:p>
            <w:pPr>
              <w:jc w:val="center"/>
              <w:ind w:right="680"/>
              <w:spacing w:after="0"/>
              <w:rPr>
                <w:sz w:val="20"/>
                <w:szCs w:val="20"/>
                <w:color w:val="auto"/>
              </w:rPr>
            </w:pPr>
            <w:r>
              <w:rPr>
                <w:rFonts w:ascii="Arial" w:cs="Arial" w:eastAsia="Arial" w:hAnsi="Arial"/>
                <w:sz w:val="14"/>
                <w:szCs w:val="14"/>
                <w:b w:val="1"/>
                <w:bCs w:val="1"/>
                <w:color w:val="auto"/>
              </w:rPr>
              <w:t>For the Year Ended December 31, 2015</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560"/>
              <w:spacing w:after="0" w:line="139"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620"/>
              <w:spacing w:after="0" w:line="139"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jc w:val="right"/>
              <w:ind w:right="34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AMEA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60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140" w:type="dxa"/>
            <w:vAlign w:val="bottom"/>
          </w:tcPr>
          <w:p>
            <w:pPr>
              <w:spacing w:after="0"/>
              <w:rPr>
                <w:sz w:val="15"/>
                <w:szCs w:val="15"/>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820" w:type="dxa"/>
            <w:vAlign w:val="bottom"/>
            <w:gridSpan w:val="2"/>
          </w:tcPr>
          <w:p>
            <w:pPr>
              <w:jc w:val="right"/>
              <w:ind w:right="26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0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Biscuits</w:t>
            </w:r>
          </w:p>
        </w:tc>
        <w:tc>
          <w:tcPr>
            <w:tcW w:w="2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5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Chocolate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Gum &amp; Candy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5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Cheese &amp; Grocery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5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 net revenues</w:t>
            </w: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200" w:type="dxa"/>
            <w:vAlign w:val="bottom"/>
            <w:gridSpan w:val="2"/>
          </w:tcPr>
          <w:p>
            <w:pPr>
              <w:jc w:val="right"/>
              <w:ind w:right="38"/>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4,988</w:t>
            </w:r>
          </w:p>
        </w:tc>
        <w:tc>
          <w:tcPr>
            <w:tcW w:w="26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6,002</w:t>
            </w:r>
          </w:p>
        </w:tc>
        <w:tc>
          <w:tcPr>
            <w:tcW w:w="2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11,672</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6,974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29,636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1140" w:right="40" w:hanging="335"/>
        <w:spacing w:after="0" w:line="241"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In 2015, our consolidated net revenues included Venezuela net revenues of $763 million in biscuits, $340 million in cheese &amp; grocery, $66 million in gum &amp; candy and $48 million in beverages. Following the deconsolidation of our Venezuela operations at the end of 2015, our 2016 and 2017 consolidated net revenues no longer include the net revenues of our Venezuelan subsidiaries.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w:t>
      </w:r>
      <w:r>
        <w:rPr>
          <w:rFonts w:ascii="Arial" w:cs="Arial" w:eastAsia="Arial" w:hAnsi="Arial"/>
          <w:sz w:val="14"/>
          <w:szCs w:val="14"/>
          <w:color w:val="auto"/>
        </w:rPr>
        <w:t xml:space="preserve"> </w:t>
      </w:r>
      <w:r>
        <w:rPr>
          <w:rFonts w:ascii="Arial" w:cs="Arial" w:eastAsia="Arial" w:hAnsi="Arial"/>
          <w:sz w:val="14"/>
          <w:szCs w:val="14"/>
          <w:i w:val="1"/>
          <w:iCs w:val="1"/>
          <w:color w:val="auto"/>
        </w:rPr>
        <w:t>Inflationary Accounting: Venezuela</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and AMEA segment beverage categories. Net revenues of our global coffee business were $1,561 million in Europe and $66 million in AMEA for the year ended December 31, 2015. Refer to Note 2, </w:t>
      </w:r>
      <w:r>
        <w:rPr>
          <w:rFonts w:ascii="Arial" w:cs="Arial" w:eastAsia="Arial" w:hAnsi="Arial"/>
          <w:sz w:val="14"/>
          <w:szCs w:val="14"/>
          <w:i w:val="1"/>
          <w:iCs w:val="1"/>
          <w:color w:val="auto"/>
        </w:rPr>
        <w:t>Divestitures and Acquisitions –</w:t>
      </w:r>
      <w:r>
        <w:rPr>
          <w:rFonts w:ascii="Arial" w:cs="Arial" w:eastAsia="Arial" w:hAnsi="Arial"/>
          <w:sz w:val="14"/>
          <w:szCs w:val="14"/>
          <w:color w:val="auto"/>
        </w:rPr>
        <w:t xml:space="preserve"> </w:t>
      </w:r>
      <w:r>
        <w:rPr>
          <w:rFonts w:ascii="Arial" w:cs="Arial" w:eastAsia="Arial" w:hAnsi="Arial"/>
          <w:sz w:val="14"/>
          <w:szCs w:val="14"/>
          <w:i w:val="1"/>
          <w:iCs w:val="1"/>
          <w:color w:val="auto"/>
        </w:rPr>
        <w:t>JDE Coffee Business Transactions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right="580" w:hanging="335"/>
        <w:spacing w:after="0" w:line="258"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During 2016, we realigned some of our products across product categories primarily within our Europe segment and as such, we reclassified the product category net revenues on a basis consistent with the 2016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Financial Data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operating results by quarter are detailed below.</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740"/>
              <w:spacing w:after="0" w:line="159" w:lineRule="exact"/>
              <w:rPr>
                <w:sz w:val="20"/>
                <w:szCs w:val="20"/>
                <w:color w:val="auto"/>
              </w:rPr>
            </w:pPr>
            <w:r>
              <w:rPr>
                <w:rFonts w:ascii="Arial" w:cs="Arial" w:eastAsia="Arial" w:hAnsi="Arial"/>
                <w:sz w:val="14"/>
                <w:szCs w:val="14"/>
                <w:b w:val="1"/>
                <w:bCs w:val="1"/>
                <w:color w:val="auto"/>
              </w:rPr>
              <w:t>2017 Quarters</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First</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Second</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Third</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(in millions, except per share data)</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9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6,530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Gross profit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Gain on equity method investment transactions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net earnings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940" w:type="dxa"/>
            <w:vAlign w:val="bottom"/>
            <w:gridSpan w:val="2"/>
          </w:tcPr>
          <w:p>
            <w:pPr>
              <w:spacing w:after="0"/>
              <w:rPr>
                <w:sz w:val="20"/>
                <w:szCs w:val="20"/>
                <w:color w:val="auto"/>
              </w:rPr>
            </w:pPr>
            <w:r>
              <w:rPr>
                <w:rFonts w:ascii="Arial" w:cs="Arial" w:eastAsia="Arial" w:hAnsi="Arial"/>
                <w:sz w:val="18"/>
                <w:szCs w:val="18"/>
                <w:color w:val="auto"/>
              </w:rPr>
              <w:t xml:space="preserve">Net earnings </w:t>
            </w:r>
            <w:r>
              <w:rPr>
                <w:rFonts w:ascii="Arial" w:cs="Arial" w:eastAsia="Arial" w:hAnsi="Arial"/>
                <w:sz w:val="15"/>
                <w:szCs w:val="15"/>
                <w:color w:val="auto"/>
              </w:rPr>
              <w:t>(1)</w:t>
            </w: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Mondelēz International</w:t>
            </w:r>
          </w:p>
        </w:tc>
        <w:tc>
          <w:tcPr>
            <w:tcW w:w="2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9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for basic EPS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rPr>
              <w:t>Plus incremental shares from assumed conversions of</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3" w:lineRule="exact"/>
              <w:rPr>
                <w:sz w:val="20"/>
                <w:szCs w:val="20"/>
                <w:color w:val="auto"/>
              </w:rPr>
            </w:pPr>
            <w:r>
              <w:rPr>
                <w:rFonts w:ascii="Arial" w:cs="Arial" w:eastAsia="Arial" w:hAnsi="Arial"/>
                <w:sz w:val="18"/>
                <w:szCs w:val="18"/>
                <w:color w:val="auto"/>
              </w:rPr>
              <w:t>stock options and long-term incentive plan shares</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for diluted EPS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2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4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EPS attributable to Mondelēz International:</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Diluted EPS attributable to Mondelēz International:</w:t>
            </w:r>
          </w:p>
        </w:tc>
        <w:tc>
          <w:tcPr>
            <w:tcW w:w="2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9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940" w:type="dxa"/>
            <w:vAlign w:val="bottom"/>
            <w:gridSpan w:val="2"/>
          </w:tcPr>
          <w:p>
            <w:pPr>
              <w:spacing w:after="0"/>
              <w:rPr>
                <w:sz w:val="20"/>
                <w:szCs w:val="20"/>
                <w:color w:val="auto"/>
              </w:rPr>
            </w:pPr>
            <w:r>
              <w:rPr>
                <w:rFonts w:ascii="Arial" w:cs="Arial" w:eastAsia="Arial" w:hAnsi="Arial"/>
                <w:sz w:val="18"/>
                <w:szCs w:val="18"/>
                <w:color w:val="auto"/>
              </w:rPr>
              <w:t>Market price - high</w:t>
            </w: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45.48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44.48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 low</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0" w:type="dxa"/>
            <w:vAlign w:val="bottom"/>
          </w:tcPr>
          <w:p>
            <w:pPr>
              <w:jc w:val="right"/>
              <w:ind w:right="99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2016 Quarters</w:t>
            </w: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820"/>
              <w:spacing w:after="0" w:line="155" w:lineRule="exact"/>
              <w:rPr>
                <w:sz w:val="20"/>
                <w:szCs w:val="20"/>
                <w:color w:val="auto"/>
              </w:rPr>
            </w:pPr>
            <w:r>
              <w:rPr>
                <w:rFonts w:ascii="Arial" w:cs="Arial" w:eastAsia="Arial" w:hAnsi="Arial"/>
                <w:sz w:val="14"/>
                <w:szCs w:val="14"/>
                <w:b w:val="1"/>
                <w:bCs w:val="1"/>
                <w:color w:val="auto"/>
              </w:rPr>
              <w:t>Third</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2,488</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Gain on equity method investment transactions</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net earnings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84"/>
        </w:trPr>
        <w:tc>
          <w:tcPr>
            <w:tcW w:w="6080" w:type="dxa"/>
            <w:vAlign w:val="bottom"/>
            <w:gridSpan w:val="2"/>
          </w:tcPr>
          <w:p>
            <w:pPr>
              <w:spacing w:after="0"/>
              <w:rPr>
                <w:sz w:val="20"/>
                <w:szCs w:val="20"/>
                <w:color w:val="auto"/>
              </w:rPr>
            </w:pPr>
            <w:r>
              <w:rPr>
                <w:rFonts w:ascii="Arial" w:cs="Arial" w:eastAsia="Arial" w:hAnsi="Arial"/>
                <w:sz w:val="18"/>
                <w:szCs w:val="18"/>
                <w:color w:val="auto"/>
              </w:rPr>
              <w:t xml:space="preserve">Net earnings </w:t>
            </w:r>
            <w:r>
              <w:rPr>
                <w:rFonts w:ascii="Arial" w:cs="Arial" w:eastAsia="Arial" w:hAnsi="Arial"/>
                <w:sz w:val="15"/>
                <w:szCs w:val="15"/>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557</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Mondelēz International</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554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for basic EPS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1,557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Plus incremental shares from assumed conversions of</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3" w:lineRule="exact"/>
              <w:rPr>
                <w:sz w:val="20"/>
                <w:szCs w:val="20"/>
                <w:color w:val="auto"/>
              </w:rPr>
            </w:pPr>
            <w:r>
              <w:rPr>
                <w:rFonts w:ascii="Arial" w:cs="Arial" w:eastAsia="Arial" w:hAnsi="Arial"/>
                <w:sz w:val="18"/>
                <w:szCs w:val="18"/>
                <w:color w:val="auto"/>
              </w:rPr>
              <w:t>stock options and long-term incentive plan shares</w:t>
            </w:r>
          </w:p>
        </w:tc>
        <w:tc>
          <w:tcPr>
            <w:tcW w:w="200" w:type="dxa"/>
            <w:vAlign w:val="bottom"/>
          </w:tcPr>
          <w:p>
            <w:pPr>
              <w:spacing w:after="0"/>
              <w:rPr>
                <w:sz w:val="17"/>
                <w:szCs w:val="17"/>
                <w:color w:val="auto"/>
              </w:rPr>
            </w:pPr>
          </w:p>
        </w:tc>
        <w:tc>
          <w:tcPr>
            <w:tcW w:w="10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for diluted EPS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EPS attributable to Mondelēz International: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Diluted EPS attributable to Mondelēz International: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0.35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24"/>
        </w:trPr>
        <w:tc>
          <w:tcPr>
            <w:tcW w:w="6080" w:type="dxa"/>
            <w:vAlign w:val="bottom"/>
            <w:gridSpan w:val="2"/>
          </w:tcPr>
          <w:p>
            <w:pPr>
              <w:spacing w:after="0"/>
              <w:rPr>
                <w:sz w:val="20"/>
                <w:szCs w:val="20"/>
                <w:color w:val="auto"/>
              </w:rPr>
            </w:pPr>
            <w:r>
              <w:rPr>
                <w:rFonts w:ascii="Arial" w:cs="Arial" w:eastAsia="Arial" w:hAnsi="Arial"/>
                <w:sz w:val="18"/>
                <w:szCs w:val="18"/>
                <w:color w:val="auto"/>
              </w:rPr>
              <w:t>Market price - high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44.45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45.75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46.36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 low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39.53</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See the following table for significant items that affected the comparability of earnings each quarter.</w:t>
      </w:r>
    </w:p>
    <w:p>
      <w:pPr>
        <w:spacing w:after="0" w:line="18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Basic and diluted EPS are computed independently for each of the periods presented. Accordingly, the sum of the quarterly EPS amounts may not equal the total for the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2017 and 2016, we recorded the following pre-tax (charges)/gains in earnings from continuing operations:</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left="436"/>
              <w:spacing w:after="0"/>
              <w:rPr>
                <w:sz w:val="20"/>
                <w:szCs w:val="20"/>
                <w:color w:val="auto"/>
              </w:rPr>
            </w:pPr>
            <w:r>
              <w:rPr>
                <w:rFonts w:ascii="Arial" w:cs="Arial" w:eastAsia="Arial" w:hAnsi="Arial"/>
                <w:sz w:val="14"/>
                <w:szCs w:val="14"/>
                <w:b w:val="1"/>
                <w:bCs w:val="1"/>
                <w:color w:val="auto"/>
              </w:rPr>
              <w:t>2017 Quarters</w:t>
            </w: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First</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Second</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r>
      <w:tr>
        <w:trPr>
          <w:trHeight w:val="184"/>
        </w:trPr>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center"/>
              <w:ind w:left="456"/>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4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exit costs</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gain on divestitures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Divestiture-related costs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Loss on early extinguishment of</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20" w:type="dxa"/>
            <w:vAlign w:val="bottom"/>
          </w:tcPr>
          <w:p>
            <w:pPr>
              <w:ind w:left="180"/>
              <w:spacing w:after="0" w:line="203" w:lineRule="exact"/>
              <w:rPr>
                <w:sz w:val="20"/>
                <w:szCs w:val="20"/>
                <w:color w:val="auto"/>
              </w:rPr>
            </w:pPr>
            <w:r>
              <w:rPr>
                <w:rFonts w:ascii="Arial" w:cs="Arial" w:eastAsia="Arial" w:hAnsi="Arial"/>
                <w:sz w:val="18"/>
                <w:szCs w:val="18"/>
                <w:color w:val="auto"/>
              </w:rPr>
              <w:t>debt and related expenses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Benefits from the resolution of tax matters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r>
        <w:trPr>
          <w:trHeight w:val="20"/>
        </w:trPr>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4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left="436"/>
              <w:spacing w:after="0"/>
              <w:rPr>
                <w:sz w:val="20"/>
                <w:szCs w:val="20"/>
                <w:color w:val="auto"/>
              </w:rPr>
            </w:pPr>
            <w:r>
              <w:rPr>
                <w:rFonts w:ascii="Arial" w:cs="Arial" w:eastAsia="Arial" w:hAnsi="Arial"/>
                <w:sz w:val="14"/>
                <w:szCs w:val="14"/>
                <w:b w:val="1"/>
                <w:bCs w:val="1"/>
                <w:color w:val="auto"/>
              </w:rPr>
              <w:t>2016 Quarters</w:t>
            </w: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First</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Second</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r>
      <w:tr>
        <w:trPr>
          <w:trHeight w:val="184"/>
        </w:trPr>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center"/>
              <w:ind w:left="456"/>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4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exit costs</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Divestiture-related costs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related to interest rate swaps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Loss on early extinguishment of</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20" w:type="dxa"/>
            <w:vAlign w:val="bottom"/>
          </w:tcPr>
          <w:p>
            <w:pPr>
              <w:ind w:left="180"/>
              <w:spacing w:after="0" w:line="203" w:lineRule="exact"/>
              <w:rPr>
                <w:sz w:val="20"/>
                <w:szCs w:val="20"/>
                <w:color w:val="auto"/>
              </w:rPr>
            </w:pPr>
            <w:r>
              <w:rPr>
                <w:rFonts w:ascii="Arial" w:cs="Arial" w:eastAsia="Arial" w:hAnsi="Arial"/>
                <w:sz w:val="18"/>
                <w:szCs w:val="18"/>
                <w:color w:val="auto"/>
              </w:rPr>
              <w:t>debt and related expenses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(427)</w:t>
            </w:r>
          </w:p>
        </w:tc>
      </w:tr>
      <w:tr>
        <w:trPr>
          <w:trHeight w:val="27"/>
        </w:trPr>
        <w:tc>
          <w:tcPr>
            <w:tcW w:w="4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r>
      <w:tr>
        <w:trPr>
          <w:trHeight w:val="20"/>
        </w:trPr>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 xml:space="preserve">Items impacting our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including the Venezuela deconsolidation and currency devaluations,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Note 6, </w:t>
      </w:r>
      <w:r>
        <w:rPr>
          <w:rFonts w:ascii="Arial" w:cs="Arial" w:eastAsia="Arial" w:hAnsi="Arial"/>
          <w:sz w:val="18"/>
          <w:szCs w:val="18"/>
          <w:i w:val="1"/>
          <w:iCs w:val="1"/>
          <w:color w:val="auto"/>
        </w:rPr>
        <w:t>2014-2018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Restructuring Program,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2017. Based on this evaluation, the CEO and CFO concluded that our disclosure controls and procedures were effective as of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232" w:lineRule="exact"/>
        <w:rPr>
          <w:sz w:val="20"/>
          <w:szCs w:val="20"/>
          <w:color w:val="auto"/>
        </w:rPr>
      </w:pPr>
    </w:p>
    <w:p>
      <w:pPr>
        <w:ind w:left="900" w:right="400" w:hanging="325"/>
        <w:spacing w:after="0" w:line="23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1" w:lineRule="exact"/>
        <w:rPr>
          <w:rFonts w:ascii="Arial" w:cs="Arial" w:eastAsia="Arial" w:hAnsi="Arial"/>
          <w:sz w:val="18"/>
          <w:szCs w:val="18"/>
          <w:color w:val="auto"/>
        </w:rPr>
      </w:pPr>
    </w:p>
    <w:p>
      <w:pPr>
        <w:ind w:left="900" w:right="800" w:hanging="325"/>
        <w:spacing w:after="0" w:line="23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1" w:lineRule="exact"/>
        <w:rPr>
          <w:rFonts w:ascii="Arial" w:cs="Arial" w:eastAsia="Arial" w:hAnsi="Arial"/>
          <w:sz w:val="18"/>
          <w:szCs w:val="18"/>
          <w:color w:val="auto"/>
        </w:rPr>
      </w:pPr>
    </w:p>
    <w:p>
      <w:pPr>
        <w:ind w:left="900" w:right="300" w:hanging="325"/>
        <w:spacing w:after="0" w:line="23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spacing w:after="0" w:line="1" w:lineRule="exact"/>
        <w:rPr>
          <w:rFonts w:ascii="Arial" w:cs="Arial" w:eastAsia="Arial" w:hAnsi="Arial"/>
          <w:sz w:val="18"/>
          <w:szCs w:val="18"/>
          <w:color w:val="auto"/>
        </w:rPr>
      </w:pPr>
    </w:p>
    <w:p>
      <w:pPr>
        <w:ind w:left="900" w:right="60" w:hanging="325"/>
        <w:spacing w:after="0" w:line="246"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2017.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2017, based on the criteria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COSO.</w:t>
      </w:r>
    </w:p>
    <w:p>
      <w:pPr>
        <w:spacing w:after="0" w:line="1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2017, as stated in their report that appears under Item 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2017. During the fourth quarter of 2017, due to the malware incident, we continued to add supplemental information technology and internal controls over financial reporting. Additionally, we continued to work with outsourced partners to further simplify and standardize processes and focus on scalable, transactional processes across all regions. We continued to transition some of our transactional data processing as well as financial and employee services for a number of countries across Europe and AMEA to three outsourced partners and/or internal service centers.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December 31, 2017,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Information required by this Item 10 is included under the heading “Executive Officers of the Registrant” in Part I, Item 1 of this Form 10-K, as well as under the headings “Election of Directors,” “Corporate Governance – Governance Guidelines,” “Corporate Governance – Codes of Conduct,” “Board Committees and Membership – Audit Committee” and “Ownership of Equity Securities – Section 16(a) Beneficial Ownership Reporting Compliance” in our definitive Proxy Statement for our Annual Meeting of Shareholders scheduled to be held on May 16, 2018 (“2018 Proxy Statement”). All of this information from the 2018 Proxy Statement is incorporated by reference into this Annual Report.</w:t>
      </w:r>
    </w:p>
    <w:p>
      <w:pPr>
        <w:spacing w:after="0" w:line="20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information on our web site is not, and shall not be deemed to be, a part of this Annual Report or incorporated into any other filings we make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Human Resources and Compensation Committee,” “Compensation of Non-Employee Directors,” “Compensation Discussion and Analysis,” “Executive Compensation Tables” and “Human Resources and Compensation Committee Report for the Year Ended December 31, 2017” in our 2018 Proxy Statement. All of this information is incorporated by reference into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2017 were: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506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 Securities to</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506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 Issued Upon Exercise</w:t>
            </w:r>
          </w:p>
        </w:tc>
        <w:tc>
          <w:tcPr>
            <w:tcW w:w="16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Weighted Average</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506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Outstanding</w:t>
            </w:r>
          </w:p>
        </w:tc>
        <w:tc>
          <w:tcPr>
            <w:tcW w:w="16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Exercise Price of</w:t>
            </w: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506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 Warrants</w:t>
            </w:r>
          </w:p>
        </w:tc>
        <w:tc>
          <w:tcPr>
            <w:tcW w:w="1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Outstanding Options,</w:t>
            </w: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securities reflected</w:t>
            </w:r>
          </w:p>
        </w:tc>
      </w:tr>
      <w:tr>
        <w:trPr>
          <w:trHeight w:val="175"/>
        </w:trPr>
        <w:tc>
          <w:tcPr>
            <w:tcW w:w="5060" w:type="dxa"/>
            <w:vAlign w:val="bottom"/>
          </w:tcPr>
          <w:p>
            <w:pPr>
              <w:spacing w:after="0"/>
              <w:rPr>
                <w:sz w:val="15"/>
                <w:szCs w:val="15"/>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Rights (1)</w:t>
            </w:r>
          </w:p>
        </w:tc>
        <w:tc>
          <w:tcPr>
            <w:tcW w:w="1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Warrants and Rights (2)</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 column (a)) (3)</w:t>
            </w:r>
          </w:p>
        </w:tc>
      </w:tr>
      <w:tr>
        <w:trPr>
          <w:trHeight w:val="184"/>
        </w:trPr>
        <w:tc>
          <w:tcPr>
            <w:tcW w:w="5060" w:type="dxa"/>
            <w:vAlign w:val="bottom"/>
          </w:tcPr>
          <w:p>
            <w:pPr>
              <w:spacing w:after="0"/>
              <w:rPr>
                <w:sz w:val="15"/>
                <w:szCs w:val="15"/>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5"/>
                <w:szCs w:val="15"/>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60" w:type="dxa"/>
            <w:vAlign w:val="bottom"/>
          </w:tcPr>
          <w:p>
            <w:pPr>
              <w:spacing w:after="0"/>
              <w:rPr>
                <w:sz w:val="15"/>
                <w:szCs w:val="15"/>
                <w:color w:val="auto"/>
              </w:rPr>
            </w:pPr>
          </w:p>
        </w:tc>
      </w:tr>
      <w:tr>
        <w:trPr>
          <w:trHeight w:val="39"/>
        </w:trPr>
        <w:tc>
          <w:tcPr>
            <w:tcW w:w="50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approved by security holders</w:t>
            </w:r>
          </w:p>
        </w:tc>
        <w:tc>
          <w:tcPr>
            <w:tcW w:w="20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55,850,812</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29.92</w:t>
            </w: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67,170,082</w:t>
            </w:r>
          </w:p>
        </w:tc>
      </w:tr>
      <w:tr>
        <w:trPr>
          <w:trHeight w:val="20"/>
        </w:trPr>
        <w:tc>
          <w:tcPr>
            <w:tcW w:w="50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outstanding options, deferred stock and performance share units and excludes restricted stock.</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Weighted average exercise price of outstanding options only.</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Shares available for grant under our Amended and Restated 2005 Performance Incentive Plan.</w:t>
      </w:r>
    </w:p>
    <w:p>
      <w:pPr>
        <w:spacing w:after="0" w:line="21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2018 Proxy Statement under the heading “Ownership of Equity Securities” and is incorporated by reference into this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2018 Proxy Statement. All of this information is incorporated by reference into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2018 Proxy Statement. All of this information is incorporated by reference into this Annual Report.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 w:type="dxa"/>
            <w:vAlign w:val="bottom"/>
          </w:tcPr>
          <w:p>
            <w:pPr>
              <w:spacing w:after="0"/>
              <w:rPr>
                <w:sz w:val="20"/>
                <w:szCs w:val="20"/>
                <w:color w:val="auto"/>
              </w:rPr>
            </w:pPr>
            <w:r>
              <w:rPr>
                <w:rFonts w:ascii="Arial" w:cs="Arial" w:eastAsia="Arial" w:hAnsi="Arial"/>
                <w:sz w:val="18"/>
                <w:szCs w:val="18"/>
                <w:i w:val="1"/>
                <w:iCs w:val="1"/>
                <w:color w:val="auto"/>
              </w:rPr>
              <w:t>(a)</w:t>
            </w:r>
          </w:p>
        </w:tc>
        <w:tc>
          <w:tcPr>
            <w:tcW w:w="10480" w:type="dxa"/>
            <w:vAlign w:val="bottom"/>
            <w:gridSpan w:val="8"/>
          </w:tcPr>
          <w:p>
            <w:pPr>
              <w:ind w:left="34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20" w:type="dxa"/>
            <w:vAlign w:val="bottom"/>
            <w:gridSpan w:val="3"/>
            <w:vMerge w:val="restart"/>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Report of Independent Registered Public Accounting Firm</w:t>
              </w:r>
            </w:hyperlink>
          </w:p>
        </w:tc>
        <w:tc>
          <w:tcPr>
            <w:tcW w:w="6440" w:type="dxa"/>
            <w:vAlign w:val="bottom"/>
            <w:gridSpan w:val="6"/>
            <w:vMerge w:val="restart"/>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620" w:type="dxa"/>
            <w:vAlign w:val="bottom"/>
            <w:tcBorders>
              <w:bottom w:val="single" w:sz="8" w:color="0000EE"/>
            </w:tcBorders>
            <w:gridSpan w:val="3"/>
            <w:vMerge w:val="continue"/>
          </w:tcPr>
          <w:p>
            <w:pPr>
              <w:spacing w:after="0"/>
              <w:rPr>
                <w:sz w:val="13"/>
                <w:szCs w:val="13"/>
                <w:color w:val="auto"/>
              </w:rPr>
            </w:pPr>
          </w:p>
        </w:tc>
        <w:tc>
          <w:tcPr>
            <w:tcW w:w="6440" w:type="dxa"/>
            <w:vAlign w:val="bottom"/>
            <w:gridSpan w:val="6"/>
            <w:vMerge w:val="continue"/>
          </w:tcPr>
          <w:p>
            <w:pPr>
              <w:spacing w:after="0"/>
              <w:rPr>
                <w:sz w:val="13"/>
                <w:szCs w:val="13"/>
                <w:color w:val="auto"/>
              </w:rPr>
            </w:pPr>
          </w:p>
        </w:tc>
        <w:tc>
          <w:tcPr>
            <w:tcW w:w="360" w:type="dxa"/>
            <w:vAlign w:val="bottom"/>
          </w:tcPr>
          <w:p>
            <w:pPr>
              <w:jc w:val="center"/>
              <w:spacing w:after="0" w:line="156" w:lineRule="exact"/>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Earnings for the Years Ended December 31, 2017, 2016 and 2015</w:t>
              </w:r>
            </w:hyperlink>
          </w:p>
        </w:tc>
        <w:tc>
          <w:tcPr>
            <w:tcW w:w="3460" w:type="dxa"/>
            <w:vAlign w:val="bottom"/>
            <w:gridSpan w:val="3"/>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183"/>
        </w:trPr>
        <w:tc>
          <w:tcPr>
            <w:tcW w:w="11060" w:type="dxa"/>
            <w:vAlign w:val="bottom"/>
            <w:gridSpan w:val="9"/>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Earnings for the Years Ended December 31, 2017, 2016 and 2015</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183"/>
        </w:trPr>
        <w:tc>
          <w:tcPr>
            <w:tcW w:w="89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December 31, 2017 and 2016</w:t>
              </w:r>
            </w:hyperlink>
          </w:p>
        </w:tc>
        <w:tc>
          <w:tcPr>
            <w:tcW w:w="2160" w:type="dxa"/>
            <w:vAlign w:val="bottom"/>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0"/>
        </w:trPr>
        <w:tc>
          <w:tcPr>
            <w:tcW w:w="35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60" w:type="dxa"/>
            <w:vAlign w:val="bottom"/>
            <w:gridSpan w:val="9"/>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Equity for the Years Ended December 31, 2017, 2016 and 2015</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0"/>
        </w:trPr>
        <w:tc>
          <w:tcPr>
            <w:tcW w:w="35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60" w:type="dxa"/>
            <w:vAlign w:val="bottom"/>
            <w:gridSpan w:val="9"/>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2017, 2016 and 2015</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67</w:t>
            </w:r>
          </w:p>
        </w:tc>
        <w:tc>
          <w:tcPr>
            <w:tcW w:w="0" w:type="dxa"/>
            <w:vAlign w:val="bottom"/>
          </w:tcPr>
          <w:p>
            <w:pPr>
              <w:spacing w:after="0"/>
              <w:rPr>
                <w:sz w:val="1"/>
                <w:szCs w:val="1"/>
                <w:color w:val="auto"/>
              </w:rPr>
            </w:pPr>
          </w:p>
        </w:tc>
      </w:tr>
      <w:tr>
        <w:trPr>
          <w:trHeight w:val="183"/>
        </w:trPr>
        <w:tc>
          <w:tcPr>
            <w:tcW w:w="35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Notes to Consolidated Financial Statements</w:t>
              </w:r>
            </w:hyperlink>
          </w:p>
        </w:tc>
        <w:tc>
          <w:tcPr>
            <w:tcW w:w="4300" w:type="dxa"/>
            <w:vAlign w:val="bottom"/>
            <w:tcBorders>
              <w:top w:val="single" w:sz="8" w:color="0000EE"/>
            </w:tcBorders>
            <w:gridSpan w:val="5"/>
          </w:tcPr>
          <w:p>
            <w:pPr>
              <w:spacing w:after="0"/>
              <w:rPr>
                <w:sz w:val="15"/>
                <w:szCs w:val="15"/>
                <w:color w:val="auto"/>
              </w:rPr>
            </w:pPr>
          </w:p>
        </w:tc>
        <w:tc>
          <w:tcPr>
            <w:tcW w:w="3240" w:type="dxa"/>
            <w:vAlign w:val="bottom"/>
            <w:gridSpan w:val="2"/>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183"/>
        </w:trPr>
        <w:tc>
          <w:tcPr>
            <w:tcW w:w="11060" w:type="dxa"/>
            <w:vAlign w:val="bottom"/>
            <w:gridSpan w:val="9"/>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Financial Statement Schedule-Valuation and Qualifying Accounts</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21" w:lineRule="exact"/>
        <w:rPr>
          <w:sz w:val="20"/>
          <w:szCs w:val="20"/>
          <w:color w:val="auto"/>
        </w:rPr>
      </w:pPr>
    </w:p>
    <w:p>
      <w:pPr>
        <w:ind w:left="800" w:hanging="792"/>
        <w:spacing w:after="0"/>
        <w:tabs>
          <w:tab w:leader="none" w:pos="80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365" w:lineRule="exact"/>
        <w:rPr>
          <w:sz w:val="20"/>
          <w:szCs w:val="20"/>
          <w:color w:val="auto"/>
        </w:rPr>
      </w:pPr>
    </w:p>
    <w:p>
      <w:pPr>
        <w:ind w:left="920" w:right="260" w:hanging="7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2.1</w:t>
      </w:r>
      <w:r>
        <w:rPr>
          <w:sz w:val="20"/>
          <w:szCs w:val="20"/>
          <w:color w:val="auto"/>
        </w:rPr>
        <w:tab/>
      </w:r>
      <w:hyperlink r:id="rId315">
        <w:r>
          <w:rPr>
            <w:rFonts w:ascii="Arial" w:cs="Arial" w:eastAsia="Arial" w:hAnsi="Arial"/>
            <w:sz w:val="18"/>
            <w:szCs w:val="18"/>
            <w:u w:val="single" w:color="auto"/>
            <w:color w:val="0000EE"/>
          </w:rPr>
          <w:t>Separation and Distribution Agreement between the Registrant and Kraft Foods Group, Inc., dated as of September 27, 2012</w:t>
        </w:r>
      </w:hyperlink>
      <w:r>
        <w:rPr>
          <w:rFonts w:ascii="Arial" w:cs="Arial" w:eastAsia="Arial" w:hAnsi="Arial"/>
          <w:sz w:val="18"/>
          <w:szCs w:val="18"/>
          <w:u w:val="single" w:color="auto"/>
          <w:color w:val="0000EE"/>
        </w:rPr>
        <w:t xml:space="preserve"> </w:t>
      </w:r>
      <w:hyperlink r:id="rId315">
        <w:r>
          <w:rPr>
            <w:rFonts w:ascii="Arial" w:cs="Arial" w:eastAsia="Arial" w:hAnsi="Arial"/>
            <w:sz w:val="18"/>
            <w:szCs w:val="18"/>
            <w:u w:val="single" w:color="auto"/>
            <w:color w:val="0000EE"/>
          </w:rPr>
          <w:t>(incorporated by reference to Exhibit 2.1 to the Registrant’s Current Report on Form 8-K filed with the SEC on October 1, 2012).</w:t>
        </w:r>
      </w:hyperlink>
      <w:r>
        <w:rPr>
          <w:rFonts w:ascii="Arial" w:cs="Arial" w:eastAsia="Arial" w:hAnsi="Arial"/>
          <w:sz w:val="18"/>
          <w:szCs w:val="18"/>
          <w:color w:val="000000"/>
        </w:rPr>
        <w:t>*</w:t>
      </w:r>
    </w:p>
    <w:p>
      <w:pPr>
        <w:spacing w:after="0" w:line="84" w:lineRule="exact"/>
        <w:rPr>
          <w:sz w:val="20"/>
          <w:szCs w:val="20"/>
          <w:color w:val="auto"/>
        </w:rPr>
      </w:pPr>
    </w:p>
    <w:p>
      <w:pPr>
        <w:ind w:left="2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r:id="rId316">
        <w:r>
          <w:rPr>
            <w:rFonts w:ascii="Arial" w:cs="Arial" w:eastAsia="Arial" w:hAnsi="Arial"/>
            <w:sz w:val="18"/>
            <w:szCs w:val="18"/>
            <w:u w:val="single" w:color="auto"/>
            <w:color w:val="0000EE"/>
          </w:rPr>
          <w:t>Canadian Asset Transfer Agreement, by and between Mondelez Canada Inc. and Kraft Canada Inc., dated as of September 29,</w:t>
        </w:r>
      </w:hyperlink>
    </w:p>
    <w:p>
      <w:pPr>
        <w:ind w:left="920"/>
        <w:spacing w:after="0" w:line="234" w:lineRule="auto"/>
        <w:rPr>
          <w:rFonts w:ascii="Arial" w:cs="Arial" w:eastAsia="Arial" w:hAnsi="Arial"/>
          <w:sz w:val="18"/>
          <w:szCs w:val="18"/>
          <w:u w:val="single" w:color="auto"/>
          <w:color w:val="0000EE"/>
        </w:rPr>
      </w:pPr>
      <w:hyperlink r:id="rId316">
        <w:r>
          <w:rPr>
            <w:rFonts w:ascii="Arial" w:cs="Arial" w:eastAsia="Arial" w:hAnsi="Arial"/>
            <w:sz w:val="18"/>
            <w:szCs w:val="18"/>
            <w:u w:val="single" w:color="auto"/>
            <w:color w:val="0000EE"/>
          </w:rPr>
          <w:t>2012 (incorporated by reference to Exhibit 2.3 to the Registrant’s Annual Report on Form 10-K filed with the SEC on February 25,</w:t>
        </w:r>
      </w:hyperlink>
    </w:p>
    <w:p>
      <w:pPr>
        <w:spacing w:after="0" w:line="1" w:lineRule="exact"/>
        <w:rPr>
          <w:sz w:val="20"/>
          <w:szCs w:val="20"/>
          <w:color w:val="auto"/>
        </w:rPr>
      </w:pPr>
    </w:p>
    <w:p>
      <w:pPr>
        <w:ind w:left="920"/>
        <w:spacing w:after="0"/>
        <w:rPr>
          <w:rFonts w:ascii="Arial" w:cs="Arial" w:eastAsia="Arial" w:hAnsi="Arial"/>
          <w:sz w:val="18"/>
          <w:szCs w:val="18"/>
          <w:color w:val="0000EE"/>
        </w:rPr>
      </w:pPr>
      <w:hyperlink r:id="rId316">
        <w:r>
          <w:rPr>
            <w:rFonts w:ascii="Arial" w:cs="Arial" w:eastAsia="Arial" w:hAnsi="Arial"/>
            <w:sz w:val="18"/>
            <w:szCs w:val="18"/>
            <w:u w:val="single" w:color="auto"/>
            <w:color w:val="0000EE"/>
          </w:rPr>
          <w:t>2013).</w:t>
        </w:r>
        <w:r>
          <w:rPr>
            <w:rFonts w:ascii="Arial" w:cs="Arial" w:eastAsia="Arial" w:hAnsi="Arial"/>
            <w:sz w:val="18"/>
            <w:szCs w:val="18"/>
            <w:color w:val="000000"/>
          </w:rPr>
          <w:t>*</w:t>
        </w:r>
      </w:hyperlink>
    </w:p>
    <w:p>
      <w:pPr>
        <w:spacing w:after="0" w:line="104" w:lineRule="exact"/>
        <w:rPr>
          <w:sz w:val="20"/>
          <w:szCs w:val="20"/>
          <w:color w:val="auto"/>
        </w:rPr>
      </w:pPr>
    </w:p>
    <w:p>
      <w:pPr>
        <w:ind w:left="920" w:right="40" w:hanging="717"/>
        <w:spacing w:after="0" w:line="261" w:lineRule="auto"/>
        <w:tabs>
          <w:tab w:leader="none" w:pos="900" w:val="left"/>
        </w:tabs>
        <w:rPr>
          <w:rFonts w:ascii="Arial" w:cs="Arial" w:eastAsia="Arial" w:hAnsi="Arial"/>
          <w:sz w:val="17"/>
          <w:szCs w:val="17"/>
          <w:color w:val="0000EE"/>
        </w:rPr>
      </w:pPr>
      <w:r>
        <w:rPr>
          <w:rFonts w:ascii="Arial" w:cs="Arial" w:eastAsia="Arial" w:hAnsi="Arial"/>
          <w:sz w:val="18"/>
          <w:szCs w:val="18"/>
          <w:color w:val="auto"/>
        </w:rPr>
        <w:t>2.3</w:t>
      </w:r>
      <w:r>
        <w:rPr>
          <w:sz w:val="20"/>
          <w:szCs w:val="20"/>
          <w:color w:val="auto"/>
        </w:rPr>
        <w:tab/>
      </w:r>
      <w:hyperlink r:id="rId317">
        <w:r>
          <w:rPr>
            <w:rFonts w:ascii="Arial" w:cs="Arial" w:eastAsia="Arial" w:hAnsi="Arial"/>
            <w:sz w:val="17"/>
            <w:szCs w:val="17"/>
            <w:u w:val="single" w:color="auto"/>
            <w:color w:val="0000EE"/>
          </w:rPr>
          <w:t>Master Ownership and License Agreement Regarding Patents, Trade Secrets and Related Intellectual Property, among Kraft Foods</w:t>
        </w:r>
      </w:hyperlink>
      <w:r>
        <w:rPr>
          <w:rFonts w:ascii="Arial" w:cs="Arial" w:eastAsia="Arial" w:hAnsi="Arial"/>
          <w:sz w:val="17"/>
          <w:szCs w:val="17"/>
          <w:u w:val="single" w:color="auto"/>
          <w:color w:val="0000EE"/>
        </w:rPr>
        <w:t xml:space="preserve"> </w:t>
      </w:r>
      <w:hyperlink r:id="rId317">
        <w:r>
          <w:rPr>
            <w:rFonts w:ascii="Arial" w:cs="Arial" w:eastAsia="Arial" w:hAnsi="Arial"/>
            <w:sz w:val="17"/>
            <w:szCs w:val="17"/>
            <w:u w:val="single" w:color="auto"/>
            <w:color w:val="0000EE"/>
          </w:rPr>
          <w:t>Global Brands LLC, Kraft Foods Group Brands LLC, Kraft Foods UK Ltd. and Kraft Foods R&amp;D Inc., dated as of October 1, 2012</w:t>
        </w:r>
      </w:hyperlink>
      <w:r>
        <w:rPr>
          <w:rFonts w:ascii="Arial" w:cs="Arial" w:eastAsia="Arial" w:hAnsi="Arial"/>
          <w:sz w:val="17"/>
          <w:szCs w:val="17"/>
          <w:u w:val="single" w:color="auto"/>
          <w:color w:val="0000EE"/>
        </w:rPr>
        <w:t xml:space="preserve"> </w:t>
      </w:r>
      <w:hyperlink r:id="rId317">
        <w:r>
          <w:rPr>
            <w:rFonts w:ascii="Arial" w:cs="Arial" w:eastAsia="Arial" w:hAnsi="Arial"/>
            <w:sz w:val="17"/>
            <w:szCs w:val="17"/>
            <w:u w:val="single" w:color="auto"/>
            <w:color w:val="0000EE"/>
          </w:rPr>
          <w:t>(incorporated by reference to Exhibit 10.3 to the Registrant’s Current Report on Form 8-K filed with the SEC on October 1, 2012).</w:t>
        </w:r>
        <w:r>
          <w:rPr>
            <w:rFonts w:ascii="Arial" w:cs="Arial" w:eastAsia="Arial" w:hAnsi="Arial"/>
            <w:sz w:val="17"/>
            <w:szCs w:val="17"/>
            <w:color w:val="000000"/>
          </w:rPr>
          <w:t>*</w:t>
        </w:r>
      </w:hyperlink>
    </w:p>
    <w:p>
      <w:pPr>
        <w:spacing w:after="0" w:line="78" w:lineRule="exact"/>
        <w:rPr>
          <w:rFonts w:ascii="Arial" w:cs="Arial" w:eastAsia="Arial" w:hAnsi="Arial"/>
          <w:sz w:val="17"/>
          <w:szCs w:val="17"/>
          <w:u w:val="single" w:color="auto"/>
          <w:color w:val="0000EE"/>
        </w:rPr>
      </w:pPr>
    </w:p>
    <w:p>
      <w:pPr>
        <w:ind w:left="920" w:right="40" w:hanging="717"/>
        <w:spacing w:after="0" w:line="23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318">
        <w:r>
          <w:rPr>
            <w:rFonts w:ascii="Arial" w:cs="Arial" w:eastAsia="Arial" w:hAnsi="Arial"/>
            <w:sz w:val="18"/>
            <w:szCs w:val="18"/>
            <w:u w:val="single" w:color="auto"/>
            <w:color w:val="0000EE"/>
          </w:rPr>
          <w:t>Addendum to the Master Ownership and License Agreement Regarding Patents, Trade Secrets and Related Intellectual Property,</w:t>
        </w:r>
      </w:hyperlink>
      <w:r>
        <w:rPr>
          <w:rFonts w:ascii="Arial" w:cs="Arial" w:eastAsia="Arial" w:hAnsi="Arial"/>
          <w:sz w:val="18"/>
          <w:szCs w:val="18"/>
          <w:u w:val="single" w:color="auto"/>
          <w:color w:val="0000EE"/>
        </w:rPr>
        <w:t xml:space="preserve"> </w:t>
      </w:r>
      <w:hyperlink r:id="rId318">
        <w:r>
          <w:rPr>
            <w:rFonts w:ascii="Arial" w:cs="Arial" w:eastAsia="Arial" w:hAnsi="Arial"/>
            <w:sz w:val="18"/>
            <w:szCs w:val="18"/>
            <w:u w:val="single" w:color="auto"/>
            <w:color w:val="0000EE"/>
          </w:rPr>
          <w:t>by and among Intercontinental Great Brands, LLC Kraft Foods Global Brands LLC, Mondelēz UK LTD, Kraft Foods R&amp;D Inc. and</w:t>
        </w:r>
      </w:hyperlink>
      <w:r>
        <w:rPr>
          <w:rFonts w:ascii="Arial" w:cs="Arial" w:eastAsia="Arial" w:hAnsi="Arial"/>
          <w:sz w:val="18"/>
          <w:szCs w:val="18"/>
          <w:u w:val="single" w:color="auto"/>
          <w:color w:val="0000EE"/>
        </w:rPr>
        <w:t xml:space="preserve"> </w:t>
      </w:r>
      <w:hyperlink r:id="rId318">
        <w:r>
          <w:rPr>
            <w:rFonts w:ascii="Arial" w:cs="Arial" w:eastAsia="Arial" w:hAnsi="Arial"/>
            <w:sz w:val="18"/>
            <w:szCs w:val="18"/>
            <w:u w:val="single" w:color="auto"/>
            <w:color w:val="0000EE"/>
          </w:rPr>
          <w:t>Kraft Foods Group Brands LLC, dated May 9, 2017 (incorporated by reference to Exhibit 2.2 to the Registrant’s Quarterly Report on</w:t>
        </w:r>
      </w:hyperlink>
      <w:r>
        <w:rPr>
          <w:rFonts w:ascii="Arial" w:cs="Arial" w:eastAsia="Arial" w:hAnsi="Arial"/>
          <w:sz w:val="18"/>
          <w:szCs w:val="18"/>
          <w:u w:val="single" w:color="auto"/>
          <w:color w:val="0000EE"/>
        </w:rPr>
        <w:t xml:space="preserve"> </w:t>
      </w:r>
      <w:hyperlink r:id="rId318">
        <w:r>
          <w:rPr>
            <w:rFonts w:ascii="Arial" w:cs="Arial" w:eastAsia="Arial" w:hAnsi="Arial"/>
            <w:sz w:val="18"/>
            <w:szCs w:val="18"/>
            <w:u w:val="single" w:color="auto"/>
            <w:color w:val="0000EE"/>
          </w:rPr>
          <w:t>Form 10-Q filed with the SEC on August 2, 2017).</w:t>
        </w:r>
      </w:hyperlink>
    </w:p>
    <w:p>
      <w:pPr>
        <w:spacing w:after="0" w:line="94" w:lineRule="exact"/>
        <w:rPr>
          <w:rFonts w:ascii="Arial" w:cs="Arial" w:eastAsia="Arial" w:hAnsi="Arial"/>
          <w:sz w:val="18"/>
          <w:szCs w:val="18"/>
          <w:u w:val="single" w:color="auto"/>
          <w:color w:val="0000EE"/>
        </w:rPr>
      </w:pPr>
    </w:p>
    <w:p>
      <w:pPr>
        <w:ind w:left="920" w:right="20" w:hanging="7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2.5</w:t>
      </w:r>
      <w:r>
        <w:rPr>
          <w:sz w:val="20"/>
          <w:szCs w:val="20"/>
          <w:color w:val="auto"/>
        </w:rPr>
        <w:tab/>
      </w:r>
      <w:hyperlink r:id="rId319">
        <w:r>
          <w:rPr>
            <w:rFonts w:ascii="Arial" w:cs="Arial" w:eastAsia="Arial" w:hAnsi="Arial"/>
            <w:sz w:val="18"/>
            <w:szCs w:val="18"/>
            <w:u w:val="single" w:color="auto"/>
            <w:color w:val="0000EE"/>
          </w:rPr>
          <w:t>Master Ownership and License Agreement Regarding Trademarks and Related Intellectual Property, by and between Kraft Foods</w:t>
        </w:r>
      </w:hyperlink>
      <w:r>
        <w:rPr>
          <w:rFonts w:ascii="Arial" w:cs="Arial" w:eastAsia="Arial" w:hAnsi="Arial"/>
          <w:sz w:val="18"/>
          <w:szCs w:val="18"/>
          <w:u w:val="single" w:color="auto"/>
          <w:color w:val="0000EE"/>
        </w:rPr>
        <w:t xml:space="preserve"> </w:t>
      </w:r>
      <w:hyperlink r:id="rId319">
        <w:r>
          <w:rPr>
            <w:rFonts w:ascii="Arial" w:cs="Arial" w:eastAsia="Arial" w:hAnsi="Arial"/>
            <w:sz w:val="18"/>
            <w:szCs w:val="18"/>
            <w:u w:val="single" w:color="auto"/>
            <w:color w:val="0000EE"/>
          </w:rPr>
          <w:t>Global Brands LLC and Kraft Foods Group Brands LLC., dated as of September 27, 2012 (incorporated by reference to Exhibit 10.4</w:t>
        </w:r>
      </w:hyperlink>
      <w:r>
        <w:rPr>
          <w:rFonts w:ascii="Arial" w:cs="Arial" w:eastAsia="Arial" w:hAnsi="Arial"/>
          <w:sz w:val="18"/>
          <w:szCs w:val="18"/>
          <w:u w:val="single" w:color="auto"/>
          <w:color w:val="0000EE"/>
        </w:rPr>
        <w:t xml:space="preserve"> </w:t>
      </w:r>
      <w:hyperlink r:id="rId319">
        <w:r>
          <w:rPr>
            <w:rFonts w:ascii="Arial" w:cs="Arial" w:eastAsia="Arial" w:hAnsi="Arial"/>
            <w:sz w:val="18"/>
            <w:szCs w:val="18"/>
            <w:u w:val="single" w:color="auto"/>
            <w:color w:val="0000EE"/>
          </w:rPr>
          <w:t>to the Registrant’s Current Report on Form 8-K filed with the SEC on October 1, 2012).</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hanging="7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2.6</w:t>
      </w:r>
      <w:r>
        <w:rPr>
          <w:sz w:val="20"/>
          <w:szCs w:val="20"/>
          <w:color w:val="auto"/>
        </w:rPr>
        <w:tab/>
      </w:r>
      <w:hyperlink r:id="rId320">
        <w:r>
          <w:rPr>
            <w:rFonts w:ascii="Arial" w:cs="Arial" w:eastAsia="Arial" w:hAnsi="Arial"/>
            <w:sz w:val="18"/>
            <w:szCs w:val="18"/>
            <w:u w:val="single" w:color="auto"/>
            <w:color w:val="0000EE"/>
          </w:rPr>
          <w:t>First Amendment to the Master Ownership and License Agreement Regarding Trademarks and Related Intellectual Property,</w:t>
        </w:r>
      </w:hyperlink>
      <w:r>
        <w:rPr>
          <w:rFonts w:ascii="Arial" w:cs="Arial" w:eastAsia="Arial" w:hAnsi="Arial"/>
          <w:sz w:val="18"/>
          <w:szCs w:val="18"/>
          <w:u w:val="single" w:color="auto"/>
          <w:color w:val="0000EE"/>
        </w:rPr>
        <w:t xml:space="preserve"> </w:t>
      </w:r>
      <w:hyperlink r:id="rId320">
        <w:r>
          <w:rPr>
            <w:rFonts w:ascii="Arial" w:cs="Arial" w:eastAsia="Arial" w:hAnsi="Arial"/>
            <w:sz w:val="18"/>
            <w:szCs w:val="18"/>
            <w:u w:val="single" w:color="auto"/>
            <w:color w:val="0000EE"/>
          </w:rPr>
          <w:t>among Intercontinental Great Brands LLC and Kraft Foods Group Brands LLC, dated as of July 15, 2013 (incorporated by reference</w:t>
        </w:r>
      </w:hyperlink>
      <w:r>
        <w:rPr>
          <w:rFonts w:ascii="Arial" w:cs="Arial" w:eastAsia="Arial" w:hAnsi="Arial"/>
          <w:sz w:val="18"/>
          <w:szCs w:val="18"/>
          <w:u w:val="single" w:color="auto"/>
          <w:color w:val="0000EE"/>
        </w:rPr>
        <w:t xml:space="preserve"> </w:t>
      </w:r>
      <w:hyperlink r:id="rId320">
        <w:r>
          <w:rPr>
            <w:rFonts w:ascii="Arial" w:cs="Arial" w:eastAsia="Arial" w:hAnsi="Arial"/>
            <w:sz w:val="18"/>
            <w:szCs w:val="18"/>
            <w:u w:val="single" w:color="auto"/>
            <w:color w:val="0000EE"/>
          </w:rPr>
          <w:t>to Exhibit 2.1 to the Registrant’s Quarterly Report on Form 10-Q filed with the SEC on April 30, 2015).</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right="320" w:hanging="717"/>
        <w:spacing w:after="0" w:line="261" w:lineRule="auto"/>
        <w:tabs>
          <w:tab w:leader="none" w:pos="900" w:val="left"/>
        </w:tabs>
        <w:rPr>
          <w:rFonts w:ascii="Arial" w:cs="Arial" w:eastAsia="Arial" w:hAnsi="Arial"/>
          <w:sz w:val="17"/>
          <w:szCs w:val="17"/>
          <w:color w:val="0000EE"/>
        </w:rPr>
      </w:pPr>
      <w:r>
        <w:rPr>
          <w:rFonts w:ascii="Arial" w:cs="Arial" w:eastAsia="Arial" w:hAnsi="Arial"/>
          <w:sz w:val="18"/>
          <w:szCs w:val="18"/>
          <w:color w:val="auto"/>
        </w:rPr>
        <w:t>2.7</w:t>
      </w:r>
      <w:r>
        <w:rPr>
          <w:sz w:val="20"/>
          <w:szCs w:val="20"/>
          <w:color w:val="auto"/>
        </w:rPr>
        <w:tab/>
      </w:r>
      <w:hyperlink r:id="rId321">
        <w:r>
          <w:rPr>
            <w:rFonts w:ascii="Arial" w:cs="Arial" w:eastAsia="Arial" w:hAnsi="Arial"/>
            <w:sz w:val="17"/>
            <w:szCs w:val="17"/>
            <w:u w:val="single" w:color="auto"/>
            <w:color w:val="0000EE"/>
          </w:rPr>
          <w:t>Second Amendment to the Master Ownership and License Agreement Regarding Trademarks and Related Intellectual Property,</w:t>
        </w:r>
      </w:hyperlink>
      <w:r>
        <w:rPr>
          <w:rFonts w:ascii="Arial" w:cs="Arial" w:eastAsia="Arial" w:hAnsi="Arial"/>
          <w:sz w:val="17"/>
          <w:szCs w:val="17"/>
          <w:u w:val="single" w:color="auto"/>
          <w:color w:val="0000EE"/>
        </w:rPr>
        <w:t xml:space="preserve"> </w:t>
      </w:r>
      <w:hyperlink r:id="rId321">
        <w:r>
          <w:rPr>
            <w:rFonts w:ascii="Arial" w:cs="Arial" w:eastAsia="Arial" w:hAnsi="Arial"/>
            <w:sz w:val="17"/>
            <w:szCs w:val="17"/>
            <w:u w:val="single" w:color="auto"/>
            <w:color w:val="0000EE"/>
          </w:rPr>
          <w:t>among Intercontinental Great Brands LLC and Kraft Foods Group Brands LLC, dated as of October 1, 2014 (incorporated by</w:t>
        </w:r>
      </w:hyperlink>
      <w:r>
        <w:rPr>
          <w:rFonts w:ascii="Arial" w:cs="Arial" w:eastAsia="Arial" w:hAnsi="Arial"/>
          <w:sz w:val="17"/>
          <w:szCs w:val="17"/>
          <w:u w:val="single" w:color="auto"/>
          <w:color w:val="0000EE"/>
        </w:rPr>
        <w:t xml:space="preserve"> </w:t>
      </w:r>
      <w:hyperlink r:id="rId321">
        <w:r>
          <w:rPr>
            <w:rFonts w:ascii="Arial" w:cs="Arial" w:eastAsia="Arial" w:hAnsi="Arial"/>
            <w:sz w:val="17"/>
            <w:szCs w:val="17"/>
            <w:u w:val="single" w:color="auto"/>
            <w:color w:val="0000EE"/>
          </w:rPr>
          <w:t>reference to Exhibit 2.2 to the Registrant’s Quarterly Report on Form 10-Q filed with the SEC on April 30, 2015).</w:t>
        </w:r>
        <w:r>
          <w:rPr>
            <w:rFonts w:ascii="Arial" w:cs="Arial" w:eastAsia="Arial" w:hAnsi="Arial"/>
            <w:sz w:val="17"/>
            <w:szCs w:val="17"/>
            <w:color w:val="000000"/>
          </w:rPr>
          <w:t>*</w:t>
        </w:r>
      </w:hyperlink>
    </w:p>
    <w:p>
      <w:pPr>
        <w:spacing w:after="0" w:line="78" w:lineRule="exact"/>
        <w:rPr>
          <w:rFonts w:ascii="Arial" w:cs="Arial" w:eastAsia="Arial" w:hAnsi="Arial"/>
          <w:sz w:val="17"/>
          <w:szCs w:val="17"/>
          <w:u w:val="single" w:color="auto"/>
          <w:color w:val="0000EE"/>
        </w:rPr>
      </w:pPr>
    </w:p>
    <w:p>
      <w:pPr>
        <w:ind w:left="920" w:right="380" w:hanging="717"/>
        <w:spacing w:after="0" w:line="261"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2.8</w:t>
      </w:r>
      <w:r>
        <w:rPr>
          <w:sz w:val="20"/>
          <w:szCs w:val="20"/>
          <w:color w:val="auto"/>
        </w:rPr>
        <w:tab/>
      </w:r>
      <w:hyperlink r:id="rId322">
        <w:r>
          <w:rPr>
            <w:rFonts w:ascii="Arial" w:cs="Arial" w:eastAsia="Arial" w:hAnsi="Arial"/>
            <w:sz w:val="17"/>
            <w:szCs w:val="17"/>
            <w:u w:val="single" w:color="auto"/>
            <w:color w:val="0000EE"/>
          </w:rPr>
          <w:t>Amendment to the Master Ownership and License Agreement Regarding Trademarks and Related Intellectual Property, among</w:t>
        </w:r>
      </w:hyperlink>
      <w:r>
        <w:rPr>
          <w:rFonts w:ascii="Arial" w:cs="Arial" w:eastAsia="Arial" w:hAnsi="Arial"/>
          <w:sz w:val="17"/>
          <w:szCs w:val="17"/>
          <w:u w:val="single" w:color="auto"/>
          <w:color w:val="0000EE"/>
        </w:rPr>
        <w:t xml:space="preserve"> </w:t>
      </w:r>
      <w:hyperlink r:id="rId322">
        <w:r>
          <w:rPr>
            <w:rFonts w:ascii="Arial" w:cs="Arial" w:eastAsia="Arial" w:hAnsi="Arial"/>
            <w:sz w:val="17"/>
            <w:szCs w:val="17"/>
            <w:u w:val="single" w:color="auto"/>
            <w:color w:val="0000EE"/>
          </w:rPr>
          <w:t>Intercontinental Great Brands LLC and Kraft Foods Group Brands LLC, effective as of September 28, 2016 (incorporated by</w:t>
        </w:r>
      </w:hyperlink>
      <w:r>
        <w:rPr>
          <w:rFonts w:ascii="Arial" w:cs="Arial" w:eastAsia="Arial" w:hAnsi="Arial"/>
          <w:sz w:val="17"/>
          <w:szCs w:val="17"/>
          <w:u w:val="single" w:color="auto"/>
          <w:color w:val="0000EE"/>
        </w:rPr>
        <w:t xml:space="preserve"> </w:t>
      </w:r>
      <w:hyperlink r:id="rId322">
        <w:r>
          <w:rPr>
            <w:rFonts w:ascii="Arial" w:cs="Arial" w:eastAsia="Arial" w:hAnsi="Arial"/>
            <w:sz w:val="17"/>
            <w:szCs w:val="17"/>
            <w:u w:val="single" w:color="auto"/>
            <w:color w:val="0000EE"/>
          </w:rPr>
          <w:t>reference to Exhibit 2.1 to the Registrant’s Quarterly Report on Form 10-Q filed with the SEC on August 2, 2017).</w:t>
        </w:r>
      </w:hyperlink>
    </w:p>
    <w:p>
      <w:pPr>
        <w:spacing w:after="0" w:line="119"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2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24">
        <w:r>
          <w:rPr>
            <w:rFonts w:ascii="Arial" w:cs="Arial" w:eastAsia="Arial" w:hAnsi="Arial"/>
            <w:sz w:val="18"/>
            <w:szCs w:val="18"/>
            <w:u w:val="single" w:color="auto"/>
            <w:color w:val="0000EE"/>
          </w:rPr>
          <w:t>Amended and Restated Articles of Incorporation of the Registrant, effective March 14, 2013 (incorporated by reference to Exhibit</w:t>
        </w:r>
      </w:hyperlink>
    </w:p>
    <w:p>
      <w:pPr>
        <w:ind w:left="920"/>
        <w:spacing w:after="0"/>
        <w:rPr>
          <w:rFonts w:ascii="Arial" w:cs="Arial" w:eastAsia="Arial" w:hAnsi="Arial"/>
          <w:sz w:val="18"/>
          <w:szCs w:val="18"/>
          <w:u w:val="single" w:color="auto"/>
          <w:color w:val="0000EE"/>
        </w:rPr>
      </w:pPr>
      <w:hyperlink r:id="rId324">
        <w:r>
          <w:rPr>
            <w:rFonts w:ascii="Arial" w:cs="Arial" w:eastAsia="Arial" w:hAnsi="Arial"/>
            <w:sz w:val="18"/>
            <w:szCs w:val="18"/>
            <w:u w:val="single" w:color="auto"/>
            <w:color w:val="0000EE"/>
          </w:rPr>
          <w:t>3.1 to the Registrant’s Quarterly Report on Form 10-Q filed with the SEC on May 8, 2013).</w:t>
        </w:r>
      </w:hyperlink>
    </w:p>
    <w:p>
      <w:pPr>
        <w:spacing w:after="0" w:line="104" w:lineRule="exact"/>
        <w:rPr>
          <w:sz w:val="20"/>
          <w:szCs w:val="20"/>
          <w:color w:val="auto"/>
        </w:rPr>
      </w:pPr>
    </w:p>
    <w:p>
      <w:pPr>
        <w:ind w:left="920" w:right="120" w:hanging="717"/>
        <w:spacing w:after="0" w:line="246"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25">
        <w:r>
          <w:rPr>
            <w:rFonts w:ascii="Arial" w:cs="Arial" w:eastAsia="Arial" w:hAnsi="Arial"/>
            <w:sz w:val="18"/>
            <w:szCs w:val="18"/>
            <w:u w:val="single" w:color="auto"/>
            <w:color w:val="0000EE"/>
          </w:rPr>
          <w:t>Amended and Restated By-Laws of the Registrant, effective as of October 9, 2015 (incorporated by reference to Exhibit 3.1 to the</w:t>
        </w:r>
      </w:hyperlink>
      <w:r>
        <w:rPr>
          <w:rFonts w:ascii="Arial" w:cs="Arial" w:eastAsia="Arial" w:hAnsi="Arial"/>
          <w:sz w:val="18"/>
          <w:szCs w:val="18"/>
          <w:u w:val="single" w:color="auto"/>
          <w:color w:val="0000EE"/>
        </w:rPr>
        <w:t xml:space="preserve"> </w:t>
      </w:r>
      <w:hyperlink r:id="rId325">
        <w:r>
          <w:rPr>
            <w:rFonts w:ascii="Arial" w:cs="Arial" w:eastAsia="Arial" w:hAnsi="Arial"/>
            <w:sz w:val="18"/>
            <w:szCs w:val="18"/>
            <w:u w:val="single" w:color="auto"/>
            <w:color w:val="0000EE"/>
          </w:rPr>
          <w:t>Registrant’s Current Report on Form 8-K filed with the SEC on October 7, 2015).</w:t>
        </w:r>
      </w:hyperlink>
    </w:p>
    <w:p>
      <w:pPr>
        <w:spacing w:after="0" w:line="89" w:lineRule="exact"/>
        <w:rPr>
          <w:sz w:val="20"/>
          <w:szCs w:val="20"/>
          <w:color w:val="auto"/>
        </w:rPr>
      </w:pPr>
    </w:p>
    <w:p>
      <w:pPr>
        <w:ind w:left="920" w:right="60" w:hanging="717"/>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Registrant agrees to furnish to the SEC upon request copies of any instruments defining the rights of holders of long-term debt of the Registrant and its consolidated subsidiaries that does not exceed 10 percent of the total assets of the Registrant and its consolidated subsidiaries.</w:t>
      </w:r>
    </w:p>
    <w:p>
      <w:pPr>
        <w:spacing w:after="0" w:line="95" w:lineRule="exact"/>
        <w:rPr>
          <w:sz w:val="20"/>
          <w:szCs w:val="20"/>
          <w:color w:val="auto"/>
        </w:rPr>
      </w:pPr>
    </w:p>
    <w:p>
      <w:pPr>
        <w:ind w:left="920" w:right="80" w:hanging="717"/>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26">
        <w:r>
          <w:rPr>
            <w:rFonts w:ascii="Arial" w:cs="Arial" w:eastAsia="Arial" w:hAnsi="Arial"/>
            <w:sz w:val="18"/>
            <w:szCs w:val="18"/>
            <w:u w:val="single" w:color="auto"/>
            <w:color w:val="0000EE"/>
          </w:rPr>
          <w:t>Indenture, by and between the Registrant and Deutsche Bank Trust Company Americas (as successor trustee to The Bank of New</w:t>
        </w:r>
      </w:hyperlink>
      <w:r>
        <w:rPr>
          <w:rFonts w:ascii="Arial" w:cs="Arial" w:eastAsia="Arial" w:hAnsi="Arial"/>
          <w:sz w:val="18"/>
          <w:szCs w:val="18"/>
          <w:u w:val="single" w:color="auto"/>
          <w:color w:val="0000EE"/>
        </w:rPr>
        <w:t xml:space="preserve"> </w:t>
      </w:r>
      <w:hyperlink r:id="rId326">
        <w:r>
          <w:rPr>
            <w:rFonts w:ascii="Arial" w:cs="Arial" w:eastAsia="Arial" w:hAnsi="Arial"/>
            <w:sz w:val="18"/>
            <w:szCs w:val="18"/>
            <w:u w:val="single" w:color="auto"/>
            <w:color w:val="0000EE"/>
          </w:rPr>
          <w:t>York and The Chase Manhattan Bank), dated as of October 17, 2001 (incorporated by reference to Exhibit 4.1 to the Registrant’s</w:t>
        </w:r>
      </w:hyperlink>
      <w:r>
        <w:rPr>
          <w:rFonts w:ascii="Arial" w:cs="Arial" w:eastAsia="Arial" w:hAnsi="Arial"/>
          <w:sz w:val="18"/>
          <w:szCs w:val="18"/>
          <w:u w:val="single" w:color="auto"/>
          <w:color w:val="0000EE"/>
        </w:rPr>
        <w:t xml:space="preserve"> </w:t>
      </w:r>
      <w:hyperlink r:id="rId326">
        <w:r>
          <w:rPr>
            <w:rFonts w:ascii="Arial" w:cs="Arial" w:eastAsia="Arial" w:hAnsi="Arial"/>
            <w:sz w:val="18"/>
            <w:szCs w:val="18"/>
            <w:u w:val="single" w:color="auto"/>
            <w:color w:val="0000EE"/>
          </w:rPr>
          <w:t>Registration Statement on Form S-3 (Reg. No. 333-86478) filed with the SEC on April 18, 2002).</w:t>
        </w:r>
      </w:hyperlink>
    </w:p>
    <w:p>
      <w:pPr>
        <w:spacing w:after="0" w:line="95" w:lineRule="exact"/>
        <w:rPr>
          <w:rFonts w:ascii="Arial" w:cs="Arial" w:eastAsia="Arial" w:hAnsi="Arial"/>
          <w:sz w:val="18"/>
          <w:szCs w:val="18"/>
          <w:u w:val="single" w:color="auto"/>
          <w:color w:val="0000EE"/>
        </w:rPr>
      </w:pPr>
    </w:p>
    <w:p>
      <w:pPr>
        <w:ind w:left="920" w:hanging="717"/>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327">
        <w:r>
          <w:rPr>
            <w:rFonts w:ascii="Arial" w:cs="Arial" w:eastAsia="Arial" w:hAnsi="Arial"/>
            <w:sz w:val="18"/>
            <w:szCs w:val="18"/>
            <w:u w:val="single" w:color="auto"/>
            <w:color w:val="0000EE"/>
          </w:rPr>
          <w:t>Supplemental Indenture, by and between the Registrant and Deutsche Bank Trust Company Americas, Deutsche Bank AG, London</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Branch and Deutsche Bank Luxembourg S.A., dated as of December 11, 2013 (incorporated by reference to Exhibit 4.2 to the</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Registrant’s Current Report on Form 8-K filed with the SEC on December 11, 2013).</w:t>
        </w:r>
      </w:hyperlink>
    </w:p>
    <w:p>
      <w:pPr>
        <w:spacing w:after="0" w:line="95" w:lineRule="exact"/>
        <w:rPr>
          <w:rFonts w:ascii="Arial" w:cs="Arial" w:eastAsia="Arial" w:hAnsi="Arial"/>
          <w:sz w:val="18"/>
          <w:szCs w:val="18"/>
          <w:u w:val="single" w:color="auto"/>
          <w:color w:val="0000EE"/>
        </w:rPr>
      </w:pPr>
    </w:p>
    <w:p>
      <w:pPr>
        <w:ind w:left="920" w:right="80" w:hanging="717"/>
        <w:spacing w:after="0" w:line="275"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4.4</w:t>
      </w:r>
      <w:r>
        <w:rPr>
          <w:sz w:val="20"/>
          <w:szCs w:val="20"/>
          <w:color w:val="auto"/>
        </w:rPr>
        <w:tab/>
      </w:r>
      <w:hyperlink r:id="rId328">
        <w:r>
          <w:rPr>
            <w:rFonts w:ascii="Arial" w:cs="Arial" w:eastAsia="Arial" w:hAnsi="Arial"/>
            <w:sz w:val="17"/>
            <w:szCs w:val="17"/>
            <w:u w:val="single" w:color="auto"/>
            <w:color w:val="0000EE"/>
          </w:rPr>
          <w:t>Indenture between the Registrant and Deutsche Bank Trust Company Americas, as trustee, dated as of March 6, 2015</w:t>
        </w:r>
      </w:hyperlink>
      <w:r>
        <w:rPr>
          <w:rFonts w:ascii="Arial" w:cs="Arial" w:eastAsia="Arial" w:hAnsi="Arial"/>
          <w:sz w:val="17"/>
          <w:szCs w:val="17"/>
          <w:u w:val="single" w:color="auto"/>
          <w:color w:val="0000EE"/>
        </w:rPr>
        <w:t xml:space="preserve"> </w:t>
      </w:r>
      <w:hyperlink r:id="rId328">
        <w:r>
          <w:rPr>
            <w:rFonts w:ascii="Arial" w:cs="Arial" w:eastAsia="Arial" w:hAnsi="Arial"/>
            <w:sz w:val="17"/>
            <w:szCs w:val="17"/>
            <w:u w:val="single" w:color="auto"/>
            <w:color w:val="0000EE"/>
          </w:rPr>
          <w:t>(incorporated by reference to Exhibit 4.4 to the Registrant’s Annual Report on Form 10-K filed with the SEC on February 24, 2017).</w:t>
        </w:r>
      </w:hyperlink>
    </w:p>
    <w:p>
      <w:pPr>
        <w:spacing w:after="0" w:line="65" w:lineRule="exact"/>
        <w:rPr>
          <w:sz w:val="20"/>
          <w:szCs w:val="20"/>
          <w:color w:val="auto"/>
        </w:rPr>
      </w:pPr>
    </w:p>
    <w:p>
      <w:pPr>
        <w:ind w:left="920" w:right="260" w:hanging="717"/>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329">
        <w:r>
          <w:rPr>
            <w:rFonts w:ascii="Arial" w:cs="Arial" w:eastAsia="Arial" w:hAnsi="Arial"/>
            <w:sz w:val="18"/>
            <w:szCs w:val="18"/>
            <w:u w:val="single" w:color="auto"/>
            <w:color w:val="0000EE"/>
          </w:rPr>
          <w:t>Indenture, by and between Mondelez International Holdings Netherlands B.V, the Registrant and Deutsche Bank Trust Company</w:t>
        </w:r>
      </w:hyperlink>
      <w:r>
        <w:rPr>
          <w:rFonts w:ascii="Arial" w:cs="Arial" w:eastAsia="Arial" w:hAnsi="Arial"/>
          <w:sz w:val="18"/>
          <w:szCs w:val="18"/>
          <w:u w:val="single" w:color="auto"/>
          <w:color w:val="0000EE"/>
        </w:rPr>
        <w:t xml:space="preserve"> </w:t>
      </w:r>
      <w:hyperlink r:id="rId329">
        <w:r>
          <w:rPr>
            <w:rFonts w:ascii="Arial" w:cs="Arial" w:eastAsia="Arial" w:hAnsi="Arial"/>
            <w:sz w:val="18"/>
            <w:szCs w:val="18"/>
            <w:u w:val="single" w:color="auto"/>
            <w:color w:val="0000EE"/>
          </w:rPr>
          <w:t>Americas, dated as of October 28, 2016 (incorporated by reference to Exhibit 4.1 to the Registrant’s Current Report on</w:t>
        </w:r>
      </w:hyperlink>
      <w:r>
        <w:rPr>
          <w:rFonts w:ascii="Arial" w:cs="Arial" w:eastAsia="Arial" w:hAnsi="Arial"/>
          <w:sz w:val="18"/>
          <w:szCs w:val="18"/>
          <w:u w:val="single" w:color="auto"/>
          <w:color w:val="0000EE"/>
        </w:rPr>
        <w:t xml:space="preserve"> </w:t>
      </w:r>
      <w:hyperlink r:id="rId329">
        <w:r>
          <w:rPr>
            <w:rFonts w:ascii="Arial" w:cs="Arial" w:eastAsia="Arial" w:hAnsi="Arial"/>
            <w:sz w:val="18"/>
            <w:szCs w:val="18"/>
            <w:u w:val="single" w:color="auto"/>
            <w:color w:val="0000EE"/>
          </w:rPr>
          <w:t>Form 8-K filed with the SEC on October 28, 2016).</w:t>
        </w:r>
      </w:hyperlink>
    </w:p>
    <w:p>
      <w:pPr>
        <w:spacing w:after="0" w:line="95" w:lineRule="exact"/>
        <w:rPr>
          <w:rFonts w:ascii="Arial" w:cs="Arial" w:eastAsia="Arial" w:hAnsi="Arial"/>
          <w:sz w:val="18"/>
          <w:szCs w:val="18"/>
          <w:u w:val="single" w:color="auto"/>
          <w:color w:val="0000EE"/>
        </w:rPr>
      </w:pPr>
    </w:p>
    <w:p>
      <w:pPr>
        <w:ind w:left="920" w:right="80" w:hanging="817"/>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30">
        <w:r>
          <w:rPr>
            <w:rFonts w:ascii="Arial" w:cs="Arial" w:eastAsia="Arial" w:hAnsi="Arial"/>
            <w:sz w:val="18"/>
            <w:szCs w:val="18"/>
            <w:u w:val="single" w:color="auto"/>
            <w:color w:val="0000EE"/>
          </w:rPr>
          <w:t>$4.5 Billion Amended and Restated Five-Year Revolving Credit Agreement, by and among the Registrant, the initial lenders named</w:t>
        </w:r>
      </w:hyperlink>
      <w:r>
        <w:rPr>
          <w:rFonts w:ascii="Arial" w:cs="Arial" w:eastAsia="Arial" w:hAnsi="Arial"/>
          <w:sz w:val="18"/>
          <w:szCs w:val="18"/>
          <w:u w:val="single" w:color="auto"/>
          <w:color w:val="0000EE"/>
        </w:rPr>
        <w:t xml:space="preserve"> </w:t>
      </w:r>
      <w:hyperlink r:id="rId330">
        <w:r>
          <w:rPr>
            <w:rFonts w:ascii="Arial" w:cs="Arial" w:eastAsia="Arial" w:hAnsi="Arial"/>
            <w:sz w:val="18"/>
            <w:szCs w:val="18"/>
            <w:u w:val="single" w:color="auto"/>
            <w:color w:val="0000EE"/>
          </w:rPr>
          <w:t>therein, and JPMorgan Chase Bank, N.A. as administrative agent, dated October 14, 2016 (incorporated by reference to Exhibit</w:t>
        </w:r>
      </w:hyperlink>
      <w:r>
        <w:rPr>
          <w:rFonts w:ascii="Arial" w:cs="Arial" w:eastAsia="Arial" w:hAnsi="Arial"/>
          <w:sz w:val="18"/>
          <w:szCs w:val="18"/>
          <w:u w:val="single" w:color="auto"/>
          <w:color w:val="0000EE"/>
        </w:rPr>
        <w:t xml:space="preserve"> </w:t>
      </w:r>
      <w:hyperlink r:id="rId330">
        <w:r>
          <w:rPr>
            <w:rFonts w:ascii="Arial" w:cs="Arial" w:eastAsia="Arial" w:hAnsi="Arial"/>
            <w:sz w:val="18"/>
            <w:szCs w:val="18"/>
            <w:u w:val="single" w:color="auto"/>
            <w:color w:val="0000EE"/>
          </w:rPr>
          <w:t>10.1 to the Registrant’s Annual Report on Form 10-K filed with the SEC on February 24, 2017).</w:t>
        </w:r>
      </w:hyperlink>
    </w:p>
    <w:p>
      <w:pPr>
        <w:spacing w:after="0" w:line="95" w:lineRule="exact"/>
        <w:rPr>
          <w:rFonts w:ascii="Arial" w:cs="Arial" w:eastAsia="Arial" w:hAnsi="Arial"/>
          <w:sz w:val="18"/>
          <w:szCs w:val="18"/>
          <w:u w:val="single" w:color="auto"/>
          <w:color w:val="0000EE"/>
        </w:rPr>
      </w:pPr>
    </w:p>
    <w:p>
      <w:pPr>
        <w:jc w:val="both"/>
        <w:ind w:left="920" w:right="300" w:hanging="817"/>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331">
        <w:r>
          <w:rPr>
            <w:rFonts w:ascii="Arial" w:cs="Arial" w:eastAsia="Arial" w:hAnsi="Arial"/>
            <w:sz w:val="18"/>
            <w:szCs w:val="18"/>
            <w:u w:val="single" w:color="auto"/>
            <w:color w:val="0000EE"/>
          </w:rPr>
          <w:t>$1.5 Billion Term Loan Agreement, by and among Mondelēz International Holdings Netherlands B.V., the Registrant, the lenders</w:t>
        </w:r>
      </w:hyperlink>
      <w:r>
        <w:rPr>
          <w:rFonts w:ascii="Arial" w:cs="Arial" w:eastAsia="Arial" w:hAnsi="Arial"/>
          <w:sz w:val="18"/>
          <w:szCs w:val="18"/>
          <w:u w:val="single" w:color="auto"/>
          <w:color w:val="0000EE"/>
        </w:rPr>
        <w:t xml:space="preserve"> </w:t>
      </w:r>
      <w:hyperlink r:id="rId331">
        <w:r>
          <w:rPr>
            <w:rFonts w:ascii="Arial" w:cs="Arial" w:eastAsia="Arial" w:hAnsi="Arial"/>
            <w:sz w:val="18"/>
            <w:szCs w:val="18"/>
            <w:u w:val="single" w:color="auto"/>
            <w:color w:val="0000EE"/>
          </w:rPr>
          <w:t>named therein and JPMorgan Chase Bank, N.A., as administrative agent, dated October 14, 2016 (incorporated by reference to</w:t>
        </w:r>
      </w:hyperlink>
      <w:r>
        <w:rPr>
          <w:rFonts w:ascii="Arial" w:cs="Arial" w:eastAsia="Arial" w:hAnsi="Arial"/>
          <w:sz w:val="18"/>
          <w:szCs w:val="18"/>
          <w:u w:val="single" w:color="auto"/>
          <w:color w:val="0000EE"/>
        </w:rPr>
        <w:t xml:space="preserve"> </w:t>
      </w:r>
      <w:hyperlink r:id="rId331">
        <w:r>
          <w:rPr>
            <w:rFonts w:ascii="Arial" w:cs="Arial" w:eastAsia="Arial" w:hAnsi="Arial"/>
            <w:sz w:val="18"/>
            <w:szCs w:val="18"/>
            <w:u w:val="single" w:color="auto"/>
            <w:color w:val="0000EE"/>
          </w:rPr>
          <w:t>Exhibit 10.2 to the Registrant’s Annual Report on Form 10-K filed with the SEC on February 24, 2017).</w:t>
        </w:r>
      </w:hyperlink>
    </w:p>
    <w:p>
      <w:pPr>
        <w:spacing w:after="0" w:line="95" w:lineRule="exact"/>
        <w:rPr>
          <w:rFonts w:ascii="Arial" w:cs="Arial" w:eastAsia="Arial" w:hAnsi="Arial"/>
          <w:sz w:val="18"/>
          <w:szCs w:val="18"/>
          <w:u w:val="single" w:color="auto"/>
          <w:color w:val="0000EE"/>
        </w:rPr>
      </w:pPr>
    </w:p>
    <w:p>
      <w:pPr>
        <w:ind w:left="920" w:right="280" w:hanging="817"/>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332">
        <w:r>
          <w:rPr>
            <w:rFonts w:ascii="Arial" w:cs="Arial" w:eastAsia="Arial" w:hAnsi="Arial"/>
            <w:sz w:val="18"/>
            <w:szCs w:val="18"/>
            <w:u w:val="single" w:color="auto"/>
            <w:color w:val="0000EE"/>
          </w:rPr>
          <w:t>$1.5 Billion Revolving Credit Agreement, dated March 1, 2017, by and among the Registrant, the lenders, arrangers and agents</w:t>
        </w:r>
      </w:hyperlink>
      <w:r>
        <w:rPr>
          <w:rFonts w:ascii="Arial" w:cs="Arial" w:eastAsia="Arial" w:hAnsi="Arial"/>
          <w:sz w:val="18"/>
          <w:szCs w:val="18"/>
          <w:u w:val="single" w:color="auto"/>
          <w:color w:val="0000EE"/>
        </w:rPr>
        <w:t xml:space="preserve"> </w:t>
      </w:r>
      <w:hyperlink r:id="rId332">
        <w:r>
          <w:rPr>
            <w:rFonts w:ascii="Arial" w:cs="Arial" w:eastAsia="Arial" w:hAnsi="Arial"/>
            <w:sz w:val="18"/>
            <w:szCs w:val="18"/>
            <w:u w:val="single" w:color="auto"/>
            <w:color w:val="0000EE"/>
          </w:rPr>
          <w:t>named therein and JPMorgan Chase Bank, N.A., as Administrative Agent (incorporated by reference to Exhibit 10.1 to the</w:t>
        </w:r>
      </w:hyperlink>
      <w:r>
        <w:rPr>
          <w:rFonts w:ascii="Arial" w:cs="Arial" w:eastAsia="Arial" w:hAnsi="Arial"/>
          <w:sz w:val="18"/>
          <w:szCs w:val="18"/>
          <w:u w:val="single" w:color="auto"/>
          <w:color w:val="0000EE"/>
        </w:rPr>
        <w:t xml:space="preserve"> </w:t>
      </w:r>
      <w:hyperlink r:id="rId332">
        <w:r>
          <w:rPr>
            <w:rFonts w:ascii="Arial" w:cs="Arial" w:eastAsia="Arial" w:hAnsi="Arial"/>
            <w:sz w:val="18"/>
            <w:szCs w:val="18"/>
            <w:u w:val="single" w:color="auto"/>
            <w:color w:val="0000EE"/>
          </w:rPr>
          <w:t>Registrant’s Current Report on Form 8-K filed with the SEC on March 1, 2017).</w:t>
        </w:r>
      </w:hyperlink>
    </w:p>
    <w:p>
      <w:pPr>
        <w:spacing w:after="0" w:line="90" w:lineRule="exact"/>
        <w:rPr>
          <w:rFonts w:ascii="Arial" w:cs="Arial" w:eastAsia="Arial" w:hAnsi="Arial"/>
          <w:sz w:val="18"/>
          <w:szCs w:val="18"/>
          <w:u w:val="single" w:color="auto"/>
          <w:color w:val="0000EE"/>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333">
        <w:r>
          <w:rPr>
            <w:rFonts w:ascii="Arial" w:cs="Arial" w:eastAsia="Arial" w:hAnsi="Arial"/>
            <w:sz w:val="18"/>
            <w:szCs w:val="18"/>
            <w:u w:val="single" w:color="auto"/>
            <w:color w:val="0000EE"/>
          </w:rPr>
          <w:t>Tax Sharing and Indemnity Agreement, by and between the Registrant and Kraft Foods Group, Inc., dated as of September 27,</w:t>
        </w:r>
      </w:hyperlink>
    </w:p>
    <w:p>
      <w:pPr>
        <w:ind w:left="920"/>
        <w:spacing w:after="0" w:line="234" w:lineRule="auto"/>
        <w:rPr>
          <w:rFonts w:ascii="Arial" w:cs="Arial" w:eastAsia="Arial" w:hAnsi="Arial"/>
          <w:sz w:val="18"/>
          <w:szCs w:val="18"/>
          <w:u w:val="single" w:color="auto"/>
          <w:color w:val="0000EE"/>
        </w:rPr>
      </w:pPr>
      <w:hyperlink r:id="rId333">
        <w:r>
          <w:rPr>
            <w:rFonts w:ascii="Arial" w:cs="Arial" w:eastAsia="Arial" w:hAnsi="Arial"/>
            <w:sz w:val="18"/>
            <w:szCs w:val="18"/>
            <w:u w:val="single" w:color="auto"/>
            <w:color w:val="0000EE"/>
          </w:rPr>
          <w:t>2012 (incorporated by reference to Exhibit 10.1 to the Registrant’s Current Report on Form 8-K filed with the SEC on October 1,</w:t>
        </w:r>
      </w:hyperlink>
    </w:p>
    <w:p>
      <w:pPr>
        <w:spacing w:after="0" w:line="1" w:lineRule="exact"/>
        <w:rPr>
          <w:rFonts w:ascii="Arial" w:cs="Arial" w:eastAsia="Arial" w:hAnsi="Arial"/>
          <w:sz w:val="18"/>
          <w:szCs w:val="18"/>
          <w:u w:val="single" w:color="auto"/>
          <w:color w:val="0000EE"/>
        </w:rPr>
      </w:pPr>
    </w:p>
    <w:p>
      <w:pPr>
        <w:ind w:left="920"/>
        <w:spacing w:after="0"/>
        <w:rPr>
          <w:rFonts w:ascii="Arial" w:cs="Arial" w:eastAsia="Arial" w:hAnsi="Arial"/>
          <w:sz w:val="18"/>
          <w:szCs w:val="18"/>
          <w:u w:val="single" w:color="auto"/>
          <w:color w:val="0000EE"/>
        </w:rPr>
      </w:pPr>
      <w:hyperlink r:id="rId333">
        <w:r>
          <w:rPr>
            <w:rFonts w:ascii="Arial" w:cs="Arial" w:eastAsia="Arial" w:hAnsi="Arial"/>
            <w:sz w:val="18"/>
            <w:szCs w:val="18"/>
            <w:u w:val="single" w:color="auto"/>
            <w:color w:val="0000EE"/>
          </w:rPr>
          <w:t>2012).</w:t>
        </w:r>
      </w:hyperlink>
    </w:p>
    <w:p>
      <w:pPr>
        <w:spacing w:after="0" w:line="104" w:lineRule="exact"/>
        <w:rPr>
          <w:rFonts w:ascii="Arial" w:cs="Arial" w:eastAsia="Arial" w:hAnsi="Arial"/>
          <w:sz w:val="18"/>
          <w:szCs w:val="18"/>
          <w:u w:val="single" w:color="auto"/>
          <w:color w:val="0000EE"/>
        </w:rPr>
      </w:pPr>
    </w:p>
    <w:p>
      <w:pPr>
        <w:ind w:left="920" w:right="14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10.5</w:t>
      </w:r>
      <w:r>
        <w:rPr>
          <w:sz w:val="20"/>
          <w:szCs w:val="20"/>
          <w:color w:val="auto"/>
        </w:rPr>
        <w:tab/>
      </w:r>
      <w:hyperlink r:id="rId334">
        <w:r>
          <w:rPr>
            <w:rFonts w:ascii="Arial" w:cs="Arial" w:eastAsia="Arial" w:hAnsi="Arial"/>
            <w:sz w:val="18"/>
            <w:szCs w:val="18"/>
            <w:u w:val="single" w:color="auto"/>
            <w:color w:val="0000EE"/>
          </w:rPr>
          <w:t>Global Contribution Agreement by and among Mondelēz International Holdings, LLC, Acorn Holdings B.V., Charger Top HoldCo</w:t>
        </w:r>
      </w:hyperlink>
      <w:r>
        <w:rPr>
          <w:rFonts w:ascii="Arial" w:cs="Arial" w:eastAsia="Arial" w:hAnsi="Arial"/>
          <w:sz w:val="18"/>
          <w:szCs w:val="18"/>
          <w:u w:val="single" w:color="auto"/>
          <w:color w:val="0000EE"/>
        </w:rPr>
        <w:t xml:space="preserve"> </w:t>
      </w:r>
      <w:hyperlink r:id="rId334">
        <w:r>
          <w:rPr>
            <w:rFonts w:ascii="Arial" w:cs="Arial" w:eastAsia="Arial" w:hAnsi="Arial"/>
            <w:sz w:val="18"/>
            <w:szCs w:val="18"/>
            <w:u w:val="single" w:color="auto"/>
            <w:color w:val="0000EE"/>
          </w:rPr>
          <w:t>B.V. and Charger OpCo B.V., dated May 7, 2014 (incorporated by reference to Exhibit 10.1 to the Registrant’s Quarterly Report on</w:t>
        </w:r>
      </w:hyperlink>
      <w:r>
        <w:rPr>
          <w:rFonts w:ascii="Arial" w:cs="Arial" w:eastAsia="Arial" w:hAnsi="Arial"/>
          <w:sz w:val="18"/>
          <w:szCs w:val="18"/>
          <w:u w:val="single" w:color="auto"/>
          <w:color w:val="0000EE"/>
        </w:rPr>
        <w:t xml:space="preserve"> </w:t>
      </w:r>
      <w:hyperlink r:id="rId334">
        <w:r>
          <w:rPr>
            <w:rFonts w:ascii="Arial" w:cs="Arial" w:eastAsia="Arial" w:hAnsi="Arial"/>
            <w:sz w:val="18"/>
            <w:szCs w:val="18"/>
            <w:u w:val="single" w:color="auto"/>
            <w:color w:val="0000EE"/>
          </w:rPr>
          <w:t>Form 10-Q filed with the SEC on August 8, 2014).</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right="340" w:hanging="817"/>
        <w:spacing w:after="0" w:line="239"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10.6</w:t>
      </w:r>
      <w:r>
        <w:rPr>
          <w:sz w:val="20"/>
          <w:szCs w:val="20"/>
          <w:color w:val="auto"/>
        </w:rPr>
        <w:tab/>
      </w:r>
      <w:hyperlink r:id="rId335">
        <w:r>
          <w:rPr>
            <w:rFonts w:ascii="Arial" w:cs="Arial" w:eastAsia="Arial" w:hAnsi="Arial"/>
            <w:sz w:val="18"/>
            <w:szCs w:val="18"/>
            <w:u w:val="single" w:color="auto"/>
            <w:color w:val="0000EE"/>
          </w:rPr>
          <w:t>Amendment Agreement to Global Contribution Agreement by and among Mondelēz International Holdings LLC, Acorn Holdings</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B.V., Jacobs Douwe Egberts B.V. (formerly Charger Top HoldCo B.V.) and Jacobs Douwe Egberts International B.V. (formerly</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Charger OpCo B.V.), dated July 28, 2015 (incorporated by reference to Exhibit 10.3 to the Registrant’s Quarterly Report on</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Form 10-Q filed with the SEC on July 31, 2015).</w:t>
        </w:r>
        <w:r>
          <w:rPr>
            <w:rFonts w:ascii="Arial" w:cs="Arial" w:eastAsia="Arial" w:hAnsi="Arial"/>
            <w:sz w:val="18"/>
            <w:szCs w:val="18"/>
            <w:color w:val="000000"/>
          </w:rPr>
          <w:t>**</w:t>
        </w:r>
      </w:hyperlink>
    </w:p>
    <w:p>
      <w:pPr>
        <w:spacing w:after="0" w:line="94" w:lineRule="exact"/>
        <w:rPr>
          <w:rFonts w:ascii="Arial" w:cs="Arial" w:eastAsia="Arial" w:hAnsi="Arial"/>
          <w:sz w:val="18"/>
          <w:szCs w:val="18"/>
          <w:u w:val="single" w:color="auto"/>
          <w:color w:val="0000EE"/>
        </w:rPr>
      </w:pPr>
    </w:p>
    <w:p>
      <w:pPr>
        <w:jc w:val="both"/>
        <w:ind w:left="920" w:right="160" w:hanging="817"/>
        <w:spacing w:after="0" w:line="261" w:lineRule="auto"/>
        <w:tabs>
          <w:tab w:leader="none" w:pos="900" w:val="left"/>
        </w:tabs>
        <w:rPr>
          <w:rFonts w:ascii="Arial" w:cs="Arial" w:eastAsia="Arial" w:hAnsi="Arial"/>
          <w:sz w:val="17"/>
          <w:szCs w:val="17"/>
          <w:color w:val="0000EE"/>
        </w:rPr>
      </w:pPr>
      <w:r>
        <w:rPr>
          <w:rFonts w:ascii="Arial" w:cs="Arial" w:eastAsia="Arial" w:hAnsi="Arial"/>
          <w:sz w:val="18"/>
          <w:szCs w:val="18"/>
          <w:color w:val="auto"/>
        </w:rPr>
        <w:t>10.7</w:t>
      </w:r>
      <w:r>
        <w:rPr>
          <w:sz w:val="20"/>
          <w:szCs w:val="20"/>
          <w:color w:val="auto"/>
        </w:rPr>
        <w:tab/>
      </w:r>
      <w:hyperlink r:id="rId336">
        <w:r>
          <w:rPr>
            <w:rFonts w:ascii="Arial" w:cs="Arial" w:eastAsia="Arial" w:hAnsi="Arial"/>
            <w:sz w:val="17"/>
            <w:szCs w:val="17"/>
            <w:u w:val="single" w:color="auto"/>
            <w:color w:val="0000EE"/>
          </w:rPr>
          <w:t>Amended and Restated Shareholders’ Agreement Relating to Charger Top Holdco B.V. by and among Delta Charger Holdco B.V.,</w:t>
        </w:r>
      </w:hyperlink>
      <w:r>
        <w:rPr>
          <w:rFonts w:ascii="Arial" w:cs="Arial" w:eastAsia="Arial" w:hAnsi="Arial"/>
          <w:sz w:val="17"/>
          <w:szCs w:val="17"/>
          <w:u w:val="single" w:color="auto"/>
          <w:color w:val="0000EE"/>
        </w:rPr>
        <w:t xml:space="preserve"> </w:t>
      </w:r>
      <w:hyperlink r:id="rId336">
        <w:r>
          <w:rPr>
            <w:rFonts w:ascii="Arial" w:cs="Arial" w:eastAsia="Arial" w:hAnsi="Arial"/>
            <w:sz w:val="17"/>
            <w:szCs w:val="17"/>
            <w:u w:val="single" w:color="auto"/>
            <w:color w:val="0000EE"/>
          </w:rPr>
          <w:t>JDE Minority Holdings B.V., Mondelēz Coffee Holdco B.V. and Jacobs Douwe Egberts B.V., dated March 7, 2016 (incorporated by</w:t>
        </w:r>
      </w:hyperlink>
      <w:r>
        <w:rPr>
          <w:rFonts w:ascii="Arial" w:cs="Arial" w:eastAsia="Arial" w:hAnsi="Arial"/>
          <w:sz w:val="17"/>
          <w:szCs w:val="17"/>
          <w:u w:val="single" w:color="auto"/>
          <w:color w:val="0000EE"/>
        </w:rPr>
        <w:t xml:space="preserve"> </w:t>
      </w:r>
      <w:hyperlink r:id="rId336">
        <w:r>
          <w:rPr>
            <w:rFonts w:ascii="Arial" w:cs="Arial" w:eastAsia="Arial" w:hAnsi="Arial"/>
            <w:sz w:val="17"/>
            <w:szCs w:val="17"/>
            <w:u w:val="single" w:color="auto"/>
            <w:color w:val="0000EE"/>
          </w:rPr>
          <w:t>reference to Exhibit 10.1 to the Registrant’s Quarterly Report on Form 10-Q filed with the SEC on April 28, 2016).</w:t>
        </w:r>
        <w:r>
          <w:rPr>
            <w:rFonts w:ascii="Arial" w:cs="Arial" w:eastAsia="Arial" w:hAnsi="Arial"/>
            <w:sz w:val="17"/>
            <w:szCs w:val="17"/>
            <w:color w:val="000000"/>
          </w:rPr>
          <w:t>**</w:t>
        </w:r>
      </w:hyperlink>
    </w:p>
    <w:p>
      <w:pPr>
        <w:spacing w:after="0" w:line="119"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92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10.8</w:t>
      </w:r>
      <w:r>
        <w:rPr>
          <w:sz w:val="20"/>
          <w:szCs w:val="20"/>
          <w:color w:val="auto"/>
        </w:rPr>
        <w:tab/>
      </w:r>
      <w:hyperlink r:id="rId338">
        <w:r>
          <w:rPr>
            <w:rFonts w:ascii="Arial" w:cs="Arial" w:eastAsia="Arial" w:hAnsi="Arial"/>
            <w:sz w:val="18"/>
            <w:szCs w:val="18"/>
            <w:u w:val="single" w:color="auto"/>
            <w:color w:val="0000EE"/>
          </w:rPr>
          <w:t>Shareholders’ Agreement Relating to Maple Parent Holdings Corp. by and among Maple Holdings II B.V., Mondelēz International</w:t>
        </w:r>
      </w:hyperlink>
      <w:r>
        <w:rPr>
          <w:rFonts w:ascii="Arial" w:cs="Arial" w:eastAsia="Arial" w:hAnsi="Arial"/>
          <w:sz w:val="18"/>
          <w:szCs w:val="18"/>
          <w:u w:val="single" w:color="auto"/>
          <w:color w:val="0000EE"/>
        </w:rPr>
        <w:t xml:space="preserve"> </w:t>
      </w:r>
      <w:hyperlink r:id="rId338">
        <w:r>
          <w:rPr>
            <w:rFonts w:ascii="Arial" w:cs="Arial" w:eastAsia="Arial" w:hAnsi="Arial"/>
            <w:sz w:val="18"/>
            <w:szCs w:val="18"/>
            <w:u w:val="single" w:color="auto"/>
            <w:color w:val="0000EE"/>
          </w:rPr>
          <w:t>Holdings LLC and Maple Parent Holdings Corp., dated March 27, 2016 (incorporated by reference to Exhibit 10.2 to the Registrant’s</w:t>
        </w:r>
      </w:hyperlink>
      <w:r>
        <w:rPr>
          <w:rFonts w:ascii="Arial" w:cs="Arial" w:eastAsia="Arial" w:hAnsi="Arial"/>
          <w:sz w:val="18"/>
          <w:szCs w:val="18"/>
          <w:u w:val="single" w:color="auto"/>
          <w:color w:val="0000EE"/>
        </w:rPr>
        <w:t xml:space="preserve"> </w:t>
      </w:r>
      <w:hyperlink r:id="rId338">
        <w:r>
          <w:rPr>
            <w:rFonts w:ascii="Arial" w:cs="Arial" w:eastAsia="Arial" w:hAnsi="Arial"/>
            <w:sz w:val="18"/>
            <w:szCs w:val="18"/>
            <w:u w:val="single" w:color="auto"/>
            <w:color w:val="0000EE"/>
          </w:rPr>
          <w:t>Quarterly Report on Form 10-Q filed with the SEC on April 28, 2016).</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right="320" w:hanging="817"/>
        <w:spacing w:after="0" w:line="246"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339">
        <w:r>
          <w:rPr>
            <w:rFonts w:ascii="Arial" w:cs="Arial" w:eastAsia="Arial" w:hAnsi="Arial"/>
            <w:sz w:val="18"/>
            <w:szCs w:val="18"/>
            <w:u w:val="single" w:color="auto"/>
            <w:color w:val="0000EE"/>
          </w:rPr>
          <w:t>Settlement Agreement, between the Registrant and Kraft Foods Group, Inc., dated June 22, 2015 (incorporated by reference to</w:t>
        </w:r>
      </w:hyperlink>
      <w:r>
        <w:rPr>
          <w:rFonts w:ascii="Arial" w:cs="Arial" w:eastAsia="Arial" w:hAnsi="Arial"/>
          <w:sz w:val="18"/>
          <w:szCs w:val="18"/>
          <w:u w:val="single" w:color="auto"/>
          <w:color w:val="0000EE"/>
        </w:rPr>
        <w:t xml:space="preserve"> </w:t>
      </w:r>
      <w:hyperlink r:id="rId339">
        <w:r>
          <w:rPr>
            <w:rFonts w:ascii="Arial" w:cs="Arial" w:eastAsia="Arial" w:hAnsi="Arial"/>
            <w:sz w:val="18"/>
            <w:szCs w:val="18"/>
            <w:u w:val="single" w:color="auto"/>
            <w:color w:val="0000EE"/>
          </w:rPr>
          <w:t>Exhibit 10.2 to the Registrant’s Quarterly Report on Form 10-Q filed with the SEC on July 31, 2015).</w:t>
        </w:r>
      </w:hyperlink>
    </w:p>
    <w:p>
      <w:pPr>
        <w:spacing w:after="0" w:line="84" w:lineRule="exact"/>
        <w:rPr>
          <w:sz w:val="20"/>
          <w:szCs w:val="20"/>
          <w:color w:val="auto"/>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340">
        <w:r>
          <w:rPr>
            <w:rFonts w:ascii="Arial" w:cs="Arial" w:eastAsia="Arial" w:hAnsi="Arial"/>
            <w:sz w:val="18"/>
            <w:szCs w:val="18"/>
            <w:u w:val="single" w:color="auto"/>
            <w:color w:val="0000EE"/>
          </w:rPr>
          <w:t>Mondelēz International, Inc. Amended and Restated 2005 Performance Incentive Plan, amended and restated as of February 3,</w:t>
        </w:r>
      </w:hyperlink>
    </w:p>
    <w:p>
      <w:pPr>
        <w:ind w:left="920"/>
        <w:spacing w:after="0" w:line="234" w:lineRule="auto"/>
        <w:rPr>
          <w:rFonts w:ascii="Arial" w:cs="Arial" w:eastAsia="Arial" w:hAnsi="Arial"/>
          <w:sz w:val="18"/>
          <w:szCs w:val="18"/>
          <w:u w:val="single" w:color="auto"/>
          <w:color w:val="0000EE"/>
        </w:rPr>
      </w:pPr>
      <w:hyperlink r:id="rId340">
        <w:r>
          <w:rPr>
            <w:rFonts w:ascii="Arial" w:cs="Arial" w:eastAsia="Arial" w:hAnsi="Arial"/>
            <w:sz w:val="18"/>
            <w:szCs w:val="18"/>
            <w:u w:val="single" w:color="auto"/>
            <w:color w:val="0000EE"/>
          </w:rPr>
          <w:t>2017 (incorporated by reference to Exhibit 10.2 to the Registrant’s Quarterly Report on Form 10-Q filed with the SEC on May 3,</w:t>
        </w:r>
      </w:hyperlink>
    </w:p>
    <w:p>
      <w:pPr>
        <w:spacing w:after="0" w:line="1" w:lineRule="exact"/>
        <w:rPr>
          <w:sz w:val="20"/>
          <w:szCs w:val="20"/>
          <w:color w:val="auto"/>
        </w:rPr>
      </w:pPr>
    </w:p>
    <w:p>
      <w:pPr>
        <w:ind w:left="920"/>
        <w:spacing w:after="0"/>
        <w:rPr>
          <w:rFonts w:ascii="Arial" w:cs="Arial" w:eastAsia="Arial" w:hAnsi="Arial"/>
          <w:sz w:val="18"/>
          <w:szCs w:val="18"/>
          <w:color w:val="0000EE"/>
        </w:rPr>
      </w:pPr>
      <w:hyperlink r:id="rId340">
        <w:r>
          <w:rPr>
            <w:rFonts w:ascii="Arial" w:cs="Arial" w:eastAsia="Arial" w:hAnsi="Arial"/>
            <w:sz w:val="18"/>
            <w:szCs w:val="18"/>
            <w:u w:val="single" w:color="auto"/>
            <w:color w:val="0000EE"/>
          </w:rPr>
          <w:t>2017).</w:t>
        </w:r>
        <w:r>
          <w:rPr>
            <w:rFonts w:ascii="Arial" w:cs="Arial" w:eastAsia="Arial" w:hAnsi="Arial"/>
            <w:sz w:val="18"/>
            <w:szCs w:val="18"/>
            <w:color w:val="000000"/>
          </w:rPr>
          <w:t>+</w:t>
        </w:r>
      </w:hyperlink>
    </w:p>
    <w:p>
      <w:pPr>
        <w:spacing w:after="0" w:line="104" w:lineRule="exact"/>
        <w:rPr>
          <w:sz w:val="20"/>
          <w:szCs w:val="20"/>
          <w:color w:val="auto"/>
        </w:rPr>
      </w:pPr>
    </w:p>
    <w:p>
      <w:pPr>
        <w:ind w:left="920" w:right="10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10.11</w:t>
      </w:r>
      <w:r>
        <w:rPr>
          <w:sz w:val="20"/>
          <w:szCs w:val="20"/>
          <w:color w:val="auto"/>
        </w:rPr>
        <w:tab/>
      </w:r>
      <w:hyperlink r:id="rId341">
        <w:r>
          <w:rPr>
            <w:rFonts w:ascii="Arial" w:cs="Arial" w:eastAsia="Arial" w:hAnsi="Arial"/>
            <w:sz w:val="18"/>
            <w:szCs w:val="18"/>
            <w:u w:val="single" w:color="auto"/>
            <w:color w:val="0000EE"/>
          </w:rPr>
          <w:t>Form of Mondelēz International, Inc. Amended and Restated 2005 Performance Incentive Plan Non-Qualified Global Stock Option</w:t>
        </w:r>
      </w:hyperlink>
      <w:r>
        <w:rPr>
          <w:rFonts w:ascii="Arial" w:cs="Arial" w:eastAsia="Arial" w:hAnsi="Arial"/>
          <w:sz w:val="18"/>
          <w:szCs w:val="18"/>
          <w:u w:val="single" w:color="auto"/>
          <w:color w:val="0000EE"/>
        </w:rPr>
        <w:t xml:space="preserve"> </w:t>
      </w:r>
      <w:hyperlink r:id="rId341">
        <w:r>
          <w:rPr>
            <w:rFonts w:ascii="Arial" w:cs="Arial" w:eastAsia="Arial" w:hAnsi="Arial"/>
            <w:sz w:val="18"/>
            <w:szCs w:val="18"/>
            <w:u w:val="single" w:color="auto"/>
            <w:color w:val="0000EE"/>
          </w:rPr>
          <w:t>Agreement (incorporated by reference to Exhibit 10.3 to the Registrant’s Quarterly Report on Form 10-Q filed with the SEC on</w:t>
        </w:r>
      </w:hyperlink>
      <w:r>
        <w:rPr>
          <w:rFonts w:ascii="Arial" w:cs="Arial" w:eastAsia="Arial" w:hAnsi="Arial"/>
          <w:sz w:val="18"/>
          <w:szCs w:val="18"/>
          <w:u w:val="single" w:color="auto"/>
          <w:color w:val="0000EE"/>
        </w:rPr>
        <w:t xml:space="preserve"> </w:t>
      </w:r>
      <w:hyperlink r:id="rId341">
        <w:r>
          <w:rPr>
            <w:rFonts w:ascii="Arial" w:cs="Arial" w:eastAsia="Arial" w:hAnsi="Arial"/>
            <w:sz w:val="18"/>
            <w:szCs w:val="18"/>
            <w:u w:val="single" w:color="auto"/>
            <w:color w:val="0000EE"/>
          </w:rPr>
          <w:t>May 3, 2017).</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right="16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10.12</w:t>
      </w:r>
      <w:r>
        <w:rPr>
          <w:sz w:val="20"/>
          <w:szCs w:val="20"/>
          <w:color w:val="auto"/>
        </w:rPr>
        <w:tab/>
      </w:r>
      <w:hyperlink r:id="rId342">
        <w:r>
          <w:rPr>
            <w:rFonts w:ascii="Arial" w:cs="Arial" w:eastAsia="Arial" w:hAnsi="Arial"/>
            <w:sz w:val="18"/>
            <w:szCs w:val="18"/>
            <w:u w:val="single" w:color="auto"/>
            <w:color w:val="0000EE"/>
          </w:rPr>
          <w:t>Form of Mondelēz International, Inc. Amended and Restated 2005 Performance Incentive Plan Global Long-Term Incentive Grant</w:t>
        </w:r>
      </w:hyperlink>
      <w:r>
        <w:rPr>
          <w:rFonts w:ascii="Arial" w:cs="Arial" w:eastAsia="Arial" w:hAnsi="Arial"/>
          <w:sz w:val="18"/>
          <w:szCs w:val="18"/>
          <w:u w:val="single" w:color="auto"/>
          <w:color w:val="0000EE"/>
        </w:rPr>
        <w:t xml:space="preserve"> </w:t>
      </w:r>
      <w:hyperlink r:id="rId342">
        <w:r>
          <w:rPr>
            <w:rFonts w:ascii="Arial" w:cs="Arial" w:eastAsia="Arial" w:hAnsi="Arial"/>
            <w:sz w:val="18"/>
            <w:szCs w:val="18"/>
            <w:u w:val="single" w:color="auto"/>
            <w:color w:val="0000EE"/>
          </w:rPr>
          <w:t>Agreement (incorporated by reference to Exhibit 10.4 to the Registrant’s Quarterly Report on Form 10-Q filed with the SEC on</w:t>
        </w:r>
      </w:hyperlink>
      <w:r>
        <w:rPr>
          <w:rFonts w:ascii="Arial" w:cs="Arial" w:eastAsia="Arial" w:hAnsi="Arial"/>
          <w:sz w:val="18"/>
          <w:szCs w:val="18"/>
          <w:u w:val="single" w:color="auto"/>
          <w:color w:val="0000EE"/>
        </w:rPr>
        <w:t xml:space="preserve"> </w:t>
      </w:r>
      <w:hyperlink r:id="rId342">
        <w:r>
          <w:rPr>
            <w:rFonts w:ascii="Arial" w:cs="Arial" w:eastAsia="Arial" w:hAnsi="Arial"/>
            <w:sz w:val="18"/>
            <w:szCs w:val="18"/>
            <w:u w:val="single" w:color="auto"/>
            <w:color w:val="0000EE"/>
          </w:rPr>
          <w:t>May 3, 2017).</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right="76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10.13</w:t>
      </w:r>
      <w:r>
        <w:rPr>
          <w:sz w:val="20"/>
          <w:szCs w:val="20"/>
          <w:color w:val="auto"/>
        </w:rPr>
        <w:tab/>
      </w:r>
      <w:hyperlink w:anchor="page131">
        <w:r>
          <w:rPr>
            <w:rFonts w:ascii="Arial" w:cs="Arial" w:eastAsia="Arial" w:hAnsi="Arial"/>
            <w:sz w:val="18"/>
            <w:szCs w:val="18"/>
            <w:u w:val="single" w:color="auto"/>
            <w:color w:val="0000EE"/>
          </w:rPr>
          <w:t>Form of Mondelēz International, Inc. Amended and Restated 2005 Performance Incentive Plan Global Deferred Stock Unit</w:t>
        </w:r>
      </w:hyperlink>
      <w:r>
        <w:rPr>
          <w:rFonts w:ascii="Arial" w:cs="Arial" w:eastAsia="Arial" w:hAnsi="Arial"/>
          <w:sz w:val="18"/>
          <w:szCs w:val="18"/>
          <w:u w:val="single" w:color="auto"/>
          <w:color w:val="0000EE"/>
        </w:rPr>
        <w:t xml:space="preserve"> </w:t>
      </w:r>
      <w:hyperlink w:anchor="page131">
        <w:r>
          <w:rPr>
            <w:rFonts w:ascii="Arial" w:cs="Arial" w:eastAsia="Arial" w:hAnsi="Arial"/>
            <w:sz w:val="18"/>
            <w:szCs w:val="18"/>
            <w:u w:val="single" w:color="auto"/>
            <w:color w:val="0000EE"/>
          </w:rPr>
          <w:t>Agreement.</w:t>
        </w:r>
        <w:r>
          <w:rPr>
            <w:rFonts w:ascii="Arial" w:cs="Arial" w:eastAsia="Arial" w:hAnsi="Arial"/>
            <w:sz w:val="18"/>
            <w:szCs w:val="18"/>
            <w:color w:val="000000"/>
          </w:rPr>
          <w:t>+</w:t>
        </w:r>
      </w:hyperlink>
    </w:p>
    <w:p>
      <w:pPr>
        <w:spacing w:after="0" w:line="89" w:lineRule="exact"/>
        <w:rPr>
          <w:sz w:val="20"/>
          <w:szCs w:val="20"/>
          <w:color w:val="auto"/>
        </w:rPr>
      </w:pPr>
    </w:p>
    <w:p>
      <w:pPr>
        <w:ind w:left="920" w:right="6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10.14</w:t>
      </w:r>
      <w:r>
        <w:rPr>
          <w:sz w:val="20"/>
          <w:szCs w:val="20"/>
          <w:color w:val="auto"/>
        </w:rPr>
        <w:tab/>
      </w:r>
      <w:hyperlink r:id="rId343">
        <w:r>
          <w:rPr>
            <w:rFonts w:ascii="Arial" w:cs="Arial" w:eastAsia="Arial" w:hAnsi="Arial"/>
            <w:sz w:val="18"/>
            <w:szCs w:val="18"/>
            <w:u w:val="single" w:color="auto"/>
            <w:color w:val="0000EE"/>
          </w:rPr>
          <w:t>Mondelēz International, Inc. Long-Term Incentive Plan, restated as of October 2, 2012 (incorporated by reference to Exhibit 10.9 to</w:t>
        </w:r>
      </w:hyperlink>
      <w:r>
        <w:rPr>
          <w:rFonts w:ascii="Arial" w:cs="Arial" w:eastAsia="Arial" w:hAnsi="Arial"/>
          <w:sz w:val="18"/>
          <w:szCs w:val="18"/>
          <w:u w:val="single" w:color="auto"/>
          <w:color w:val="0000EE"/>
        </w:rPr>
        <w:t xml:space="preserve"> </w:t>
      </w:r>
      <w:hyperlink r:id="rId343">
        <w:r>
          <w:rPr>
            <w:rFonts w:ascii="Arial" w:cs="Arial" w:eastAsia="Arial" w:hAnsi="Arial"/>
            <w:sz w:val="18"/>
            <w:szCs w:val="18"/>
            <w:u w:val="single" w:color="auto"/>
            <w:color w:val="0000EE"/>
          </w:rPr>
          <w:t>the Registrant’s Annual Report on Form 10-K filed with the SEC on February 25, 2013).</w:t>
        </w:r>
        <w:r>
          <w:rPr>
            <w:rFonts w:ascii="Arial" w:cs="Arial" w:eastAsia="Arial" w:hAnsi="Arial"/>
            <w:sz w:val="18"/>
            <w:szCs w:val="18"/>
            <w:color w:val="000000"/>
          </w:rPr>
          <w:t>+</w:t>
        </w:r>
      </w:hyperlink>
    </w:p>
    <w:p>
      <w:pPr>
        <w:spacing w:after="0" w:line="89" w:lineRule="exact"/>
        <w:rPr>
          <w:sz w:val="20"/>
          <w:szCs w:val="20"/>
          <w:color w:val="auto"/>
        </w:rPr>
      </w:pPr>
    </w:p>
    <w:p>
      <w:pPr>
        <w:ind w:left="920" w:right="12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10.15</w:t>
      </w:r>
      <w:r>
        <w:rPr>
          <w:sz w:val="20"/>
          <w:szCs w:val="20"/>
          <w:color w:val="auto"/>
        </w:rPr>
        <w:tab/>
      </w:r>
      <w:hyperlink r:id="rId344">
        <w:r>
          <w:rPr>
            <w:rFonts w:ascii="Arial" w:cs="Arial" w:eastAsia="Arial" w:hAnsi="Arial"/>
            <w:sz w:val="18"/>
            <w:szCs w:val="18"/>
            <w:u w:val="single" w:color="auto"/>
            <w:color w:val="0000EE"/>
          </w:rPr>
          <w:t>Mondelēz Global LLC Supplemental Benefits Plan I, effective as of September 1, 2012 (incorporated by reference to Exhibit 10.10</w:t>
        </w:r>
      </w:hyperlink>
      <w:r>
        <w:rPr>
          <w:rFonts w:ascii="Arial" w:cs="Arial" w:eastAsia="Arial" w:hAnsi="Arial"/>
          <w:sz w:val="18"/>
          <w:szCs w:val="18"/>
          <w:u w:val="single" w:color="auto"/>
          <w:color w:val="0000EE"/>
        </w:rPr>
        <w:t xml:space="preserve"> </w:t>
      </w:r>
      <w:hyperlink r:id="rId344">
        <w:r>
          <w:rPr>
            <w:rFonts w:ascii="Arial" w:cs="Arial" w:eastAsia="Arial" w:hAnsi="Arial"/>
            <w:sz w:val="18"/>
            <w:szCs w:val="18"/>
            <w:u w:val="single" w:color="auto"/>
            <w:color w:val="0000EE"/>
          </w:rPr>
          <w:t>to the Registrant’s Annual Report on Form 10-K filed with the SEC on February 25, 2013).</w:t>
        </w:r>
        <w:r>
          <w:rPr>
            <w:rFonts w:ascii="Arial" w:cs="Arial" w:eastAsia="Arial" w:hAnsi="Arial"/>
            <w:sz w:val="18"/>
            <w:szCs w:val="18"/>
            <w:color w:val="000000"/>
          </w:rPr>
          <w:t>+</w:t>
        </w:r>
      </w:hyperlink>
    </w:p>
    <w:p>
      <w:pPr>
        <w:spacing w:after="0" w:line="89" w:lineRule="exact"/>
        <w:rPr>
          <w:sz w:val="20"/>
          <w:szCs w:val="20"/>
          <w:color w:val="auto"/>
        </w:rPr>
      </w:pPr>
    </w:p>
    <w:p>
      <w:pPr>
        <w:ind w:left="920" w:right="6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10.16</w:t>
      </w:r>
      <w:r>
        <w:rPr>
          <w:sz w:val="20"/>
          <w:szCs w:val="20"/>
          <w:color w:val="auto"/>
        </w:rPr>
        <w:tab/>
      </w:r>
      <w:hyperlink r:id="rId345">
        <w:r>
          <w:rPr>
            <w:rFonts w:ascii="Arial" w:cs="Arial" w:eastAsia="Arial" w:hAnsi="Arial"/>
            <w:sz w:val="18"/>
            <w:szCs w:val="18"/>
            <w:u w:val="single" w:color="auto"/>
            <w:color w:val="0000EE"/>
          </w:rPr>
          <w:t>Mondelēz Global LLC Supplemental Benefits Plan II, effective as of September 1, 2012 (incorporated by reference to Exhibit 10.11</w:t>
        </w:r>
      </w:hyperlink>
      <w:r>
        <w:rPr>
          <w:rFonts w:ascii="Arial" w:cs="Arial" w:eastAsia="Arial" w:hAnsi="Arial"/>
          <w:sz w:val="18"/>
          <w:szCs w:val="18"/>
          <w:u w:val="single" w:color="auto"/>
          <w:color w:val="0000EE"/>
        </w:rPr>
        <w:t xml:space="preserve"> </w:t>
      </w:r>
      <w:hyperlink r:id="rId345">
        <w:r>
          <w:rPr>
            <w:rFonts w:ascii="Arial" w:cs="Arial" w:eastAsia="Arial" w:hAnsi="Arial"/>
            <w:sz w:val="18"/>
            <w:szCs w:val="18"/>
            <w:u w:val="single" w:color="auto"/>
            <w:color w:val="0000EE"/>
          </w:rPr>
          <w:t>to the Registrant’s Annual Report on Form 10-K filed with the SEC on February 25, 2013).</w:t>
        </w:r>
        <w:r>
          <w:rPr>
            <w:rFonts w:ascii="Arial" w:cs="Arial" w:eastAsia="Arial" w:hAnsi="Arial"/>
            <w:sz w:val="18"/>
            <w:szCs w:val="18"/>
            <w:color w:val="000000"/>
          </w:rPr>
          <w:t>+</w:t>
        </w:r>
      </w:hyperlink>
    </w:p>
    <w:p>
      <w:pPr>
        <w:spacing w:after="0" w:line="89" w:lineRule="exact"/>
        <w:rPr>
          <w:sz w:val="20"/>
          <w:szCs w:val="20"/>
          <w:color w:val="auto"/>
        </w:rPr>
      </w:pPr>
    </w:p>
    <w:p>
      <w:pPr>
        <w:ind w:left="920" w:right="18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10.17</w:t>
      </w:r>
      <w:r>
        <w:rPr>
          <w:sz w:val="20"/>
          <w:szCs w:val="20"/>
          <w:color w:val="auto"/>
        </w:rPr>
        <w:tab/>
      </w:r>
      <w:hyperlink r:id="rId346">
        <w:r>
          <w:rPr>
            <w:rFonts w:ascii="Arial" w:cs="Arial" w:eastAsia="Arial" w:hAnsi="Arial"/>
            <w:sz w:val="18"/>
            <w:szCs w:val="18"/>
            <w:u w:val="single" w:color="auto"/>
            <w:color w:val="0000EE"/>
          </w:rPr>
          <w:t>Form of Mondelēz Global LLC Amended and Restated Cash Enrollment Agreement (incorporated by reference to Exhibit 10.12 to</w:t>
        </w:r>
      </w:hyperlink>
      <w:r>
        <w:rPr>
          <w:rFonts w:ascii="Arial" w:cs="Arial" w:eastAsia="Arial" w:hAnsi="Arial"/>
          <w:sz w:val="18"/>
          <w:szCs w:val="18"/>
          <w:u w:val="single" w:color="auto"/>
          <w:color w:val="0000EE"/>
        </w:rPr>
        <w:t xml:space="preserve"> </w:t>
      </w:r>
      <w:hyperlink r:id="rId346">
        <w:r>
          <w:rPr>
            <w:rFonts w:ascii="Arial" w:cs="Arial" w:eastAsia="Arial" w:hAnsi="Arial"/>
            <w:sz w:val="18"/>
            <w:szCs w:val="18"/>
            <w:u w:val="single" w:color="auto"/>
            <w:color w:val="0000EE"/>
          </w:rPr>
          <w:t>the Registrant’s Annual Report on Form 10-K filed with the SEC on February 25, 2013).</w:t>
        </w:r>
        <w:r>
          <w:rPr>
            <w:rFonts w:ascii="Arial" w:cs="Arial" w:eastAsia="Arial" w:hAnsi="Arial"/>
            <w:sz w:val="18"/>
            <w:szCs w:val="18"/>
            <w:color w:val="000000"/>
          </w:rPr>
          <w:t>+</w:t>
        </w:r>
      </w:hyperlink>
    </w:p>
    <w:p>
      <w:pPr>
        <w:spacing w:after="0" w:line="89" w:lineRule="exact"/>
        <w:rPr>
          <w:sz w:val="20"/>
          <w:szCs w:val="20"/>
          <w:color w:val="auto"/>
        </w:rPr>
      </w:pPr>
    </w:p>
    <w:p>
      <w:pPr>
        <w:ind w:left="920" w:right="18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10.18</w:t>
      </w:r>
      <w:r>
        <w:rPr>
          <w:sz w:val="20"/>
          <w:szCs w:val="20"/>
          <w:color w:val="auto"/>
        </w:rPr>
        <w:tab/>
      </w:r>
      <w:hyperlink r:id="rId347">
        <w:r>
          <w:rPr>
            <w:rFonts w:ascii="Arial" w:cs="Arial" w:eastAsia="Arial" w:hAnsi="Arial"/>
            <w:sz w:val="18"/>
            <w:szCs w:val="18"/>
            <w:u w:val="single" w:color="auto"/>
            <w:color w:val="0000EE"/>
          </w:rPr>
          <w:t>Form of Mondelēz Global LLC Amended and Restated Employee Grantor Trust Enrollment Agreement (incorporated by reference</w:t>
        </w:r>
      </w:hyperlink>
      <w:r>
        <w:rPr>
          <w:rFonts w:ascii="Arial" w:cs="Arial" w:eastAsia="Arial" w:hAnsi="Arial"/>
          <w:sz w:val="18"/>
          <w:szCs w:val="18"/>
          <w:u w:val="single" w:color="auto"/>
          <w:color w:val="0000EE"/>
        </w:rPr>
        <w:t xml:space="preserve"> </w:t>
      </w:r>
      <w:hyperlink r:id="rId347">
        <w:r>
          <w:rPr>
            <w:rFonts w:ascii="Arial" w:cs="Arial" w:eastAsia="Arial" w:hAnsi="Arial"/>
            <w:sz w:val="18"/>
            <w:szCs w:val="18"/>
            <w:u w:val="single" w:color="auto"/>
            <w:color w:val="0000EE"/>
          </w:rPr>
          <w:t>to Exhibit 10.13 to the Registrant’s Annual Report on Form 10-K filed with the SEC on February 25, 2013).</w:t>
        </w:r>
        <w:r>
          <w:rPr>
            <w:rFonts w:ascii="Arial" w:cs="Arial" w:eastAsia="Arial" w:hAnsi="Arial"/>
            <w:sz w:val="18"/>
            <w:szCs w:val="18"/>
            <w:color w:val="000000"/>
          </w:rPr>
          <w:t>+</w:t>
        </w:r>
      </w:hyperlink>
    </w:p>
    <w:p>
      <w:pPr>
        <w:spacing w:after="0" w:line="89" w:lineRule="exact"/>
        <w:rPr>
          <w:sz w:val="20"/>
          <w:szCs w:val="20"/>
          <w:color w:val="auto"/>
        </w:rPr>
      </w:pPr>
    </w:p>
    <w:p>
      <w:pPr>
        <w:jc w:val="both"/>
        <w:ind w:left="920" w:right="24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10.19</w:t>
      </w:r>
      <w:r>
        <w:rPr>
          <w:sz w:val="20"/>
          <w:szCs w:val="20"/>
          <w:color w:val="auto"/>
        </w:rPr>
        <w:tab/>
      </w:r>
      <w:hyperlink r:id="rId348">
        <w:r>
          <w:rPr>
            <w:rFonts w:ascii="Arial" w:cs="Arial" w:eastAsia="Arial" w:hAnsi="Arial"/>
            <w:sz w:val="18"/>
            <w:szCs w:val="18"/>
            <w:u w:val="single" w:color="auto"/>
            <w:color w:val="0000EE"/>
          </w:rPr>
          <w:t>Mondelēz International, Inc. Amended and Restated 2006 Stock Compensation Plan for Non-Employee Directors, amended and</w:t>
        </w:r>
      </w:hyperlink>
      <w:r>
        <w:rPr>
          <w:rFonts w:ascii="Arial" w:cs="Arial" w:eastAsia="Arial" w:hAnsi="Arial"/>
          <w:sz w:val="18"/>
          <w:szCs w:val="18"/>
          <w:u w:val="single" w:color="auto"/>
          <w:color w:val="0000EE"/>
        </w:rPr>
        <w:t xml:space="preserve"> </w:t>
      </w:r>
      <w:hyperlink r:id="rId348">
        <w:r>
          <w:rPr>
            <w:rFonts w:ascii="Arial" w:cs="Arial" w:eastAsia="Arial" w:hAnsi="Arial"/>
            <w:sz w:val="18"/>
            <w:szCs w:val="18"/>
            <w:u w:val="single" w:color="auto"/>
            <w:color w:val="0000EE"/>
          </w:rPr>
          <w:t>restated as of October 1, 2012 (incorporated by reference to Exhibit 10.14 to the Registrant’s Annual Report on Form 10-K filed</w:t>
        </w:r>
      </w:hyperlink>
      <w:r>
        <w:rPr>
          <w:rFonts w:ascii="Arial" w:cs="Arial" w:eastAsia="Arial" w:hAnsi="Arial"/>
          <w:sz w:val="18"/>
          <w:szCs w:val="18"/>
          <w:u w:val="single" w:color="auto"/>
          <w:color w:val="0000EE"/>
        </w:rPr>
        <w:t xml:space="preserve"> </w:t>
      </w:r>
      <w:hyperlink r:id="rId348">
        <w:r>
          <w:rPr>
            <w:rFonts w:ascii="Arial" w:cs="Arial" w:eastAsia="Arial" w:hAnsi="Arial"/>
            <w:sz w:val="18"/>
            <w:szCs w:val="18"/>
            <w:u w:val="single" w:color="auto"/>
            <w:color w:val="0000EE"/>
          </w:rPr>
          <w:t>with the SEC on February 25, 2013).</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right="34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10.20</w:t>
      </w:r>
      <w:r>
        <w:rPr>
          <w:sz w:val="20"/>
          <w:szCs w:val="20"/>
          <w:color w:val="auto"/>
        </w:rPr>
        <w:tab/>
      </w:r>
      <w:hyperlink r:id="rId349">
        <w:r>
          <w:rPr>
            <w:rFonts w:ascii="Arial" w:cs="Arial" w:eastAsia="Arial" w:hAnsi="Arial"/>
            <w:sz w:val="18"/>
            <w:szCs w:val="18"/>
            <w:u w:val="single" w:color="auto"/>
            <w:color w:val="0000EE"/>
          </w:rPr>
          <w:t>Mondelēz International, Inc. 2001 Compensation Plan for Non-Employee Directors, amended as of December 31, 2008 and</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restated as of January 1, 2013 (incorporated by reference to Exhibit 10.15 to the Registrant’s Annual Report on Form 10-K filed</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with the SEC on February 25, 2013).</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right="14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10.21</w:t>
      </w:r>
      <w:r>
        <w:rPr>
          <w:sz w:val="20"/>
          <w:szCs w:val="20"/>
          <w:color w:val="auto"/>
        </w:rPr>
        <w:tab/>
      </w:r>
      <w:hyperlink r:id="rId350">
        <w:r>
          <w:rPr>
            <w:rFonts w:ascii="Arial" w:cs="Arial" w:eastAsia="Arial" w:hAnsi="Arial"/>
            <w:sz w:val="18"/>
            <w:szCs w:val="18"/>
            <w:u w:val="single" w:color="auto"/>
            <w:color w:val="0000EE"/>
          </w:rPr>
          <w:t>Mondelēz International, Inc. Change in Control Plan for Key Executives, amended February 2, 2017 (incorporated by reference to</w:t>
        </w:r>
      </w:hyperlink>
      <w:r>
        <w:rPr>
          <w:rFonts w:ascii="Arial" w:cs="Arial" w:eastAsia="Arial" w:hAnsi="Arial"/>
          <w:sz w:val="18"/>
          <w:szCs w:val="18"/>
          <w:u w:val="single" w:color="auto"/>
          <w:color w:val="0000EE"/>
        </w:rPr>
        <w:t xml:space="preserve"> </w:t>
      </w:r>
      <w:hyperlink r:id="rId350">
        <w:r>
          <w:rPr>
            <w:rFonts w:ascii="Arial" w:cs="Arial" w:eastAsia="Arial" w:hAnsi="Arial"/>
            <w:sz w:val="18"/>
            <w:szCs w:val="18"/>
            <w:u w:val="single" w:color="auto"/>
            <w:color w:val="0000EE"/>
          </w:rPr>
          <w:t>Exhibit 10.5 to the Registrant’s Quarterly Report on Form 10-Q filed with the SEC on May 3, 2017).</w:t>
        </w:r>
        <w:r>
          <w:rPr>
            <w:rFonts w:ascii="Arial" w:cs="Arial" w:eastAsia="Arial" w:hAnsi="Arial"/>
            <w:sz w:val="18"/>
            <w:szCs w:val="18"/>
            <w:color w:val="000000"/>
          </w:rPr>
          <w:t>+</w:t>
        </w:r>
      </w:hyperlink>
    </w:p>
    <w:p>
      <w:pPr>
        <w:spacing w:after="0" w:line="84" w:lineRule="exact"/>
        <w:rPr>
          <w:sz w:val="20"/>
          <w:szCs w:val="20"/>
          <w:color w:val="auto"/>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351">
        <w:r>
          <w:rPr>
            <w:rFonts w:ascii="Arial" w:cs="Arial" w:eastAsia="Arial" w:hAnsi="Arial"/>
            <w:sz w:val="18"/>
            <w:szCs w:val="18"/>
            <w:u w:val="single" w:color="auto"/>
            <w:color w:val="0000EE"/>
          </w:rPr>
          <w:t>Mondelēz Global LLC Executive Deferred Compensation Plan, effective as of October 1, 2012 (incorporated by reference to Exhibit</w:t>
        </w:r>
      </w:hyperlink>
    </w:p>
    <w:p>
      <w:pPr>
        <w:ind w:left="920"/>
        <w:spacing w:after="0"/>
        <w:rPr>
          <w:rFonts w:ascii="Arial" w:cs="Arial" w:eastAsia="Arial" w:hAnsi="Arial"/>
          <w:sz w:val="18"/>
          <w:szCs w:val="18"/>
          <w:color w:val="0000EE"/>
        </w:rPr>
      </w:pPr>
      <w:hyperlink r:id="rId351">
        <w:r>
          <w:rPr>
            <w:rFonts w:ascii="Arial" w:cs="Arial" w:eastAsia="Arial" w:hAnsi="Arial"/>
            <w:sz w:val="18"/>
            <w:szCs w:val="18"/>
            <w:u w:val="single" w:color="auto"/>
            <w:color w:val="0000EE"/>
          </w:rPr>
          <w:t>10.17 to the Registrant’s Annual Report on Form 10-K filed with the SEC on February 25, 2013).</w:t>
        </w:r>
        <w:r>
          <w:rPr>
            <w:rFonts w:ascii="Arial" w:cs="Arial" w:eastAsia="Arial" w:hAnsi="Arial"/>
            <w:sz w:val="18"/>
            <w:szCs w:val="18"/>
            <w:color w:val="000000"/>
          </w:rPr>
          <w:t>+</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920" w:right="16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10.23</w:t>
      </w:r>
      <w:r>
        <w:rPr>
          <w:sz w:val="20"/>
          <w:szCs w:val="20"/>
          <w:color w:val="auto"/>
        </w:rPr>
        <w:tab/>
      </w:r>
      <w:hyperlink r:id="rId353">
        <w:r>
          <w:rPr>
            <w:rFonts w:ascii="Arial" w:cs="Arial" w:eastAsia="Arial" w:hAnsi="Arial"/>
            <w:sz w:val="18"/>
            <w:szCs w:val="18"/>
            <w:u w:val="single" w:color="auto"/>
            <w:color w:val="0000EE"/>
          </w:rPr>
          <w:t>Mondelēz Global LLC Executive Deferred Compensation Plan Adoption Agreement, effective as of October 1, 2012 (incorporated</w:t>
        </w:r>
      </w:hyperlink>
      <w:r>
        <w:rPr>
          <w:rFonts w:ascii="Arial" w:cs="Arial" w:eastAsia="Arial" w:hAnsi="Arial"/>
          <w:sz w:val="18"/>
          <w:szCs w:val="18"/>
          <w:u w:val="single" w:color="auto"/>
          <w:color w:val="0000EE"/>
        </w:rPr>
        <w:t xml:space="preserve"> </w:t>
      </w:r>
      <w:hyperlink r:id="rId353">
        <w:r>
          <w:rPr>
            <w:rFonts w:ascii="Arial" w:cs="Arial" w:eastAsia="Arial" w:hAnsi="Arial"/>
            <w:sz w:val="18"/>
            <w:szCs w:val="18"/>
            <w:u w:val="single" w:color="auto"/>
            <w:color w:val="0000EE"/>
          </w:rPr>
          <w:t>by reference to Exhibit 10.18 to the Registrant’s Annual Report on Form 10-K filed with the SEC on February 25, 2013).</w:t>
        </w:r>
        <w:r>
          <w:rPr>
            <w:rFonts w:ascii="Arial" w:cs="Arial" w:eastAsia="Arial" w:hAnsi="Arial"/>
            <w:sz w:val="18"/>
            <w:szCs w:val="18"/>
            <w:color w:val="000000"/>
          </w:rPr>
          <w:t>+</w:t>
        </w:r>
      </w:hyperlink>
    </w:p>
    <w:p>
      <w:pPr>
        <w:spacing w:after="0" w:line="89" w:lineRule="exact"/>
        <w:rPr>
          <w:sz w:val="20"/>
          <w:szCs w:val="20"/>
          <w:color w:val="auto"/>
        </w:rPr>
      </w:pPr>
    </w:p>
    <w:p>
      <w:pPr>
        <w:ind w:left="920" w:right="42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10.24</w:t>
      </w:r>
      <w:r>
        <w:rPr>
          <w:sz w:val="20"/>
          <w:szCs w:val="20"/>
          <w:color w:val="auto"/>
        </w:rPr>
        <w:tab/>
      </w:r>
      <w:hyperlink r:id="rId354">
        <w:r>
          <w:rPr>
            <w:rFonts w:ascii="Arial" w:cs="Arial" w:eastAsia="Arial" w:hAnsi="Arial"/>
            <w:sz w:val="18"/>
            <w:szCs w:val="18"/>
            <w:u w:val="single" w:color="auto"/>
            <w:color w:val="0000EE"/>
          </w:rPr>
          <w:t>Deferred Compensation Plan Trust Document, by and between Mondelēz Global LLC and Wilmington Trust Retirement and</w:t>
        </w:r>
      </w:hyperlink>
      <w:r>
        <w:rPr>
          <w:rFonts w:ascii="Arial" w:cs="Arial" w:eastAsia="Arial" w:hAnsi="Arial"/>
          <w:sz w:val="18"/>
          <w:szCs w:val="18"/>
          <w:u w:val="single" w:color="auto"/>
          <w:color w:val="0000EE"/>
        </w:rPr>
        <w:t xml:space="preserve"> </w:t>
      </w:r>
      <w:hyperlink r:id="rId354">
        <w:r>
          <w:rPr>
            <w:rFonts w:ascii="Arial" w:cs="Arial" w:eastAsia="Arial" w:hAnsi="Arial"/>
            <w:sz w:val="18"/>
            <w:szCs w:val="18"/>
            <w:u w:val="single" w:color="auto"/>
            <w:color w:val="0000EE"/>
          </w:rPr>
          <w:t>Institutional Services Company, dated as of September 18, 2012 (incorporated by reference to Exhibit 10.19 to the Registrant’s</w:t>
        </w:r>
      </w:hyperlink>
      <w:r>
        <w:rPr>
          <w:rFonts w:ascii="Arial" w:cs="Arial" w:eastAsia="Arial" w:hAnsi="Arial"/>
          <w:sz w:val="18"/>
          <w:szCs w:val="18"/>
          <w:u w:val="single" w:color="auto"/>
          <w:color w:val="0000EE"/>
        </w:rPr>
        <w:t xml:space="preserve"> </w:t>
      </w:r>
      <w:hyperlink r:id="rId354">
        <w:r>
          <w:rPr>
            <w:rFonts w:ascii="Arial" w:cs="Arial" w:eastAsia="Arial" w:hAnsi="Arial"/>
            <w:sz w:val="18"/>
            <w:szCs w:val="18"/>
            <w:u w:val="single" w:color="auto"/>
            <w:color w:val="0000EE"/>
          </w:rPr>
          <w:t>Annual Report on Form 10-K filed with the SEC on February 25, 2013).</w:t>
        </w:r>
        <w:r>
          <w:rPr>
            <w:rFonts w:ascii="Arial" w:cs="Arial" w:eastAsia="Arial" w:hAnsi="Arial"/>
            <w:sz w:val="18"/>
            <w:szCs w:val="18"/>
            <w:color w:val="000000"/>
          </w:rPr>
          <w:t>+</w:t>
        </w:r>
      </w:hyperlink>
    </w:p>
    <w:p>
      <w:pPr>
        <w:spacing w:after="0" w:line="90" w:lineRule="exact"/>
        <w:rPr>
          <w:rFonts w:ascii="Arial" w:cs="Arial" w:eastAsia="Arial" w:hAnsi="Arial"/>
          <w:sz w:val="18"/>
          <w:szCs w:val="18"/>
          <w:u w:val="single" w:color="auto"/>
          <w:color w:val="0000EE"/>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355">
        <w:r>
          <w:rPr>
            <w:rFonts w:ascii="Arial" w:cs="Arial" w:eastAsia="Arial" w:hAnsi="Arial"/>
            <w:sz w:val="18"/>
            <w:szCs w:val="18"/>
            <w:u w:val="single" w:color="auto"/>
            <w:color w:val="0000EE"/>
          </w:rPr>
          <w:t>Offer of Employment Letter, between the Registrant and Dirk Van de Put, dated July 27, 2017 (incorporated by reference to Exhibit</w:t>
        </w:r>
      </w:hyperlink>
    </w:p>
    <w:p>
      <w:pPr>
        <w:ind w:left="920"/>
        <w:spacing w:after="0"/>
        <w:rPr>
          <w:rFonts w:ascii="Arial" w:cs="Arial" w:eastAsia="Arial" w:hAnsi="Arial"/>
          <w:sz w:val="18"/>
          <w:szCs w:val="18"/>
          <w:color w:val="0000EE"/>
        </w:rPr>
      </w:pPr>
      <w:hyperlink r:id="rId355">
        <w:r>
          <w:rPr>
            <w:rFonts w:ascii="Arial" w:cs="Arial" w:eastAsia="Arial" w:hAnsi="Arial"/>
            <w:sz w:val="18"/>
            <w:szCs w:val="18"/>
            <w:u w:val="single" w:color="auto"/>
            <w:color w:val="0000EE"/>
          </w:rPr>
          <w:t>10.1 to the Registrant’s Current Report on Form 8-K filed with the SEC on August 2, 2017).</w:t>
        </w:r>
        <w:r>
          <w:rPr>
            <w:rFonts w:ascii="Arial" w:cs="Arial" w:eastAsia="Arial" w:hAnsi="Arial"/>
            <w:sz w:val="18"/>
            <w:szCs w:val="18"/>
            <w:color w:val="000000"/>
          </w:rPr>
          <w:t>+</w:t>
        </w:r>
      </w:hyperlink>
    </w:p>
    <w:p>
      <w:pPr>
        <w:spacing w:after="0" w:line="104" w:lineRule="exact"/>
        <w:rPr>
          <w:rFonts w:ascii="Arial" w:cs="Arial" w:eastAsia="Arial" w:hAnsi="Arial"/>
          <w:sz w:val="18"/>
          <w:szCs w:val="18"/>
          <w:u w:val="single" w:color="auto"/>
          <w:color w:val="0000EE"/>
        </w:rPr>
      </w:pPr>
    </w:p>
    <w:p>
      <w:pPr>
        <w:ind w:left="920" w:right="36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10.26</w:t>
      </w:r>
      <w:r>
        <w:rPr>
          <w:sz w:val="20"/>
          <w:szCs w:val="20"/>
          <w:color w:val="auto"/>
        </w:rPr>
        <w:tab/>
      </w:r>
      <w:hyperlink r:id="rId356">
        <w:r>
          <w:rPr>
            <w:rFonts w:ascii="Arial" w:cs="Arial" w:eastAsia="Arial" w:hAnsi="Arial"/>
            <w:sz w:val="18"/>
            <w:szCs w:val="18"/>
            <w:u w:val="single" w:color="auto"/>
            <w:color w:val="0000EE"/>
          </w:rPr>
          <w:t>Offer of Employment Letter, between the Registrant and Irene B. Rosenfeld, dated June 22, 2006 (incorporated by reference to</w:t>
        </w:r>
      </w:hyperlink>
      <w:r>
        <w:rPr>
          <w:rFonts w:ascii="Arial" w:cs="Arial" w:eastAsia="Arial" w:hAnsi="Arial"/>
          <w:sz w:val="18"/>
          <w:szCs w:val="18"/>
          <w:u w:val="single" w:color="auto"/>
          <w:color w:val="0000EE"/>
        </w:rPr>
        <w:t xml:space="preserve"> </w:t>
      </w:r>
      <w:hyperlink r:id="rId356">
        <w:r>
          <w:rPr>
            <w:rFonts w:ascii="Arial" w:cs="Arial" w:eastAsia="Arial" w:hAnsi="Arial"/>
            <w:sz w:val="18"/>
            <w:szCs w:val="18"/>
            <w:u w:val="single" w:color="auto"/>
            <w:color w:val="0000EE"/>
          </w:rPr>
          <w:t>Exhibit 10.29 to the Registrant’s Quarterly Report on Form 10-Q filed with the SEC on August 8, 2006).</w:t>
        </w:r>
        <w:r>
          <w:rPr>
            <w:rFonts w:ascii="Arial" w:cs="Arial" w:eastAsia="Arial" w:hAnsi="Arial"/>
            <w:sz w:val="18"/>
            <w:szCs w:val="18"/>
            <w:color w:val="000000"/>
          </w:rPr>
          <w:t>+</w:t>
        </w:r>
      </w:hyperlink>
    </w:p>
    <w:p>
      <w:pPr>
        <w:spacing w:after="0" w:line="89" w:lineRule="exact"/>
        <w:rPr>
          <w:sz w:val="20"/>
          <w:szCs w:val="20"/>
          <w:color w:val="auto"/>
        </w:rPr>
      </w:pPr>
    </w:p>
    <w:p>
      <w:pPr>
        <w:ind w:left="920" w:right="32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10.27</w:t>
      </w:r>
      <w:r>
        <w:rPr>
          <w:sz w:val="20"/>
          <w:szCs w:val="20"/>
          <w:color w:val="auto"/>
        </w:rPr>
        <w:tab/>
      </w:r>
      <w:hyperlink r:id="rId357">
        <w:r>
          <w:rPr>
            <w:rFonts w:ascii="Arial" w:cs="Arial" w:eastAsia="Arial" w:hAnsi="Arial"/>
            <w:sz w:val="18"/>
            <w:szCs w:val="18"/>
            <w:u w:val="single" w:color="auto"/>
            <w:color w:val="0000EE"/>
          </w:rPr>
          <w:t>Amendment to Offer of Employment Letter, between the Registrant and Irene B. Rosenfeld, amended as of December 31, 2008</w:t>
        </w:r>
      </w:hyperlink>
      <w:r>
        <w:rPr>
          <w:rFonts w:ascii="Arial" w:cs="Arial" w:eastAsia="Arial" w:hAnsi="Arial"/>
          <w:sz w:val="18"/>
          <w:szCs w:val="18"/>
          <w:u w:val="single" w:color="auto"/>
          <w:color w:val="0000EE"/>
        </w:rPr>
        <w:t xml:space="preserve"> </w:t>
      </w:r>
      <w:hyperlink r:id="rId357">
        <w:r>
          <w:rPr>
            <w:rFonts w:ascii="Arial" w:cs="Arial" w:eastAsia="Arial" w:hAnsi="Arial"/>
            <w:sz w:val="18"/>
            <w:szCs w:val="18"/>
            <w:u w:val="single" w:color="auto"/>
            <w:color w:val="0000EE"/>
          </w:rPr>
          <w:t>(incorporated by reference to Exhibit 10.20 to the Registrant’s Annual Report on Form 10-K filed with the SEC on February 27,</w:t>
        </w:r>
      </w:hyperlink>
      <w:r>
        <w:rPr>
          <w:rFonts w:ascii="Arial" w:cs="Arial" w:eastAsia="Arial" w:hAnsi="Arial"/>
          <w:sz w:val="18"/>
          <w:szCs w:val="18"/>
          <w:u w:val="single" w:color="auto"/>
          <w:color w:val="0000EE"/>
        </w:rPr>
        <w:t xml:space="preserve"> </w:t>
      </w:r>
      <w:hyperlink r:id="rId357">
        <w:r>
          <w:rPr>
            <w:rFonts w:ascii="Arial" w:cs="Arial" w:eastAsia="Arial" w:hAnsi="Arial"/>
            <w:sz w:val="18"/>
            <w:szCs w:val="18"/>
            <w:u w:val="single" w:color="auto"/>
            <w:color w:val="0000EE"/>
          </w:rPr>
          <w:t>2009).</w:t>
        </w:r>
        <w:r>
          <w:rPr>
            <w:rFonts w:ascii="Arial" w:cs="Arial" w:eastAsia="Arial" w:hAnsi="Arial"/>
            <w:sz w:val="18"/>
            <w:szCs w:val="18"/>
            <w:color w:val="000000"/>
          </w:rPr>
          <w:t>+</w:t>
        </w:r>
      </w:hyperlink>
    </w:p>
    <w:p>
      <w:pPr>
        <w:spacing w:after="0" w:line="90" w:lineRule="exact"/>
        <w:rPr>
          <w:rFonts w:ascii="Arial" w:cs="Arial" w:eastAsia="Arial" w:hAnsi="Arial"/>
          <w:sz w:val="18"/>
          <w:szCs w:val="18"/>
          <w:u w:val="single" w:color="auto"/>
          <w:color w:val="0000EE"/>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358">
        <w:r>
          <w:rPr>
            <w:rFonts w:ascii="Arial" w:cs="Arial" w:eastAsia="Arial" w:hAnsi="Arial"/>
            <w:sz w:val="18"/>
            <w:szCs w:val="18"/>
            <w:u w:val="single" w:color="auto"/>
            <w:color w:val="0000EE"/>
          </w:rPr>
          <w:t>Offer of Employment Letter, between the Registrant and Daniel P. Myers, dated June 20, 2011 (incorporated by reference to Exhibit</w:t>
        </w:r>
      </w:hyperlink>
    </w:p>
    <w:p>
      <w:pPr>
        <w:ind w:left="920"/>
        <w:spacing w:after="0"/>
        <w:rPr>
          <w:rFonts w:ascii="Arial" w:cs="Arial" w:eastAsia="Arial" w:hAnsi="Arial"/>
          <w:sz w:val="18"/>
          <w:szCs w:val="18"/>
          <w:color w:val="0000EE"/>
        </w:rPr>
      </w:pPr>
      <w:hyperlink r:id="rId358">
        <w:r>
          <w:rPr>
            <w:rFonts w:ascii="Arial" w:cs="Arial" w:eastAsia="Arial" w:hAnsi="Arial"/>
            <w:sz w:val="18"/>
            <w:szCs w:val="18"/>
            <w:u w:val="single" w:color="auto"/>
            <w:color w:val="0000EE"/>
          </w:rPr>
          <w:t>10.1 to the Registrant’s Quarterly Report on Form 10-Q filed with the SEC on November 4, 2011).</w:t>
        </w:r>
        <w:r>
          <w:rPr>
            <w:rFonts w:ascii="Arial" w:cs="Arial" w:eastAsia="Arial" w:hAnsi="Arial"/>
            <w:sz w:val="18"/>
            <w:szCs w:val="18"/>
            <w:color w:val="000000"/>
          </w:rPr>
          <w:t>+</w:t>
        </w:r>
      </w:hyperlink>
    </w:p>
    <w:p>
      <w:pPr>
        <w:spacing w:after="0" w:line="104" w:lineRule="exact"/>
        <w:rPr>
          <w:rFonts w:ascii="Arial" w:cs="Arial" w:eastAsia="Arial" w:hAnsi="Arial"/>
          <w:sz w:val="18"/>
          <w:szCs w:val="18"/>
          <w:u w:val="single" w:color="auto"/>
          <w:color w:val="0000EE"/>
        </w:rPr>
      </w:pPr>
    </w:p>
    <w:p>
      <w:pPr>
        <w:ind w:left="920" w:right="42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10.29</w:t>
      </w:r>
      <w:r>
        <w:rPr>
          <w:sz w:val="20"/>
          <w:szCs w:val="20"/>
          <w:color w:val="auto"/>
        </w:rPr>
        <w:tab/>
      </w:r>
      <w:hyperlink r:id="rId359">
        <w:r>
          <w:rPr>
            <w:rFonts w:ascii="Arial" w:cs="Arial" w:eastAsia="Arial" w:hAnsi="Arial"/>
            <w:sz w:val="18"/>
            <w:szCs w:val="18"/>
            <w:u w:val="single" w:color="auto"/>
            <w:color w:val="0000EE"/>
          </w:rPr>
          <w:t>Offer of Employment Letter, between Mondelēz Global LLC and Brian T. Gladden, dated September 26, 2014 (incorporated by</w:t>
        </w:r>
      </w:hyperlink>
      <w:r>
        <w:rPr>
          <w:rFonts w:ascii="Arial" w:cs="Arial" w:eastAsia="Arial" w:hAnsi="Arial"/>
          <w:sz w:val="18"/>
          <w:szCs w:val="18"/>
          <w:u w:val="single" w:color="auto"/>
          <w:color w:val="0000EE"/>
        </w:rPr>
        <w:t xml:space="preserve"> </w:t>
      </w:r>
      <w:hyperlink r:id="rId359">
        <w:r>
          <w:rPr>
            <w:rFonts w:ascii="Arial" w:cs="Arial" w:eastAsia="Arial" w:hAnsi="Arial"/>
            <w:sz w:val="18"/>
            <w:szCs w:val="18"/>
            <w:u w:val="single" w:color="auto"/>
            <w:color w:val="0000EE"/>
          </w:rPr>
          <w:t>reference to Exhibit 10.1 to the Registrant’s Current Report on Form 8-K filed with the SEC on October 9, 2014).</w:t>
        </w:r>
        <w:r>
          <w:rPr>
            <w:rFonts w:ascii="Arial" w:cs="Arial" w:eastAsia="Arial" w:hAnsi="Arial"/>
            <w:sz w:val="18"/>
            <w:szCs w:val="18"/>
            <w:color w:val="000000"/>
          </w:rPr>
          <w:t>+</w:t>
        </w:r>
      </w:hyperlink>
    </w:p>
    <w:p>
      <w:pPr>
        <w:spacing w:after="0" w:line="89" w:lineRule="exact"/>
        <w:rPr>
          <w:sz w:val="20"/>
          <w:szCs w:val="20"/>
          <w:color w:val="auto"/>
        </w:rPr>
      </w:pPr>
    </w:p>
    <w:p>
      <w:pPr>
        <w:ind w:left="920" w:right="4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10.30</w:t>
      </w:r>
      <w:r>
        <w:rPr>
          <w:sz w:val="20"/>
          <w:szCs w:val="20"/>
          <w:color w:val="auto"/>
        </w:rPr>
        <w:tab/>
      </w:r>
      <w:hyperlink r:id="rId360">
        <w:r>
          <w:rPr>
            <w:rFonts w:ascii="Arial" w:cs="Arial" w:eastAsia="Arial" w:hAnsi="Arial"/>
            <w:sz w:val="18"/>
            <w:szCs w:val="18"/>
            <w:u w:val="single" w:color="auto"/>
            <w:color w:val="0000EE"/>
          </w:rPr>
          <w:t>Offer of Employment Letter, between Mondelēz Global LLC and Roberto de Oliveira Marques, dated February 20, 2015</w:t>
        </w:r>
      </w:hyperlink>
      <w:r>
        <w:rPr>
          <w:rFonts w:ascii="Arial" w:cs="Arial" w:eastAsia="Arial" w:hAnsi="Arial"/>
          <w:sz w:val="18"/>
          <w:szCs w:val="18"/>
          <w:u w:val="single" w:color="auto"/>
          <w:color w:val="0000EE"/>
        </w:rPr>
        <w:t xml:space="preserve"> </w:t>
      </w:r>
      <w:hyperlink r:id="rId360">
        <w:r>
          <w:rPr>
            <w:rFonts w:ascii="Arial" w:cs="Arial" w:eastAsia="Arial" w:hAnsi="Arial"/>
            <w:sz w:val="18"/>
            <w:szCs w:val="18"/>
            <w:u w:val="single" w:color="auto"/>
            <w:color w:val="0000EE"/>
          </w:rPr>
          <w:t>(incorporated by reference to Exhibit 10.2 to the Registrant’s Quarterly Report on Form 10-Q filed with the SEC on April 30, 2015).</w:t>
        </w:r>
      </w:hyperlink>
      <w:r>
        <w:rPr>
          <w:rFonts w:ascii="Arial" w:cs="Arial" w:eastAsia="Arial" w:hAnsi="Arial"/>
          <w:sz w:val="18"/>
          <w:szCs w:val="18"/>
          <w:color w:val="000000"/>
        </w:rPr>
        <w:t>+</w:t>
      </w:r>
    </w:p>
    <w:p>
      <w:pPr>
        <w:spacing w:after="0" w:line="89" w:lineRule="exact"/>
        <w:rPr>
          <w:sz w:val="20"/>
          <w:szCs w:val="20"/>
          <w:color w:val="auto"/>
        </w:rPr>
      </w:pPr>
    </w:p>
    <w:p>
      <w:pPr>
        <w:ind w:left="100"/>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w:anchor="page178">
        <w:r>
          <w:rPr>
            <w:rFonts w:ascii="Arial" w:cs="Arial" w:eastAsia="Arial" w:hAnsi="Arial"/>
            <w:sz w:val="17"/>
            <w:szCs w:val="17"/>
            <w:u w:val="single" w:color="auto"/>
            <w:color w:val="0000EE"/>
          </w:rPr>
          <w:t>Offer of Employment Letter, between Mondelēz Global LLC and Glen Walter, dated October 15, 2017.</w:t>
        </w:r>
      </w:hyperlink>
      <w:r>
        <w:rPr>
          <w:rFonts w:ascii="Arial" w:cs="Arial" w:eastAsia="Arial" w:hAnsi="Arial"/>
          <w:sz w:val="17"/>
          <w:szCs w:val="17"/>
          <w:color w:val="000000"/>
        </w:rPr>
        <w:t>+</w:t>
      </w:r>
    </w:p>
    <w:p>
      <w:pPr>
        <w:spacing w:after="0" w:line="104" w:lineRule="exact"/>
        <w:rPr>
          <w:sz w:val="20"/>
          <w:szCs w:val="20"/>
          <w:color w:val="auto"/>
        </w:rPr>
      </w:pPr>
    </w:p>
    <w:p>
      <w:pPr>
        <w:jc w:val="both"/>
        <w:ind w:left="920" w:right="50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10.32</w:t>
      </w:r>
      <w:r>
        <w:rPr>
          <w:sz w:val="20"/>
          <w:szCs w:val="20"/>
          <w:color w:val="auto"/>
        </w:rPr>
        <w:tab/>
      </w:r>
      <w:hyperlink r:id="rId361">
        <w:r>
          <w:rPr>
            <w:rFonts w:ascii="Arial" w:cs="Arial" w:eastAsia="Arial" w:hAnsi="Arial"/>
            <w:sz w:val="18"/>
            <w:szCs w:val="18"/>
            <w:u w:val="single" w:color="auto"/>
            <w:color w:val="0000EE"/>
          </w:rPr>
          <w:t>Retirement Agreement and General Release, between Mondelēz Global LLC and David Brearton, dated December 15, 2015</w:t>
        </w:r>
      </w:hyperlink>
      <w:r>
        <w:rPr>
          <w:rFonts w:ascii="Arial" w:cs="Arial" w:eastAsia="Arial" w:hAnsi="Arial"/>
          <w:sz w:val="18"/>
          <w:szCs w:val="18"/>
          <w:u w:val="single" w:color="auto"/>
          <w:color w:val="0000EE"/>
        </w:rPr>
        <w:t xml:space="preserve"> </w:t>
      </w:r>
      <w:hyperlink r:id="rId361">
        <w:r>
          <w:rPr>
            <w:rFonts w:ascii="Arial" w:cs="Arial" w:eastAsia="Arial" w:hAnsi="Arial"/>
            <w:sz w:val="18"/>
            <w:szCs w:val="18"/>
            <w:u w:val="single" w:color="auto"/>
            <w:color w:val="0000EE"/>
          </w:rPr>
          <w:t>(incorporated by reference to Exhibit 10.1 to the Registrant’s Current Report on Form 8-K filed with the SEC on December 18,</w:t>
        </w:r>
      </w:hyperlink>
      <w:r>
        <w:rPr>
          <w:rFonts w:ascii="Arial" w:cs="Arial" w:eastAsia="Arial" w:hAnsi="Arial"/>
          <w:sz w:val="18"/>
          <w:szCs w:val="18"/>
          <w:u w:val="single" w:color="auto"/>
          <w:color w:val="0000EE"/>
        </w:rPr>
        <w:t xml:space="preserve"> </w:t>
      </w:r>
      <w:hyperlink r:id="rId361">
        <w:r>
          <w:rPr>
            <w:rFonts w:ascii="Arial" w:cs="Arial" w:eastAsia="Arial" w:hAnsi="Arial"/>
            <w:sz w:val="18"/>
            <w:szCs w:val="18"/>
            <w:u w:val="single" w:color="auto"/>
            <w:color w:val="0000EE"/>
          </w:rPr>
          <w:t>2015).</w:t>
        </w:r>
        <w:r>
          <w:rPr>
            <w:rFonts w:ascii="Arial" w:cs="Arial" w:eastAsia="Arial" w:hAnsi="Arial"/>
            <w:sz w:val="18"/>
            <w:szCs w:val="18"/>
            <w:color w:val="000000"/>
          </w:rPr>
          <w:t>+</w:t>
        </w:r>
      </w:hyperlink>
    </w:p>
    <w:p>
      <w:pPr>
        <w:spacing w:after="0" w:line="95" w:lineRule="exact"/>
        <w:rPr>
          <w:rFonts w:ascii="Arial" w:cs="Arial" w:eastAsia="Arial" w:hAnsi="Arial"/>
          <w:sz w:val="18"/>
          <w:szCs w:val="18"/>
          <w:u w:val="single" w:color="auto"/>
          <w:color w:val="0000EE"/>
        </w:rPr>
      </w:pPr>
    </w:p>
    <w:p>
      <w:pPr>
        <w:ind w:left="920" w:hanging="817"/>
        <w:spacing w:after="0"/>
        <w:tabs>
          <w:tab w:leader="none" w:pos="900" w:val="left"/>
        </w:tabs>
        <w:rPr>
          <w:rFonts w:ascii="Arial" w:cs="Arial" w:eastAsia="Arial" w:hAnsi="Arial"/>
          <w:sz w:val="18"/>
          <w:szCs w:val="18"/>
          <w:color w:val="0000EE"/>
        </w:rPr>
      </w:pPr>
      <w:r>
        <w:rPr>
          <w:rFonts w:ascii="Arial" w:cs="Arial" w:eastAsia="Arial" w:hAnsi="Arial"/>
          <w:sz w:val="18"/>
          <w:szCs w:val="18"/>
          <w:color w:val="auto"/>
        </w:rPr>
        <w:t>10.33</w:t>
      </w:r>
      <w:r>
        <w:rPr>
          <w:sz w:val="20"/>
          <w:szCs w:val="20"/>
          <w:color w:val="auto"/>
        </w:rPr>
        <w:tab/>
      </w:r>
      <w:hyperlink r:id="rId362">
        <w:r>
          <w:rPr>
            <w:rFonts w:ascii="Arial" w:cs="Arial" w:eastAsia="Arial" w:hAnsi="Arial"/>
            <w:sz w:val="18"/>
            <w:szCs w:val="18"/>
            <w:u w:val="single" w:color="auto"/>
            <w:color w:val="0000EE"/>
          </w:rPr>
          <w:t>Retirement Agreement and General Release, between Mondelēz International Holdings LLC and Gustavo H. Abelenda, dated as of</w:t>
        </w:r>
      </w:hyperlink>
      <w:r>
        <w:rPr>
          <w:rFonts w:ascii="Arial" w:cs="Arial" w:eastAsia="Arial" w:hAnsi="Arial"/>
          <w:sz w:val="18"/>
          <w:szCs w:val="18"/>
          <w:u w:val="single" w:color="auto"/>
          <w:color w:val="0000EE"/>
        </w:rPr>
        <w:t xml:space="preserve"> </w:t>
      </w:r>
      <w:hyperlink r:id="rId362">
        <w:r>
          <w:rPr>
            <w:rFonts w:ascii="Arial" w:cs="Arial" w:eastAsia="Arial" w:hAnsi="Arial"/>
            <w:sz w:val="18"/>
            <w:szCs w:val="18"/>
            <w:u w:val="single" w:color="auto"/>
            <w:color w:val="0000EE"/>
          </w:rPr>
          <w:t>December 31, 2016 (incorporated by reference to Exhibit 10.30 to the Registrant’s Annual Report on Form 10-K filed with the SEC</w:t>
        </w:r>
      </w:hyperlink>
      <w:r>
        <w:rPr>
          <w:rFonts w:ascii="Arial" w:cs="Arial" w:eastAsia="Arial" w:hAnsi="Arial"/>
          <w:sz w:val="18"/>
          <w:szCs w:val="18"/>
          <w:u w:val="single" w:color="auto"/>
          <w:color w:val="0000EE"/>
        </w:rPr>
        <w:t xml:space="preserve"> </w:t>
      </w:r>
      <w:hyperlink r:id="rId362">
        <w:r>
          <w:rPr>
            <w:rFonts w:ascii="Arial" w:cs="Arial" w:eastAsia="Arial" w:hAnsi="Arial"/>
            <w:sz w:val="18"/>
            <w:szCs w:val="18"/>
            <w:u w:val="single" w:color="auto"/>
            <w:color w:val="0000EE"/>
          </w:rPr>
          <w:t>on February 24, 2017).</w:t>
        </w:r>
        <w:r>
          <w:rPr>
            <w:rFonts w:ascii="Arial" w:cs="Arial" w:eastAsia="Arial" w:hAnsi="Arial"/>
            <w:sz w:val="18"/>
            <w:szCs w:val="18"/>
            <w:color w:val="000000"/>
          </w:rPr>
          <w:t>+</w:t>
        </w:r>
      </w:hyperlink>
    </w:p>
    <w:p>
      <w:pPr>
        <w:spacing w:after="0" w:line="90" w:lineRule="exact"/>
        <w:rPr>
          <w:rFonts w:ascii="Arial" w:cs="Arial" w:eastAsia="Arial" w:hAnsi="Arial"/>
          <w:sz w:val="18"/>
          <w:szCs w:val="18"/>
          <w:u w:val="single" w:color="auto"/>
          <w:color w:val="0000EE"/>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363">
        <w:r>
          <w:rPr>
            <w:rFonts w:ascii="Arial" w:cs="Arial" w:eastAsia="Arial" w:hAnsi="Arial"/>
            <w:sz w:val="18"/>
            <w:szCs w:val="18"/>
            <w:u w:val="single" w:color="auto"/>
            <w:color w:val="0000EE"/>
          </w:rPr>
          <w:t>Separation Agreement and General Release, between Mondelēz Global LLC and Roberto de Oliveira Marques, dated May 24,</w:t>
        </w:r>
      </w:hyperlink>
    </w:p>
    <w:p>
      <w:pPr>
        <w:ind w:left="920"/>
        <w:spacing w:after="0" w:line="234" w:lineRule="auto"/>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2017 (incorporated by reference to Exhibit 10.1 to the Registrant’s Current Report on Form 8-K filed with the SEC on May 26,</w:t>
        </w:r>
      </w:hyperlink>
    </w:p>
    <w:p>
      <w:pPr>
        <w:spacing w:after="0" w:line="1" w:lineRule="exact"/>
        <w:rPr>
          <w:rFonts w:ascii="Arial" w:cs="Arial" w:eastAsia="Arial" w:hAnsi="Arial"/>
          <w:sz w:val="18"/>
          <w:szCs w:val="18"/>
          <w:u w:val="single" w:color="auto"/>
          <w:color w:val="0000EE"/>
        </w:rPr>
      </w:pPr>
    </w:p>
    <w:p>
      <w:pPr>
        <w:ind w:left="920"/>
        <w:spacing w:after="0"/>
        <w:rPr>
          <w:rFonts w:ascii="Arial" w:cs="Arial" w:eastAsia="Arial" w:hAnsi="Arial"/>
          <w:sz w:val="18"/>
          <w:szCs w:val="18"/>
          <w:color w:val="0000EE"/>
        </w:rPr>
      </w:pPr>
      <w:hyperlink r:id="rId363">
        <w:r>
          <w:rPr>
            <w:rFonts w:ascii="Arial" w:cs="Arial" w:eastAsia="Arial" w:hAnsi="Arial"/>
            <w:sz w:val="18"/>
            <w:szCs w:val="18"/>
            <w:u w:val="single" w:color="auto"/>
            <w:color w:val="0000EE"/>
          </w:rPr>
          <w:t>2017).</w:t>
        </w:r>
        <w:r>
          <w:rPr>
            <w:rFonts w:ascii="Arial" w:cs="Arial" w:eastAsia="Arial" w:hAnsi="Arial"/>
            <w:sz w:val="18"/>
            <w:szCs w:val="18"/>
            <w:color w:val="000000"/>
          </w:rPr>
          <w:t>+</w:t>
        </w:r>
      </w:hyperlink>
    </w:p>
    <w:p>
      <w:pPr>
        <w:spacing w:after="0" w:line="104" w:lineRule="exact"/>
        <w:rPr>
          <w:rFonts w:ascii="Arial" w:cs="Arial" w:eastAsia="Arial" w:hAnsi="Arial"/>
          <w:sz w:val="18"/>
          <w:szCs w:val="18"/>
          <w:u w:val="single" w:color="auto"/>
          <w:color w:val="0000EE"/>
        </w:rPr>
      </w:pPr>
    </w:p>
    <w:p>
      <w:pPr>
        <w:ind w:left="920" w:right="42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10.35</w:t>
      </w:r>
      <w:r>
        <w:rPr>
          <w:sz w:val="20"/>
          <w:szCs w:val="20"/>
          <w:color w:val="auto"/>
        </w:rPr>
        <w:tab/>
      </w:r>
      <w:hyperlink r:id="rId364">
        <w:r>
          <w:rPr>
            <w:rFonts w:ascii="Arial" w:cs="Arial" w:eastAsia="Arial" w:hAnsi="Arial"/>
            <w:sz w:val="18"/>
            <w:szCs w:val="18"/>
            <w:u w:val="single" w:color="auto"/>
            <w:color w:val="0000EE"/>
          </w:rPr>
          <w:t>Form of Indemnification Agreement for Non-Employee Directors (incorporated by reference to Exhibit 10.28 to the Registrant’s</w:t>
        </w:r>
      </w:hyperlink>
      <w:r>
        <w:rPr>
          <w:rFonts w:ascii="Arial" w:cs="Arial" w:eastAsia="Arial" w:hAnsi="Arial"/>
          <w:sz w:val="18"/>
          <w:szCs w:val="18"/>
          <w:u w:val="single" w:color="auto"/>
          <w:color w:val="0000EE"/>
        </w:rPr>
        <w:t xml:space="preserve"> </w:t>
      </w:r>
      <w:hyperlink r:id="rId364">
        <w:r>
          <w:rPr>
            <w:rFonts w:ascii="Arial" w:cs="Arial" w:eastAsia="Arial" w:hAnsi="Arial"/>
            <w:sz w:val="18"/>
            <w:szCs w:val="18"/>
            <w:u w:val="single" w:color="auto"/>
            <w:color w:val="0000EE"/>
          </w:rPr>
          <w:t>Annual Report on Form 10-K filed with the SEC on February 27, 2009).</w:t>
        </w:r>
        <w:r>
          <w:rPr>
            <w:rFonts w:ascii="Arial" w:cs="Arial" w:eastAsia="Arial" w:hAnsi="Arial"/>
            <w:sz w:val="18"/>
            <w:szCs w:val="18"/>
            <w:color w:val="000000"/>
          </w:rPr>
          <w:t>+</w:t>
        </w:r>
      </w:hyperlink>
    </w:p>
    <w:p>
      <w:pPr>
        <w:spacing w:after="0" w:line="89" w:lineRule="exact"/>
        <w:rPr>
          <w:sz w:val="20"/>
          <w:szCs w:val="20"/>
          <w:color w:val="auto"/>
        </w:rPr>
      </w:pPr>
    </w:p>
    <w:p>
      <w:pPr>
        <w:ind w:left="920" w:right="160" w:hanging="817"/>
        <w:spacing w:after="0" w:line="246"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10.36</w:t>
      </w:r>
      <w:r>
        <w:rPr>
          <w:sz w:val="20"/>
          <w:szCs w:val="20"/>
          <w:color w:val="auto"/>
        </w:rPr>
        <w:tab/>
      </w:r>
      <w:hyperlink r:id="rId365">
        <w:r>
          <w:rPr>
            <w:rFonts w:ascii="Arial" w:cs="Arial" w:eastAsia="Arial" w:hAnsi="Arial"/>
            <w:sz w:val="18"/>
            <w:szCs w:val="18"/>
            <w:u w:val="single" w:color="auto"/>
            <w:color w:val="0000EE"/>
          </w:rPr>
          <w:t>Indemnification Agreement between the Registrant and Irene B. Rosenfeld, dated January 27, 2009 (incorporated by reference to</w:t>
        </w:r>
      </w:hyperlink>
      <w:r>
        <w:rPr>
          <w:rFonts w:ascii="Arial" w:cs="Arial" w:eastAsia="Arial" w:hAnsi="Arial"/>
          <w:sz w:val="18"/>
          <w:szCs w:val="18"/>
          <w:u w:val="single" w:color="auto"/>
          <w:color w:val="0000EE"/>
        </w:rPr>
        <w:t xml:space="preserve"> </w:t>
      </w:r>
      <w:hyperlink r:id="rId365">
        <w:r>
          <w:rPr>
            <w:rFonts w:ascii="Arial" w:cs="Arial" w:eastAsia="Arial" w:hAnsi="Arial"/>
            <w:sz w:val="18"/>
            <w:szCs w:val="18"/>
            <w:u w:val="single" w:color="auto"/>
            <w:color w:val="0000EE"/>
          </w:rPr>
          <w:t>Exhibit 10.1 to the Registrant’s Current Report on Form 8-K filed with the SEC on February 2, 2009).</w:t>
        </w:r>
        <w:r>
          <w:rPr>
            <w:rFonts w:ascii="Arial" w:cs="Arial" w:eastAsia="Arial" w:hAnsi="Arial"/>
            <w:sz w:val="18"/>
            <w:szCs w:val="18"/>
            <w:color w:val="000000"/>
          </w:rPr>
          <w:t>+</w:t>
        </w:r>
      </w:hyperlink>
    </w:p>
    <w:p>
      <w:pPr>
        <w:spacing w:after="0" w:line="89" w:lineRule="exact"/>
        <w:rPr>
          <w:sz w:val="20"/>
          <w:szCs w:val="20"/>
          <w:color w:val="auto"/>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w:anchor="page194">
        <w:r>
          <w:rPr>
            <w:rFonts w:ascii="Arial" w:cs="Arial" w:eastAsia="Arial" w:hAnsi="Arial"/>
            <w:sz w:val="18"/>
            <w:szCs w:val="18"/>
            <w:u w:val="single" w:color="auto"/>
            <w:color w:val="0000EE"/>
          </w:rPr>
          <w:t>Indemnification Agreement between the Registrant and Dirk Van de Put, dated November 20, 2017.</w:t>
        </w:r>
      </w:hyperlink>
      <w:r>
        <w:rPr>
          <w:rFonts w:ascii="Arial" w:cs="Arial" w:eastAsia="Arial" w:hAnsi="Arial"/>
          <w:sz w:val="18"/>
          <w:szCs w:val="18"/>
          <w:color w:val="000000"/>
        </w:rPr>
        <w:t>+</w:t>
      </w:r>
    </w:p>
    <w:p>
      <w:pPr>
        <w:spacing w:after="0" w:line="104" w:lineRule="exact"/>
        <w:rPr>
          <w:sz w:val="20"/>
          <w:szCs w:val="20"/>
          <w:color w:val="auto"/>
        </w:rPr>
      </w:pPr>
    </w:p>
    <w:p>
      <w:pPr>
        <w:ind w:left="100"/>
        <w:spacing w:after="0"/>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12.1</w:t>
      </w:r>
      <w:r>
        <w:rPr>
          <w:sz w:val="20"/>
          <w:szCs w:val="20"/>
          <w:color w:val="auto"/>
        </w:rPr>
        <w:tab/>
      </w:r>
      <w:hyperlink w:anchor="page208">
        <w:r>
          <w:rPr>
            <w:rFonts w:ascii="Arial" w:cs="Arial" w:eastAsia="Arial" w:hAnsi="Arial"/>
            <w:sz w:val="18"/>
            <w:szCs w:val="18"/>
            <w:u w:val="single" w:color="auto"/>
            <w:color w:val="0000EE"/>
          </w:rPr>
          <w:t>Computation of Ratios of Earnings to Fixed Charges.</w:t>
        </w:r>
      </w:hyperlink>
    </w:p>
    <w:p>
      <w:pPr>
        <w:spacing w:after="0" w:line="104" w:lineRule="exact"/>
        <w:rPr>
          <w:sz w:val="20"/>
          <w:szCs w:val="20"/>
          <w:color w:val="auto"/>
        </w:rPr>
      </w:pPr>
    </w:p>
    <w:p>
      <w:pPr>
        <w:ind w:left="100"/>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21.1</w:t>
      </w:r>
      <w:r>
        <w:rPr>
          <w:sz w:val="20"/>
          <w:szCs w:val="20"/>
          <w:color w:val="auto"/>
        </w:rPr>
        <w:tab/>
      </w:r>
      <w:hyperlink w:anchor="page209">
        <w:r>
          <w:rPr>
            <w:rFonts w:ascii="Arial" w:cs="Arial" w:eastAsia="Arial" w:hAnsi="Arial"/>
            <w:sz w:val="17"/>
            <w:szCs w:val="17"/>
            <w:u w:val="single" w:color="auto"/>
            <w:color w:val="0000EE"/>
          </w:rPr>
          <w:t>Subsidiaries of the Registrant.</w:t>
        </w:r>
      </w:hyperlink>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100"/>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217">
        <w:r>
          <w:rPr>
            <w:rFonts w:ascii="Arial" w:cs="Arial" w:eastAsia="Arial" w:hAnsi="Arial"/>
            <w:sz w:val="17"/>
            <w:szCs w:val="17"/>
            <w:u w:val="single" w:color="auto"/>
            <w:color w:val="0000EE"/>
          </w:rPr>
          <w:t>Consent of PricewaterhouseCoopers LLP, Independent Registered Public Accounting Firm.</w:t>
        </w:r>
      </w:hyperlink>
    </w:p>
    <w:p>
      <w:pPr>
        <w:spacing w:after="0" w:line="99" w:lineRule="exact"/>
        <w:rPr>
          <w:sz w:val="20"/>
          <w:szCs w:val="20"/>
          <w:color w:val="auto"/>
        </w:rPr>
      </w:pPr>
    </w:p>
    <w:p>
      <w:pPr>
        <w:ind w:left="100"/>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218">
        <w:r>
          <w:rPr>
            <w:rFonts w:ascii="Arial" w:cs="Arial" w:eastAsia="Arial" w:hAnsi="Arial"/>
            <w:sz w:val="17"/>
            <w:szCs w:val="17"/>
            <w:u w:val="single" w:color="auto"/>
            <w:color w:val="0000EE"/>
          </w:rPr>
          <w:t>Certification of the Registrant’s Chief Executive Officer pursuant to Rule 13a-14(a)/15d-14(a) of the Securities Exchange Act of</w:t>
        </w:r>
      </w:hyperlink>
    </w:p>
    <w:p>
      <w:pPr>
        <w:ind w:left="920"/>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1934, as amended, as adopted pursuant to Section 302 of the Sarbanes-Oxley Act of 2002.</w:t>
        </w:r>
      </w:hyperlink>
    </w:p>
    <w:p>
      <w:pPr>
        <w:spacing w:after="0" w:line="99" w:lineRule="exact"/>
        <w:rPr>
          <w:sz w:val="20"/>
          <w:szCs w:val="20"/>
          <w:color w:val="auto"/>
        </w:rPr>
      </w:pPr>
    </w:p>
    <w:p>
      <w:pPr>
        <w:ind w:left="100"/>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219">
        <w:r>
          <w:rPr>
            <w:rFonts w:ascii="Arial" w:cs="Arial" w:eastAsia="Arial" w:hAnsi="Arial"/>
            <w:sz w:val="17"/>
            <w:szCs w:val="17"/>
            <w:u w:val="single" w:color="auto"/>
            <w:color w:val="0000EE"/>
          </w:rPr>
          <w:t>Certification of the Registrant’s Chief Financial Officer pursuant to Rule 13a-14(a)/15d-14(a) of the Securities Exchange Act of</w:t>
        </w:r>
      </w:hyperlink>
    </w:p>
    <w:p>
      <w:pPr>
        <w:ind w:left="92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1934, as amended, as adopted pursuant to Section 302 of the Sarbanes-Oxley Act of 2002.</w:t>
        </w:r>
      </w:hyperlink>
    </w:p>
    <w:p>
      <w:pPr>
        <w:spacing w:after="0" w:line="104" w:lineRule="exact"/>
        <w:rPr>
          <w:sz w:val="20"/>
          <w:szCs w:val="20"/>
          <w:color w:val="auto"/>
        </w:rPr>
      </w:pPr>
    </w:p>
    <w:p>
      <w:pPr>
        <w:ind w:left="920" w:right="480" w:hanging="817"/>
        <w:spacing w:after="0" w:line="246"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220">
        <w:r>
          <w:rPr>
            <w:rFonts w:ascii="Arial" w:cs="Arial" w:eastAsia="Arial" w:hAnsi="Arial"/>
            <w:sz w:val="18"/>
            <w:szCs w:val="18"/>
            <w:u w:val="single" w:color="auto"/>
            <w:color w:val="0000EE"/>
          </w:rPr>
          <w:t>Certifications of the Registrant’s Chief Executive Officer and Chief Financial Officer pursuant to 18 U.S.C. 1350, as adopted</w:t>
        </w:r>
      </w:hyperlink>
      <w:r>
        <w:rPr>
          <w:rFonts w:ascii="Arial" w:cs="Arial" w:eastAsia="Arial" w:hAnsi="Arial"/>
          <w:sz w:val="18"/>
          <w:szCs w:val="18"/>
          <w:u w:val="single" w:color="auto"/>
          <w:color w:val="0000EE"/>
        </w:rPr>
        <w:t xml:space="preserve"> </w:t>
      </w:r>
      <w:hyperlink w:anchor="page220">
        <w:r>
          <w:rPr>
            <w:rFonts w:ascii="Arial" w:cs="Arial" w:eastAsia="Arial" w:hAnsi="Arial"/>
            <w:sz w:val="18"/>
            <w:szCs w:val="18"/>
            <w:u w:val="single" w:color="auto"/>
            <w:color w:val="0000EE"/>
          </w:rPr>
          <w:t>pursuant to Section 906 of the Sarbanes-Oxley Act of 2002.</w:t>
        </w:r>
      </w:hyperlink>
    </w:p>
    <w:p>
      <w:pPr>
        <w:spacing w:after="0" w:line="89" w:lineRule="exact"/>
        <w:rPr>
          <w:sz w:val="20"/>
          <w:szCs w:val="20"/>
          <w:color w:val="auto"/>
        </w:rPr>
      </w:pPr>
    </w:p>
    <w:p>
      <w:pPr>
        <w:jc w:val="both"/>
        <w:ind w:left="920" w:hanging="917"/>
        <w:spacing w:after="0" w:line="239"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The following materials from Mondelēz International’s Annual Report on Form 10-K for the fiscal year ended December 31, 2017, formatted in XBRL (eXtensible Business Reporting Language): (i) the Consolidated Statements of Earnings, (ii) the Consolidated Statements of Comprehensive Earnings, (iii) the Consolidated Balance Sheets, (iv) the Consolidated Statements of Equity, (v) the Consolidated Statements of Cash Flows and (vi) Notes to Consolidated Financial Statements.</w:t>
      </w:r>
    </w:p>
    <w:p>
      <w:pPr>
        <w:spacing w:after="0" w:line="107" w:lineRule="exact"/>
        <w:rPr>
          <w:sz w:val="20"/>
          <w:szCs w:val="20"/>
          <w:color w:val="auto"/>
        </w:rPr>
      </w:pPr>
    </w:p>
    <w:p>
      <w:pPr>
        <w:ind w:left="1260" w:right="760" w:hanging="297"/>
        <w:spacing w:after="0" w:line="246" w:lineRule="auto"/>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request, Mondelēz International, Inc. agrees to furnish to the U.S. Securities and Exchange Commission, on a supplemental basis, a copy of any omitted schedule or exhibit to such agreement.</w:t>
      </w:r>
    </w:p>
    <w:p>
      <w:pPr>
        <w:spacing w:after="0" w:line="102" w:lineRule="exact"/>
        <w:rPr>
          <w:sz w:val="20"/>
          <w:szCs w:val="20"/>
          <w:color w:val="auto"/>
        </w:rPr>
      </w:pPr>
    </w:p>
    <w:p>
      <w:pPr>
        <w:ind w:left="1260" w:right="220" w:hanging="297"/>
        <w:spacing w:after="0" w:line="246" w:lineRule="auto"/>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spacing w:after="0" w:line="102" w:lineRule="exact"/>
        <w:rPr>
          <w:sz w:val="20"/>
          <w:szCs w:val="20"/>
          <w:color w:val="auto"/>
        </w:rPr>
      </w:pPr>
    </w:p>
    <w:p>
      <w:pPr>
        <w:ind w:left="1260" w:hanging="297"/>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-1905</wp:posOffset>
            </wp:positionV>
            <wp:extent cx="26587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(Brian T. Gladden</w:t>
      </w:r>
    </w:p>
    <w:p>
      <w:pPr>
        <w:ind w:left="724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1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Signature</w:t>
            </w:r>
          </w:p>
        </w:tc>
        <w:tc>
          <w:tcPr>
            <w:tcW w:w="2040" w:type="dxa"/>
            <w:vAlign w:val="bottom"/>
          </w:tcPr>
          <w:p>
            <w:pPr>
              <w:spacing w:after="0"/>
              <w:rPr>
                <w:sz w:val="15"/>
                <w:szCs w:val="15"/>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9"/>
        </w:trPr>
        <w:tc>
          <w:tcPr>
            <w:tcW w:w="16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4"/>
              </w:rPr>
              <w:t>/s/</w:t>
            </w:r>
          </w:p>
        </w:tc>
        <w:tc>
          <w:tcPr>
            <w:tcW w:w="10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8"/>
              </w:rPr>
              <w:t>DIRK VAN DE PUT</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 and</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97"/>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(Dirk Van de Put)</w:t>
            </w:r>
          </w:p>
        </w:tc>
        <w:tc>
          <w:tcPr>
            <w:tcW w:w="4240" w:type="dxa"/>
            <w:vAlign w:val="bottom"/>
            <w:gridSpan w:val="3"/>
          </w:tcPr>
          <w:p>
            <w:pPr>
              <w:ind w:left="840"/>
              <w:spacing w:after="0" w:line="197" w:lineRule="exact"/>
              <w:rPr>
                <w:sz w:val="20"/>
                <w:szCs w:val="20"/>
                <w:color w:val="auto"/>
              </w:rPr>
            </w:pPr>
            <w:r>
              <w:rPr>
                <w:rFonts w:ascii="Arial" w:cs="Arial" w:eastAsia="Arial" w:hAnsi="Arial"/>
                <w:sz w:val="18"/>
                <w:szCs w:val="18"/>
                <w:color w:val="auto"/>
              </w:rPr>
              <w:t>Chief Executive Officer</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8"/>
              </w:rPr>
              <w:t>BRIAN T. GLADDEN</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Executive Vice President and</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97"/>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(Brian T. Gladden)</w:t>
            </w:r>
          </w:p>
        </w:tc>
        <w:tc>
          <w:tcPr>
            <w:tcW w:w="4240" w:type="dxa"/>
            <w:vAlign w:val="bottom"/>
            <w:gridSpan w:val="3"/>
          </w:tcPr>
          <w:p>
            <w:pPr>
              <w:ind w:left="840"/>
              <w:spacing w:after="0" w:line="197" w:lineRule="exact"/>
              <w:rPr>
                <w:sz w:val="20"/>
                <w:szCs w:val="20"/>
                <w:color w:val="auto"/>
              </w:rPr>
            </w:pPr>
            <w:r>
              <w:rPr>
                <w:rFonts w:ascii="Arial" w:cs="Arial" w:eastAsia="Arial" w:hAnsi="Arial"/>
                <w:sz w:val="18"/>
                <w:szCs w:val="18"/>
                <w:color w:val="auto"/>
              </w:rPr>
              <w:t>Chief Financial Officer</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69"/>
        </w:trPr>
        <w:tc>
          <w:tcPr>
            <w:tcW w:w="164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9"/>
              </w:rPr>
              <w:t>NELSON URDANETA</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Vice President,</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3"/>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(Nelson Urdaneta)</w:t>
            </w:r>
          </w:p>
        </w:tc>
        <w:tc>
          <w:tcPr>
            <w:tcW w:w="4240" w:type="dxa"/>
            <w:vAlign w:val="bottom"/>
            <w:gridSpan w:val="3"/>
          </w:tcPr>
          <w:p>
            <w:pPr>
              <w:ind w:left="840"/>
              <w:spacing w:after="0" w:line="182" w:lineRule="exact"/>
              <w:rPr>
                <w:sz w:val="20"/>
                <w:szCs w:val="20"/>
                <w:color w:val="auto"/>
              </w:rPr>
            </w:pPr>
            <w:r>
              <w:rPr>
                <w:rFonts w:ascii="Arial" w:cs="Arial" w:eastAsia="Arial" w:hAnsi="Arial"/>
                <w:sz w:val="18"/>
                <w:szCs w:val="18"/>
                <w:color w:val="auto"/>
              </w:rPr>
              <w:t>Corporate Controller and</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7"/>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Chief Accounting Officer</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0"/>
        </w:trPr>
        <w:tc>
          <w:tcPr>
            <w:tcW w:w="16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9"/>
              </w:rPr>
              <w:t>IRENE B. ROSENFELD</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Chairman of the Board of Directors</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225"/>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(Irene B. Rosenfeld)</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5"/>
        </w:trPr>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LEWIS W.K. BOOTH</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(Lewis W.K. Booth)</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64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9"/>
              </w:rPr>
              <w:t>CHARLES E. BUNCH</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(Charles E. Bunch)</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74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rPr>
              <w:t>LOIS D. JULIBER</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(Lois D. Juliber)</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6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MARK D. KETCHUM</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(Mark D. Ketchum)</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9"/>
              </w:rPr>
              <w:t>JORGE S. MESQUITA</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(Jorge S. Mesquita)</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6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9"/>
              </w:rPr>
              <w:t>JOSEPH NEUBAUER</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(Joseph Neubauer)</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740" w:type="dxa"/>
            <w:vAlign w:val="bottom"/>
            <w:tcBorders>
              <w:bottom w:val="single" w:sz="8" w:color="auto"/>
            </w:tcBorders>
            <w:gridSpan w:val="2"/>
          </w:tcPr>
          <w:p>
            <w:pPr>
              <w:ind w:left="1540"/>
              <w:spacing w:after="0"/>
              <w:rPr>
                <w:sz w:val="20"/>
                <w:szCs w:val="20"/>
                <w:color w:val="auto"/>
              </w:rPr>
            </w:pPr>
            <w:r>
              <w:rPr>
                <w:rFonts w:ascii="Arial" w:cs="Arial" w:eastAsia="Arial" w:hAnsi="Arial"/>
                <w:sz w:val="18"/>
                <w:szCs w:val="18"/>
                <w:color w:val="auto"/>
                <w:w w:val="94"/>
              </w:rPr>
              <w:t>/s/</w:t>
            </w:r>
          </w:p>
        </w:tc>
        <w:tc>
          <w:tcPr>
            <w:tcW w:w="34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9"/>
              </w:rPr>
              <w:t>NELSON PELTZ</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(Nelson Peltz)</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520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color w:val="auto"/>
              </w:rPr>
              <w:t>/s/  FREDRIC G. REYNOLDS</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(Fredric G. Reynolds)</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9"/>
              </w:rPr>
              <w:t>CHRISTIANA S. SHI</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(Christiana S. Shi)</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6"/>
              </w:rPr>
              <w:t>PATRICK T. SIEWERT</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(Patrick T. Siewert)</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5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/s/ JEAN-FRANÇOIS M. L. VAN BOXMEER</w:t>
            </w:r>
          </w:p>
        </w:tc>
        <w:tc>
          <w:tcPr>
            <w:tcW w:w="424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600"/>
              <w:spacing w:after="0"/>
              <w:rPr>
                <w:sz w:val="20"/>
                <w:szCs w:val="20"/>
                <w:color w:val="auto"/>
              </w:rPr>
            </w:pPr>
            <w:r>
              <w:rPr>
                <w:rFonts w:ascii="Arial" w:cs="Arial" w:eastAsia="Arial" w:hAnsi="Arial"/>
                <w:sz w:val="18"/>
                <w:szCs w:val="18"/>
                <w:color w:val="auto"/>
                <w:w w:val="99"/>
              </w:rPr>
              <w:t>February 9, 2018</w:t>
            </w:r>
          </w:p>
        </w:tc>
      </w:tr>
      <w:tr>
        <w:trPr>
          <w:trHeight w:val="184"/>
        </w:trPr>
        <w:tc>
          <w:tcPr>
            <w:tcW w:w="5200" w:type="dxa"/>
            <w:vAlign w:val="bottom"/>
            <w:gridSpan w:val="5"/>
          </w:tcPr>
          <w:p>
            <w:pPr>
              <w:jc w:val="center"/>
              <w:spacing w:after="0"/>
              <w:rPr>
                <w:sz w:val="20"/>
                <w:szCs w:val="20"/>
                <w:color w:val="auto"/>
              </w:rPr>
            </w:pPr>
            <w:r>
              <w:rPr>
                <w:rFonts w:ascii="Arial" w:cs="Arial" w:eastAsia="Arial" w:hAnsi="Arial"/>
                <w:sz w:val="14"/>
                <w:szCs w:val="14"/>
                <w:b w:val="1"/>
                <w:bCs w:val="1"/>
                <w:color w:val="auto"/>
              </w:rPr>
              <w:t>(Jean-François M. L. van Boxmeer)</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50"/>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40" w:type="dxa"/>
            <w:vAlign w:val="bottom"/>
          </w:tcPr>
          <w:p>
            <w:pPr>
              <w:ind w:left="36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 2017, 2016 and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6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Col. A</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Col. B</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Col. C</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Col. D</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 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Balance at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right"/>
              <w:ind w:right="612"/>
              <w:spacing w:after="0" w:line="155" w:lineRule="exact"/>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140"/>
              <w:spacing w:after="0" w:line="151" w:lineRule="exact"/>
              <w:rPr>
                <w:sz w:val="20"/>
                <w:szCs w:val="20"/>
                <w:color w:val="auto"/>
              </w:rPr>
            </w:pPr>
            <w:r>
              <w:rPr>
                <w:rFonts w:ascii="Arial" w:cs="Arial" w:eastAsia="Arial" w:hAnsi="Arial"/>
                <w:sz w:val="14"/>
                <w:szCs w:val="14"/>
                <w:b w:val="1"/>
                <w:bCs w:val="1"/>
                <w:color w:val="auto"/>
              </w:rPr>
              <w:t>Charged to</w:t>
            </w:r>
          </w:p>
        </w:tc>
        <w:tc>
          <w:tcPr>
            <w:tcW w:w="80" w:type="dxa"/>
            <w:vAlign w:val="bottom"/>
          </w:tcPr>
          <w:p>
            <w:pPr>
              <w:spacing w:after="0"/>
              <w:rPr>
                <w:sz w:val="13"/>
                <w:szCs w:val="13"/>
                <w:color w:val="auto"/>
              </w:rPr>
            </w:pPr>
          </w:p>
        </w:tc>
        <w:tc>
          <w:tcPr>
            <w:tcW w:w="92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8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Beginning</w:t>
            </w:r>
          </w:p>
        </w:tc>
        <w:tc>
          <w:tcPr>
            <w:tcW w:w="8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Costs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End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Period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Accounts</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Allowance for trade receivables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other current receivables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Allowance for long-term receivables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Allowance for trade receivables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other current receivables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Allowance for long-term receivables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Allowance for trade receivables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other current receivables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Allowance for long-term receivables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Primarily related to divestitures, acquisitions and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charges for which allowances were created.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February 3,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DEFERRED STOCK UNIT AGREEMENT</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MONDELĒZ INTERNATIONAL, INC., a Virginia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to the employee (the “</w:t>
      </w:r>
      <w:r>
        <w:rPr>
          <w:rFonts w:ascii="Arial" w:cs="Arial" w:eastAsia="Arial" w:hAnsi="Arial"/>
          <w:sz w:val="17"/>
          <w:szCs w:val="17"/>
          <w:u w:val="single" w:color="auto"/>
          <w:color w:val="auto"/>
        </w:rPr>
        <w:t>Employee</w:t>
      </w:r>
      <w:r>
        <w:rPr>
          <w:rFonts w:ascii="Arial" w:cs="Arial" w:eastAsia="Arial" w:hAnsi="Arial"/>
          <w:sz w:val="17"/>
          <w:szCs w:val="17"/>
          <w:color w:val="auto"/>
        </w:rPr>
        <w:t>”) named in the award statement provided to the Employee (the “</w:t>
      </w:r>
      <w:r>
        <w:rPr>
          <w:rFonts w:ascii="Arial" w:cs="Arial" w:eastAsia="Arial" w:hAnsi="Arial"/>
          <w:sz w:val="17"/>
          <w:szCs w:val="17"/>
          <w:u w:val="single" w:color="auto"/>
          <w:color w:val="auto"/>
        </w:rPr>
        <w:t>Award Statement</w:t>
      </w:r>
      <w:r>
        <w:rPr>
          <w:rFonts w:ascii="Arial" w:cs="Arial" w:eastAsia="Arial" w:hAnsi="Arial"/>
          <w:sz w:val="17"/>
          <w:szCs w:val="17"/>
          <w:color w:val="auto"/>
        </w:rPr>
        <w:t>”) as of the date set forth in the Award Statement (the “</w:t>
      </w:r>
      <w:r>
        <w:rPr>
          <w:rFonts w:ascii="Arial" w:cs="Arial" w:eastAsia="Arial" w:hAnsi="Arial"/>
          <w:sz w:val="17"/>
          <w:szCs w:val="17"/>
          <w:u w:val="single" w:color="auto"/>
          <w:color w:val="auto"/>
        </w:rPr>
        <w:t>Grant Date</w:t>
      </w:r>
      <w:r>
        <w:rPr>
          <w:rFonts w:ascii="Arial" w:cs="Arial" w:eastAsia="Arial" w:hAnsi="Arial"/>
          <w:sz w:val="17"/>
          <w:szCs w:val="17"/>
          <w:color w:val="auto"/>
        </w:rPr>
        <w:t>”) pursuant to the provisions of the Mondelēz International, Inc. Amended and Restated 2005 Performance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Deferred Stock Units (the “</w:t>
      </w:r>
      <w:r>
        <w:rPr>
          <w:rFonts w:ascii="Arial" w:cs="Arial" w:eastAsia="Arial" w:hAnsi="Arial"/>
          <w:sz w:val="17"/>
          <w:szCs w:val="17"/>
          <w:u w:val="single" w:color="auto"/>
          <w:color w:val="auto"/>
        </w:rPr>
        <w:t>Grant</w:t>
      </w:r>
      <w:r>
        <w:rPr>
          <w:rFonts w:ascii="Arial" w:cs="Arial" w:eastAsia="Arial" w:hAnsi="Arial"/>
          <w:sz w:val="17"/>
          <w:szCs w:val="17"/>
          <w:color w:val="auto"/>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Grant is subject to the following terms and conditions (including the country-specific terms set forth in Appendix A to this Agreement):</w:t>
      </w:r>
    </w:p>
    <w:p>
      <w:pPr>
        <w:spacing w:after="0" w:line="221"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84" w:lineRule="exact"/>
        <w:rPr>
          <w:sz w:val="20"/>
          <w:szCs w:val="20"/>
          <w:color w:val="auto"/>
        </w:rPr>
      </w:pPr>
    </w:p>
    <w:p>
      <w:pPr>
        <w:ind w:right="160" w:firstLine="464"/>
        <w:spacing w:after="0" w:line="264"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Except as expressly provided in this Agreement, the restrictions on the Deferred Stock Units shall lapse and the Deferred Stock Units shall vest on the Vesting Date shown in the Award Statement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that the Employee remains an active employee of the Mondelēz Group during the entire period commencing on the Grant Date and ending on the Vesting Date.</w:t>
      </w:r>
    </w:p>
    <w:p>
      <w:pPr>
        <w:spacing w:after="0" w:line="181" w:lineRule="exact"/>
        <w:rPr>
          <w:rFonts w:ascii="Arial" w:cs="Arial" w:eastAsia="Arial" w:hAnsi="Arial"/>
          <w:sz w:val="18"/>
          <w:szCs w:val="18"/>
          <w:color w:val="auto"/>
        </w:rPr>
      </w:pPr>
    </w:p>
    <w:p>
      <w:pPr>
        <w:ind w:right="20" w:firstLine="464"/>
        <w:spacing w:after="0" w:line="259"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Before Vesting Date</w:t>
      </w:r>
      <w:r>
        <w:rPr>
          <w:rFonts w:ascii="Arial" w:cs="Arial" w:eastAsia="Arial" w:hAnsi="Arial"/>
          <w:sz w:val="18"/>
          <w:szCs w:val="18"/>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78" w:lineRule="exact"/>
        <w:rPr>
          <w:rFonts w:ascii="Arial" w:cs="Arial" w:eastAsia="Arial" w:hAnsi="Arial"/>
          <w:sz w:val="18"/>
          <w:szCs w:val="18"/>
          <w:color w:val="auto"/>
        </w:rPr>
      </w:pPr>
    </w:p>
    <w:p>
      <w:pPr>
        <w:ind w:right="100" w:firstLine="921"/>
        <w:spacing w:after="0" w:line="277" w:lineRule="auto"/>
        <w:tabs>
          <w:tab w:leader="none" w:pos="11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Employee’s death or Disability (as defined below in Section 21), the restrictions on the Deferred Stock Units shall lapse and the Deferred Stock Units shall become fully vested on the date of death or Disability; or</w:t>
      </w:r>
    </w:p>
    <w:p>
      <w:pPr>
        <w:spacing w:after="0" w:line="62" w:lineRule="exact"/>
        <w:rPr>
          <w:rFonts w:ascii="Arial" w:cs="Arial" w:eastAsia="Arial" w:hAnsi="Arial"/>
          <w:sz w:val="18"/>
          <w:szCs w:val="18"/>
          <w:color w:val="auto"/>
        </w:rPr>
      </w:pPr>
    </w:p>
    <w:p>
      <w:pPr>
        <w:ind w:right="20" w:firstLine="921"/>
        <w:spacing w:after="0" w:line="273" w:lineRule="auto"/>
        <w:tabs>
          <w:tab w:leader="none" w:pos="1168" w:val="left"/>
        </w:tabs>
        <w:numPr>
          <w:ilvl w:val="1"/>
          <w:numId w:val="91"/>
        </w:numPr>
        <w:rPr>
          <w:rFonts w:ascii="Arial" w:cs="Arial" w:eastAsia="Arial" w:hAnsi="Arial"/>
          <w:sz w:val="17"/>
          <w:szCs w:val="17"/>
          <w:color w:val="auto"/>
        </w:rPr>
      </w:pPr>
      <w:r>
        <w:rPr>
          <w:rFonts w:ascii="Arial" w:cs="Arial" w:eastAsia="Arial" w:hAnsi="Arial"/>
          <w:sz w:val="17"/>
          <w:szCs w:val="17"/>
          <w:color w:val="auto"/>
        </w:rPr>
        <w:t>upon the Employee’s Retirement (as defined below in Section 21), or as otherwise determined by the Committee, and provided the Deferred Stock Units are not otherwise accounted for, or included in, the Employee’s severance or retirement arrangement with the Mondelēz Group and the Employee timely executes a general release and waiver of claims in a form and manner determined by the Company in its sole discretion, then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31" w:name="page132"/>
    <w:bookmarkEnd w:id="131"/>
    <w:p>
      <w:pPr>
        <w:ind w:right="1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67" w:lineRule="exact"/>
        <w:rPr>
          <w:sz w:val="20"/>
          <w:szCs w:val="20"/>
          <w:color w:val="auto"/>
        </w:rPr>
      </w:pPr>
    </w:p>
    <w:p>
      <w:pPr>
        <w:ind w:firstLine="464"/>
        <w:spacing w:after="0" w:line="279" w:lineRule="auto"/>
        <w:tabs>
          <w:tab w:leader="none" w:pos="636"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Voting and Dividend Rights</w:t>
      </w:r>
      <w:r>
        <w:rPr>
          <w:rFonts w:ascii="Arial" w:cs="Arial" w:eastAsia="Arial" w:hAnsi="Arial"/>
          <w:sz w:val="17"/>
          <w:szCs w:val="17"/>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Deferred Stock Units that have not been forfeited, as such dividends are paid.</w:t>
      </w:r>
    </w:p>
    <w:p>
      <w:pPr>
        <w:spacing w:after="0" w:line="171" w:lineRule="exact"/>
        <w:rPr>
          <w:rFonts w:ascii="Arial" w:cs="Arial" w:eastAsia="Arial" w:hAnsi="Arial"/>
          <w:sz w:val="17"/>
          <w:szCs w:val="17"/>
          <w:color w:val="auto"/>
        </w:rPr>
      </w:pPr>
    </w:p>
    <w:p>
      <w:pPr>
        <w:ind w:right="40" w:firstLine="464"/>
        <w:spacing w:after="0" w:line="259" w:lineRule="auto"/>
        <w:tabs>
          <w:tab w:leader="none" w:pos="636"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Section 8 below.</w:t>
      </w:r>
    </w:p>
    <w:p>
      <w:pPr>
        <w:spacing w:after="0" w:line="186" w:lineRule="exact"/>
        <w:rPr>
          <w:rFonts w:ascii="Arial" w:cs="Arial" w:eastAsia="Arial" w:hAnsi="Arial"/>
          <w:sz w:val="18"/>
          <w:szCs w:val="18"/>
          <w:color w:val="auto"/>
        </w:rPr>
      </w:pPr>
    </w:p>
    <w:p>
      <w:pPr>
        <w:ind w:right="80" w:firstLine="464"/>
        <w:spacing w:after="0" w:line="285" w:lineRule="auto"/>
        <w:tabs>
          <w:tab w:leader="none" w:pos="636"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The Employee acknowledges that regardless of any action taken by the Company or, if different, the Employee’s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the ultimate liability for all income tax, social security,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his or her responsibility and may exceed the amount actually withheld by the Company or the Employer. The Employee further acknowledges that the Company and/or the Employer</w:t>
      </w:r>
    </w:p>
    <w:p>
      <w:pPr>
        <w:spacing w:after="0" w:line="2" w:lineRule="exact"/>
        <w:rPr>
          <w:rFonts w:ascii="Arial" w:cs="Arial" w:eastAsia="Arial" w:hAnsi="Arial"/>
          <w:sz w:val="16"/>
          <w:szCs w:val="16"/>
          <w:color w:val="auto"/>
        </w:rPr>
      </w:pPr>
    </w:p>
    <w:p>
      <w:pPr>
        <w:ind w:right="220" w:firstLine="8"/>
        <w:spacing w:after="0" w:line="290" w:lineRule="auto"/>
        <w:tabs>
          <w:tab w:leader="none" w:pos="245"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make no representations or undertakings regarding the treatment of any Tax-Related Items in connection with any aspect of the Deferred Stock Units, including the grant, vesting or payment of this Grant,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spacing w:after="0" w:line="16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“theoretical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2" w:name="page133"/>
    <w:bookmarkEnd w:id="132"/>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Section 5) and any theoretical taxes from the Employee’s wages or other cash compensation paid by the Company and/or the Employer or from proceeds of the sale of the shares of Common Stock issued upon vesting of the Deferred Stock Units. Alternatively, or in addition, the Company may (i) deduct the number of Deferred Stock Units having an aggregate value equal to the amount of Tax-Related Items and any theoretical taxes due from the total number of Deferred Stock Units awarded, vested, paid or otherwise becoming subject to current taxation; (ii) instruct the broker it has selected for this purpose (on the Employee’s behalf and at the Employee’s direction pursuant to this authorization without further consent) to sell any shares of Common Stock that the Employee acquires upon vesting of the Deferred Stock Units to meet the Tax-Related Items withholding obligation and any theoretical taxes, except to the extent that such a sale would violate any U.S. federal securities law or other applicable law; and/or (iii) satisfy the Tax-Related Items and any theoretical taxes arising from the granting or vesting of this Grant, as the case may be, through any other method established by the Company. Notwithstanding the foregoing, if the Employee is subject to the short-swing profit rules of Section 16(b) of the Exchange Act , the Company will withhold in Deferred Stock Units upon the relevant withholding event or the Committee may determine that a particular method be used to satisfy any required withholding. Finally, the Employee agrees to pay to the Company or the Employer any amount of Tax-Related Items and any theoretical taxes that the Company or the Employer may be required to withhold or account for as a result of the Employee’s participation in the Plan that cannot be satisfied by the means previously described.</w:t>
      </w:r>
    </w:p>
    <w:p>
      <w:pPr>
        <w:spacing w:after="0" w:line="18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Depending upon the withholding method, the Company may withhold or account for Tax-Related Items and any theoretical taxes by considering applicable minimum statutory withholding amounts (in accordance with Section 14(d) of the Plan) or other applicable withholding rates, including maximum applicable rates, in which case the Employee may receive a refund of any over-withheld amount in cash and will have no entitlement to the equivalent shares of Common Stock. If the obligation for Tax-Related Items is satisfied by withholding in Deferred Stock Units, for tax purposes, the Employee is deemed to have been issued the full number of shares of Common Stock underlying the Grant, notwithstanding that a number of Deferred Stock Units are held back solely for the purpose of paying the Tax-Related Items and/or any theoretical taxes due as a result of any aspect of the Employee’s participation in the Plan.</w:t>
      </w:r>
    </w:p>
    <w:p>
      <w:pPr>
        <w:spacing w:after="0" w:line="165" w:lineRule="exact"/>
        <w:rPr>
          <w:sz w:val="20"/>
          <w:szCs w:val="20"/>
          <w:color w:val="auto"/>
        </w:rPr>
      </w:pPr>
    </w:p>
    <w:p>
      <w:pPr>
        <w:ind w:right="280" w:firstLine="464"/>
        <w:spacing w:after="0" w:line="277" w:lineRule="auto"/>
        <w:tabs>
          <w:tab w:leader="none" w:pos="63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70" w:lineRule="exact"/>
        <w:rPr>
          <w:rFonts w:ascii="Arial" w:cs="Arial" w:eastAsia="Arial" w:hAnsi="Arial"/>
          <w:sz w:val="18"/>
          <w:szCs w:val="18"/>
          <w:color w:val="auto"/>
        </w:rPr>
      </w:pPr>
    </w:p>
    <w:p>
      <w:pPr>
        <w:ind w:right="20" w:firstLine="464"/>
        <w:spacing w:after="0" w:line="273" w:lineRule="auto"/>
        <w:tabs>
          <w:tab w:leader="none" w:pos="63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Payment of Deferred Stock Units</w:t>
      </w:r>
      <w:r>
        <w:rPr>
          <w:rFonts w:ascii="Arial" w:cs="Arial" w:eastAsia="Arial" w:hAnsi="Arial"/>
          <w:sz w:val="17"/>
          <w:szCs w:val="17"/>
          <w:color w:val="auto"/>
        </w:rPr>
        <w:t>. Each Deferred Stock Unit granted pursuant to this Grant represents an unfunded and unsecured promise of the Company to issue to the Employee, on or as soon as practicable, but not later than 30 days, after the date the Deferred Stock Units vest pursuant to Section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such issuance shall be made to the Employee (or, in the event of his or her death to the Employee’s estate or beneficiary as provided above) in the form of Common Stock as soon as practicable following the vesting of the Deferred Stock Units pursuant to Section 1 or 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3" w:name="page134"/>
    <w:bookmarkEnd w:id="133"/>
    <w:p>
      <w:pPr>
        <w:ind w:left="-60" w:firstLine="464"/>
        <w:spacing w:after="0" w:line="269" w:lineRule="auto"/>
        <w:tabs>
          <w:tab w:leader="none" w:pos="576"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Payment Provisions</w:t>
      </w:r>
      <w:r>
        <w:rPr>
          <w:rFonts w:ascii="Arial" w:cs="Arial" w:eastAsia="Arial" w:hAnsi="Arial"/>
          <w:sz w:val="17"/>
          <w:szCs w:val="17"/>
          <w:color w:val="auto"/>
        </w:rPr>
        <w:t>. Notwithstanding anything in this Agreement to the contrary, if the Employee (i) is subject to U.S. federal income tax on any part of the payment of the Deferred Stock Units, (ii) is a “specified employee” within the meaning of Section 409A(a)(2)(B)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and (iii) will become eligible for Retirement (A) for Deferred Stock Units with a Vesting Date between January 1 and March 15, before the calendar year preceding the Vesting Date and (B) for Deferred Stock Units with a Vesting Date after March 15, before the calendar year in which such Vesting Date occurs, then any payment of Deferred Stock Units under Section 7 that is on account of his or her separation from service within the meaning of Section 409A(a)(2)(A)(i) of the Code shall be delayed until six months following such separation from service. In addition, if such an Employee is not vested in his or her Deferred Stock Units, and the Employee (i) becomes eligible for Retirement while employed by a subsidiary or affiliate of the Company that would not be a “service recipient” with respect to the Grant within the meaning of the regulations under Section 409A of the Code or (ii) becomes eligible for Retirement and subsequently transfers to a subsidiary or affiliate of the Company that would not be a “service recipient” with respect to the Grant within the meaning of the regulations under Section 409A of the Code, then the Employee’s Deferred Stock Units shall be paid to the Employee at such time in accordance with Section 7 (based on the value of shares of Common Stock at the time of payment), subject to a six-month delay from the date treated as a separation from service within the meaning of Section 409A(a)(2)(A)(i) of the Code.</w:t>
      </w:r>
    </w:p>
    <w:p>
      <w:pPr>
        <w:spacing w:after="0" w:line="179" w:lineRule="exact"/>
        <w:rPr>
          <w:rFonts w:ascii="Arial" w:cs="Arial" w:eastAsia="Arial" w:hAnsi="Arial"/>
          <w:sz w:val="17"/>
          <w:szCs w:val="17"/>
          <w:color w:val="auto"/>
        </w:rPr>
      </w:pPr>
    </w:p>
    <w:p>
      <w:pPr>
        <w:ind w:left="580" w:hanging="176"/>
        <w:spacing w:after="0"/>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Restrictions and Covenants</w:t>
      </w:r>
      <w:r>
        <w:rPr>
          <w:rFonts w:ascii="Arial" w:cs="Arial" w:eastAsia="Arial" w:hAnsi="Arial"/>
          <w:sz w:val="18"/>
          <w:szCs w:val="18"/>
          <w:color w:val="auto"/>
        </w:rPr>
        <w:t>.</w:t>
      </w:r>
    </w:p>
    <w:p>
      <w:pPr>
        <w:spacing w:after="0" w:line="117" w:lineRule="exact"/>
        <w:rPr>
          <w:sz w:val="20"/>
          <w:szCs w:val="20"/>
          <w:color w:val="auto"/>
        </w:rPr>
      </w:pPr>
    </w:p>
    <w:p>
      <w:pPr>
        <w:ind w:left="-60" w:right="140" w:firstLine="464"/>
        <w:spacing w:after="0" w:line="264" w:lineRule="auto"/>
        <w:tabs>
          <w:tab w:leader="none" w:pos="641"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spacing w:after="0" w:line="86" w:lineRule="exact"/>
        <w:rPr>
          <w:rFonts w:ascii="Arial" w:cs="Arial" w:eastAsia="Arial" w:hAnsi="Arial"/>
          <w:sz w:val="18"/>
          <w:szCs w:val="18"/>
          <w:color w:val="auto"/>
        </w:rPr>
      </w:pPr>
    </w:p>
    <w:p>
      <w:pPr>
        <w:ind w:left="1420" w:hanging="567"/>
        <w:spacing w:after="0" w:line="287" w:lineRule="auto"/>
        <w:tabs>
          <w:tab w:leader="none" w:pos="14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Executive Vice President of Human Resources of the Company,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78" w:lineRule="exact"/>
        <w:rPr>
          <w:rFonts w:ascii="Arial" w:cs="Arial" w:eastAsia="Arial" w:hAnsi="Arial"/>
          <w:sz w:val="16"/>
          <w:szCs w:val="16"/>
          <w:color w:val="auto"/>
        </w:rPr>
      </w:pPr>
    </w:p>
    <w:p>
      <w:pPr>
        <w:ind w:left="1420" w:right="60" w:hanging="567"/>
        <w:spacing w:after="0" w:line="312" w:lineRule="auto"/>
        <w:tabs>
          <w:tab w:leader="none" w:pos="14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to protect the Mondelēz Group’s investment in its employees and to ensure the long-term success of the business, the Employee,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74" w:right="279" w:bottom="1440" w:gutter="0" w:footer="0" w:header="0"/>
        </w:sectPr>
      </w:pPr>
    </w:p>
    <w:bookmarkStart w:id="134" w:name="page135"/>
    <w:bookmarkEnd w:id="134"/>
    <w:p>
      <w:pPr>
        <w:ind w:left="1480" w:right="20" w:hanging="567"/>
        <w:spacing w:after="0" w:line="257"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provisions contained herein in Section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79" w:lineRule="exact"/>
        <w:rPr>
          <w:sz w:val="20"/>
          <w:szCs w:val="20"/>
          <w:color w:val="auto"/>
        </w:rPr>
      </w:pPr>
    </w:p>
    <w:p>
      <w:pPr>
        <w:jc w:val="both"/>
        <w:ind w:right="460" w:firstLine="464"/>
        <w:spacing w:after="0" w:line="259"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Section 9(a):</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unvested Grants (including any unvested Deferred Stock Units) shall be immediately forfeited;</w:t>
      </w:r>
    </w:p>
    <w:p>
      <w:pPr>
        <w:spacing w:after="0" w:line="130" w:lineRule="exact"/>
        <w:rPr>
          <w:rFonts w:ascii="Arial" w:cs="Arial" w:eastAsia="Arial" w:hAnsi="Arial"/>
          <w:sz w:val="18"/>
          <w:szCs w:val="18"/>
          <w:color w:val="auto"/>
        </w:rPr>
      </w:pPr>
    </w:p>
    <w:p>
      <w:pPr>
        <w:ind w:left="1480" w:right="220" w:hanging="567"/>
        <w:spacing w:after="0" w:line="264"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Section 9(a);</w:t>
      </w:r>
    </w:p>
    <w:p>
      <w:pPr>
        <w:spacing w:after="0" w:line="86" w:lineRule="exact"/>
        <w:rPr>
          <w:rFonts w:ascii="Arial" w:cs="Arial" w:eastAsia="Arial" w:hAnsi="Arial"/>
          <w:sz w:val="18"/>
          <w:szCs w:val="18"/>
          <w:color w:val="auto"/>
        </w:rPr>
      </w:pPr>
    </w:p>
    <w:p>
      <w:pPr>
        <w:ind w:left="1480" w:hanging="567"/>
        <w:spacing w:after="0" w:line="272" w:lineRule="auto"/>
        <w:tabs>
          <w:tab w:leader="none" w:pos="14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Employee shall repay to the Mondelēz Group the net proceeds of any Plan benefit that occurs at any time after the earlier of the following two dates: (i) the date twelve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to the extent that such set-off is not inconsistent with Section 409A of the Code or other applicable law. For purposes of this paragraph, net proceeds shall mean the fair market value of the shares of Common Stock less any Tax-Related Items; and</w:t>
      </w:r>
    </w:p>
    <w:p>
      <w:pPr>
        <w:spacing w:after="0" w:line="83" w:lineRule="exact"/>
        <w:rPr>
          <w:rFonts w:ascii="Arial" w:cs="Arial" w:eastAsia="Arial" w:hAnsi="Arial"/>
          <w:sz w:val="17"/>
          <w:szCs w:val="17"/>
          <w:color w:val="auto"/>
        </w:rPr>
      </w:pPr>
    </w:p>
    <w:p>
      <w:pPr>
        <w:ind w:left="1480" w:right="20" w:hanging="567"/>
        <w:spacing w:after="0" w:line="297" w:lineRule="auto"/>
        <w:tabs>
          <w:tab w:leader="none" w:pos="14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5" w:name="page136"/>
    <w:bookmarkEnd w:id="135"/>
    <w:p>
      <w:pPr>
        <w:ind w:right="280" w:firstLine="464"/>
        <w:spacing w:after="0" w:line="259" w:lineRule="auto"/>
        <w:tabs>
          <w:tab w:leader="none" w:pos="701"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provision contained in this Section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Notwithstanding the foregoing, no section of this Agreement is intended to or shall limit, prevent, impede or interfere with the Employee’s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non-waivable right, without prior notice to the Company, to provide information to the government, participate in investigations, testify in proceedings regarding the Mondelēz Group’s past or future conduct, engage in any activities protected under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spacing w:after="0" w:line="191" w:lineRule="exact"/>
        <w:rPr>
          <w:sz w:val="20"/>
          <w:szCs w:val="20"/>
          <w:color w:val="auto"/>
        </w:rPr>
      </w:pPr>
    </w:p>
    <w:p>
      <w:pPr>
        <w:ind w:right="60" w:firstLine="464"/>
        <w:spacing w:after="0" w:line="291" w:lineRule="auto"/>
        <w:tabs>
          <w:tab w:leader="none" w:pos="72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Clawback Policy/ Forfeiture</w:t>
      </w:r>
      <w:r>
        <w:rPr>
          <w:rFonts w:ascii="Arial" w:cs="Arial" w:eastAsia="Arial" w:hAnsi="Arial"/>
          <w:sz w:val="16"/>
          <w:szCs w:val="16"/>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Section 9 above, from time to time. In addition, any payments or benefits the Employee may receive hereunder shall be subject to repayment or forfeiture as may be required to comply with the requirements under the U.S.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67" w:lineRule="exact"/>
        <w:rPr>
          <w:rFonts w:ascii="Arial" w:cs="Arial" w:eastAsia="Arial" w:hAnsi="Arial"/>
          <w:sz w:val="16"/>
          <w:szCs w:val="16"/>
          <w:color w:val="auto"/>
        </w:rPr>
      </w:pPr>
    </w:p>
    <w:p>
      <w:pPr>
        <w:ind w:right="40" w:firstLine="464"/>
        <w:spacing w:after="0" w:line="277"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Original Issue or Transfer Taxes</w:t>
      </w:r>
      <w:r>
        <w:rPr>
          <w:rFonts w:ascii="Arial" w:cs="Arial" w:eastAsia="Arial" w:hAnsi="Arial"/>
          <w:sz w:val="18"/>
          <w:szCs w:val="18"/>
          <w:color w:val="auto"/>
        </w:rPr>
        <w:t>. The Company shall pay all original issue or transfer taxes and all fees and expenses incident to the delivery of the shares of Common Stock underlying the vested Deferred Stock Units, except as otherwise provided in Section 5.</w:t>
      </w:r>
    </w:p>
    <w:p>
      <w:pPr>
        <w:spacing w:after="0" w:line="170" w:lineRule="exact"/>
        <w:rPr>
          <w:rFonts w:ascii="Arial" w:cs="Arial" w:eastAsia="Arial" w:hAnsi="Arial"/>
          <w:sz w:val="18"/>
          <w:szCs w:val="18"/>
          <w:color w:val="auto"/>
        </w:rPr>
      </w:pPr>
    </w:p>
    <w:p>
      <w:pPr>
        <w:ind w:firstLine="464"/>
        <w:spacing w:after="0" w:line="302" w:lineRule="auto"/>
        <w:tabs>
          <w:tab w:leader="none" w:pos="72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Grant Confers No Rights to Continued Employment</w:t>
      </w:r>
      <w:r>
        <w:rPr>
          <w:rFonts w:ascii="Arial" w:cs="Arial" w:eastAsia="Arial" w:hAnsi="Arial"/>
          <w:sz w:val="16"/>
          <w:szCs w:val="16"/>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54" w:lineRule="exact"/>
        <w:rPr>
          <w:rFonts w:ascii="Arial" w:cs="Arial" w:eastAsia="Arial" w:hAnsi="Arial"/>
          <w:sz w:val="16"/>
          <w:szCs w:val="16"/>
          <w:color w:val="auto"/>
        </w:rPr>
      </w:pPr>
    </w:p>
    <w:p>
      <w:pPr>
        <w:ind w:left="740" w:hanging="276"/>
        <w:spacing w:after="0"/>
        <w:tabs>
          <w:tab w:leader="none" w:pos="7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In accepting the Deferred Stock Units, the Employee acknowledges, understands, and agrees that:</w:t>
      </w:r>
    </w:p>
    <w:p>
      <w:pPr>
        <w:spacing w:after="0" w:line="117" w:lineRule="exact"/>
        <w:rPr>
          <w:rFonts w:ascii="Arial" w:cs="Arial" w:eastAsia="Arial" w:hAnsi="Arial"/>
          <w:sz w:val="18"/>
          <w:szCs w:val="18"/>
          <w:color w:val="auto"/>
        </w:rPr>
      </w:pPr>
    </w:p>
    <w:p>
      <w:pPr>
        <w:ind w:firstLine="921"/>
        <w:spacing w:after="0" w:line="277" w:lineRule="auto"/>
        <w:tabs>
          <w:tab w:leader="none" w:pos="115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36" w:name="page137"/>
    <w:bookmarkEnd w:id="136"/>
    <w:p>
      <w:pPr>
        <w:ind w:left="-60" w:right="240" w:firstLine="921"/>
        <w:spacing w:after="0" w:line="277"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 is exceptional, voluntary and occasional and does not create any contractual or other right to receive future Grants, or benefits in lieu of Deferred Stock Units, even if Deferred Stock Units have been granted in the past;</w:t>
      </w:r>
    </w:p>
    <w:p>
      <w:pPr>
        <w:spacing w:after="0" w:line="62" w:lineRule="exact"/>
        <w:rPr>
          <w:rFonts w:ascii="Arial" w:cs="Arial" w:eastAsia="Arial" w:hAnsi="Arial"/>
          <w:sz w:val="18"/>
          <w:szCs w:val="18"/>
          <w:color w:val="auto"/>
        </w:rPr>
      </w:pPr>
    </w:p>
    <w:p>
      <w:pPr>
        <w:ind w:left="1100" w:hanging="239"/>
        <w:spacing w:after="0"/>
        <w:tabs>
          <w:tab w:leader="none" w:pos="11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decisions with respect to future Grants, if any, will be at the sole discretion of the Committee;</w:t>
      </w:r>
    </w:p>
    <w:p>
      <w:pPr>
        <w:spacing w:after="0" w:line="117" w:lineRule="exact"/>
        <w:rPr>
          <w:rFonts w:ascii="Arial" w:cs="Arial" w:eastAsia="Arial" w:hAnsi="Arial"/>
          <w:sz w:val="18"/>
          <w:szCs w:val="18"/>
          <w:color w:val="auto"/>
        </w:rPr>
      </w:pPr>
    </w:p>
    <w:p>
      <w:pPr>
        <w:ind w:left="1120" w:hanging="259"/>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Employee’s participation in the Plan is voluntary;</w:t>
      </w:r>
    </w:p>
    <w:p>
      <w:pPr>
        <w:spacing w:after="0" w:line="117" w:lineRule="exact"/>
        <w:rPr>
          <w:rFonts w:ascii="Arial" w:cs="Arial" w:eastAsia="Arial" w:hAnsi="Arial"/>
          <w:sz w:val="18"/>
          <w:szCs w:val="18"/>
          <w:color w:val="auto"/>
        </w:rPr>
      </w:pPr>
    </w:p>
    <w:p>
      <w:pPr>
        <w:ind w:left="-60" w:right="280" w:firstLine="921"/>
        <w:spacing w:after="0" w:line="277" w:lineRule="auto"/>
        <w:tabs>
          <w:tab w:leader="none" w:pos="109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Deferred Stock Units and the shares of Common Stock, and the income and value of same, subject to the Deferred Stock Units are not intended to replace any pension rights or compensation;</w:t>
      </w:r>
    </w:p>
    <w:p>
      <w:pPr>
        <w:spacing w:after="0" w:line="62" w:lineRule="exact"/>
        <w:rPr>
          <w:rFonts w:ascii="Arial" w:cs="Arial" w:eastAsia="Arial" w:hAnsi="Arial"/>
          <w:sz w:val="18"/>
          <w:szCs w:val="18"/>
          <w:color w:val="auto"/>
        </w:rPr>
      </w:pPr>
    </w:p>
    <w:p>
      <w:pPr>
        <w:ind w:left="-60" w:firstLine="921"/>
        <w:spacing w:after="0" w:line="264" w:lineRule="auto"/>
        <w:tabs>
          <w:tab w:leader="none" w:pos="10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pension, retirement or welfare benefits or similar mandatory payments;</w:t>
      </w:r>
    </w:p>
    <w:p>
      <w:pPr>
        <w:spacing w:after="0" w:line="73" w:lineRule="exact"/>
        <w:rPr>
          <w:rFonts w:ascii="Arial" w:cs="Arial" w:eastAsia="Arial" w:hAnsi="Arial"/>
          <w:sz w:val="18"/>
          <w:szCs w:val="18"/>
          <w:color w:val="auto"/>
        </w:rPr>
      </w:pPr>
    </w:p>
    <w:p>
      <w:pPr>
        <w:ind w:left="1120" w:hanging="259"/>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117" w:lineRule="exact"/>
        <w:rPr>
          <w:rFonts w:ascii="Arial" w:cs="Arial" w:eastAsia="Arial" w:hAnsi="Arial"/>
          <w:sz w:val="18"/>
          <w:szCs w:val="18"/>
          <w:color w:val="auto"/>
        </w:rPr>
      </w:pPr>
    </w:p>
    <w:p>
      <w:pPr>
        <w:ind w:left="-60" w:right="100" w:firstLine="921"/>
        <w:spacing w:after="0" w:line="264"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spacing w:after="0" w:line="73" w:lineRule="exact"/>
        <w:rPr>
          <w:rFonts w:ascii="Arial" w:cs="Arial" w:eastAsia="Arial" w:hAnsi="Arial"/>
          <w:sz w:val="18"/>
          <w:szCs w:val="18"/>
          <w:color w:val="auto"/>
        </w:rPr>
      </w:pPr>
    </w:p>
    <w:p>
      <w:pPr>
        <w:ind w:left="-60" w:right="200" w:firstLine="921"/>
        <w:spacing w:after="0" w:line="259" w:lineRule="auto"/>
        <w:tabs>
          <w:tab w:leader="none" w:pos="10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78" w:lineRule="exact"/>
        <w:rPr>
          <w:rFonts w:ascii="Arial" w:cs="Arial" w:eastAsia="Arial" w:hAnsi="Arial"/>
          <w:sz w:val="18"/>
          <w:szCs w:val="18"/>
          <w:color w:val="auto"/>
        </w:rPr>
      </w:pPr>
    </w:p>
    <w:p>
      <w:pPr>
        <w:ind w:left="-60" w:right="60" w:firstLine="921"/>
        <w:spacing w:after="0" w:line="312" w:lineRule="auto"/>
        <w:tabs>
          <w:tab w:leader="none" w:pos="10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 and</w:t>
      </w:r>
    </w:p>
    <w:p>
      <w:pPr>
        <w:spacing w:after="0" w:line="38" w:lineRule="exact"/>
        <w:rPr>
          <w:rFonts w:ascii="Arial" w:cs="Arial" w:eastAsia="Arial" w:hAnsi="Arial"/>
          <w:sz w:val="16"/>
          <w:szCs w:val="16"/>
          <w:color w:val="auto"/>
        </w:rPr>
      </w:pPr>
    </w:p>
    <w:p>
      <w:pPr>
        <w:ind w:left="1120" w:hanging="259"/>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Employee is providing services outside the United States:</w:t>
      </w:r>
    </w:p>
    <w:p>
      <w:pPr>
        <w:spacing w:after="0" w:line="130" w:lineRule="exact"/>
        <w:rPr>
          <w:rFonts w:ascii="Arial" w:cs="Arial" w:eastAsia="Arial" w:hAnsi="Arial"/>
          <w:sz w:val="18"/>
          <w:szCs w:val="18"/>
          <w:color w:val="auto"/>
        </w:rPr>
      </w:pPr>
    </w:p>
    <w:p>
      <w:pPr>
        <w:ind w:left="1860" w:right="60" w:hanging="440"/>
        <w:spacing w:after="0" w:line="277" w:lineRule="auto"/>
        <w:tabs>
          <w:tab w:leader="none" w:pos="18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Deferred Stock Units and the shares of Common Stock subject to the Deferred Stock Units, and the income and value of same, are not part of normal or expected compensation or salary for any purpose;</w:t>
      </w:r>
    </w:p>
    <w:p>
      <w:pPr>
        <w:spacing w:after="0" w:line="75" w:lineRule="exact"/>
        <w:rPr>
          <w:rFonts w:ascii="Arial" w:cs="Arial" w:eastAsia="Arial" w:hAnsi="Arial"/>
          <w:sz w:val="18"/>
          <w:szCs w:val="18"/>
          <w:color w:val="auto"/>
        </w:rPr>
      </w:pPr>
    </w:p>
    <w:p>
      <w:pPr>
        <w:ind w:left="1860" w:right="300" w:hanging="440"/>
        <w:spacing w:after="0" w:line="259" w:lineRule="auto"/>
        <w:tabs>
          <w:tab w:leader="none" w:pos="18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74" w:right="279" w:bottom="1440" w:gutter="0" w:footer="0" w:header="0"/>
        </w:sectPr>
      </w:pPr>
    </w:p>
    <w:bookmarkStart w:id="137" w:name="page138"/>
    <w:bookmarkEnd w:id="137"/>
    <w:p>
      <w:pPr>
        <w:ind w:left="1920" w:right="120" w:hanging="440"/>
        <w:spacing w:after="0" w:line="257" w:lineRule="auto"/>
        <w:tabs>
          <w:tab w:leader="none" w:pos="1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claim or entitlement to compensation or damages shall arise from forfeiture of the Deferred Stock Units resulting from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 and in consideration of the Grant, the Employee agrees not to institute any claim against the Mondelēz Group.</w:t>
      </w:r>
    </w:p>
    <w:p>
      <w:pPr>
        <w:spacing w:after="0" w:line="188" w:lineRule="exact"/>
        <w:rPr>
          <w:rFonts w:ascii="Arial" w:cs="Arial" w:eastAsia="Arial" w:hAnsi="Arial"/>
          <w:sz w:val="18"/>
          <w:szCs w:val="18"/>
          <w:color w:val="auto"/>
        </w:rPr>
      </w:pPr>
    </w:p>
    <w:p>
      <w:pPr>
        <w:jc w:val="both"/>
        <w:ind w:firstLine="464"/>
        <w:spacing w:after="0" w:line="264" w:lineRule="auto"/>
        <w:tabs>
          <w:tab w:leader="none" w:pos="726"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The Employee hereby explicitly and unambiguously consents to the collection, use and transfer, in electronic or other form, of his or her personal data as described in this Agreement and any other grant materials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by and among the Mondelēz Group for the exclusive purpose of implementing, administering and managing Employee’s participation in the Plan.</w:t>
      </w:r>
    </w:p>
    <w:p>
      <w:pPr>
        <w:spacing w:after="0" w:line="2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salary, nationality, job title, any shares of stock or directorships held in the Company, and details of the Deferred Stock Units or any other entitlement to shares of Common Stock, canceled, exercised, vested, unvested or outstanding in the Employee’s favor, for the exclusive purpose of implementing, administering and managing the Plan.</w:t>
      </w:r>
    </w:p>
    <w:p>
      <w:pPr>
        <w:spacing w:after="0" w:line="296"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b w:val="1"/>
          <w:bCs w:val="1"/>
          <w:i w:val="1"/>
          <w:iCs w:val="1"/>
          <w:color w:val="auto"/>
        </w:rPr>
        <w:t>The Employee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8" w:name="page139"/>
    <w:bookmarkEnd w:id="138"/>
    <w:p>
      <w:pPr>
        <w:ind w:left="-20" w:firstLine="464"/>
        <w:spacing w:after="0" w:line="293" w:lineRule="auto"/>
        <w:tabs>
          <w:tab w:leader="none" w:pos="70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Section 16 below.</w:t>
      </w:r>
    </w:p>
    <w:p>
      <w:pPr>
        <w:spacing w:after="0" w:line="164" w:lineRule="exact"/>
        <w:rPr>
          <w:rFonts w:ascii="Arial" w:cs="Arial" w:eastAsia="Arial" w:hAnsi="Arial"/>
          <w:sz w:val="16"/>
          <w:szCs w:val="16"/>
          <w:color w:val="auto"/>
        </w:rPr>
      </w:pPr>
    </w:p>
    <w:p>
      <w:pPr>
        <w:ind w:left="-20" w:right="40" w:firstLine="464"/>
        <w:spacing w:after="0" w:line="312" w:lineRule="auto"/>
        <w:tabs>
          <w:tab w:leader="none" w:pos="70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rFonts w:ascii="Arial" w:cs="Arial" w:eastAsia="Arial" w:hAnsi="Arial"/>
          <w:sz w:val="16"/>
          <w:szCs w:val="16"/>
          <w:color w:val="auto"/>
        </w:rPr>
      </w:pPr>
    </w:p>
    <w:p>
      <w:pPr>
        <w:ind w:left="-20" w:right="60" w:firstLine="464"/>
        <w:spacing w:after="0" w:line="277" w:lineRule="auto"/>
        <w:tabs>
          <w:tab w:leader="none" w:pos="70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from the English version, the English version will control.</w:t>
      </w:r>
    </w:p>
    <w:p>
      <w:pPr>
        <w:spacing w:after="0" w:line="170" w:lineRule="exact"/>
        <w:rPr>
          <w:rFonts w:ascii="Arial" w:cs="Arial" w:eastAsia="Arial" w:hAnsi="Arial"/>
          <w:sz w:val="18"/>
          <w:szCs w:val="18"/>
          <w:color w:val="auto"/>
        </w:rPr>
      </w:pPr>
    </w:p>
    <w:p>
      <w:pPr>
        <w:ind w:left="-20" w:firstLine="464"/>
        <w:spacing w:after="0" w:line="255" w:lineRule="auto"/>
        <w:tabs>
          <w:tab w:leader="none" w:pos="70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Employee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including whether the Employee is no longer actively employed. Any interpretation, determination or other action made or taken by the Committee regarding the Plan or this Agreement shall be final, binding and conclusive.</w:t>
      </w:r>
    </w:p>
    <w:p>
      <w:pPr>
        <w:spacing w:after="0" w:line="193" w:lineRule="exact"/>
        <w:rPr>
          <w:rFonts w:ascii="Arial" w:cs="Arial" w:eastAsia="Arial" w:hAnsi="Arial"/>
          <w:sz w:val="18"/>
          <w:szCs w:val="18"/>
          <w:color w:val="auto"/>
        </w:rPr>
      </w:pPr>
    </w:p>
    <w:p>
      <w:pPr>
        <w:ind w:left="-20" w:right="120" w:firstLine="464"/>
        <w:spacing w:after="0" w:line="264" w:lineRule="auto"/>
        <w:tabs>
          <w:tab w:leader="none" w:pos="70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81" w:lineRule="exact"/>
        <w:rPr>
          <w:rFonts w:ascii="Arial" w:cs="Arial" w:eastAsia="Arial" w:hAnsi="Arial"/>
          <w:sz w:val="18"/>
          <w:szCs w:val="18"/>
          <w:color w:val="auto"/>
        </w:rPr>
      </w:pPr>
    </w:p>
    <w:p>
      <w:pPr>
        <w:ind w:left="-20" w:firstLine="464"/>
        <w:spacing w:after="0" w:line="286" w:lineRule="auto"/>
        <w:tabs>
          <w:tab w:leader="none" w:pos="70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shall be interpreted and construed in a manner that avoids the imposition of taxes and other penalties under Section 409A of the Code, if applicable, including complying with Section 6(a)(vii) of the Plan in the event of a Change in Control. Notwithstanding the foregoing, under no circumstances shall any member of the Mondelēz Group be responsible for any taxes, penalties, interest or other losses or expenses incurred by the Employee due to any failure to comply with Section 409A of the Code.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139" w:name="page140"/>
    <w:bookmarkEnd w:id="139"/>
    <w:p>
      <w:pPr>
        <w:ind w:right="100" w:firstLine="464"/>
        <w:spacing w:after="0" w:line="272" w:lineRule="auto"/>
        <w:tabs>
          <w:tab w:leader="none" w:pos="726"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7"/>
          <w:szCs w:val="17"/>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purposes of this Agreement, (a) 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permanent and total disability as determined under the procedures established by the Company for purposes of the Plan, and (b) the term “</w:t>
      </w:r>
      <w:r>
        <w:rPr>
          <w:rFonts w:ascii="Arial" w:cs="Arial" w:eastAsia="Arial" w:hAnsi="Arial"/>
          <w:sz w:val="18"/>
          <w:szCs w:val="18"/>
          <w:u w:val="single" w:color="auto"/>
          <w:color w:val="auto"/>
        </w:rPr>
        <w:t>Retirement</w:t>
      </w:r>
      <w:r>
        <w:rPr>
          <w:rFonts w:ascii="Arial" w:cs="Arial" w:eastAsia="Arial" w:hAnsi="Arial"/>
          <w:sz w:val="18"/>
          <w:szCs w:val="18"/>
          <w:color w:val="auto"/>
        </w:rPr>
        <w:t>” means, unless otherwise determined by the Committee in its sole discretion, the termination of employment on or after the date the Employee is age 55 or older with at least ten (10) or more years of active continuous employment with the Mondelēz Group.</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Notwithstanding the above, if the Company receives an opinion of counsel that there has been a legal judgment and/or legal development in the Employee’s jurisdiction that likely would result in the favorable Retirement treatment (as set forth in paragraph 2)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188" w:lineRule="exact"/>
        <w:rPr>
          <w:sz w:val="20"/>
          <w:szCs w:val="20"/>
          <w:color w:val="auto"/>
        </w:rPr>
      </w:pPr>
    </w:p>
    <w:p>
      <w:pPr>
        <w:ind w:firstLine="464"/>
        <w:spacing w:after="0" w:line="270" w:lineRule="auto"/>
        <w:tabs>
          <w:tab w:leader="none" w:pos="726"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40" w:name="page141"/>
    <w:bookmarkEnd w:id="140"/>
    <w:p>
      <w:pPr>
        <w:ind w:left="-20" w:right="400" w:firstLine="464"/>
        <w:spacing w:after="0" w:line="308" w:lineRule="auto"/>
        <w:tabs>
          <w:tab w:leader="none" w:pos="706"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Severable</w:t>
      </w:r>
      <w:r>
        <w:rPr>
          <w:rFonts w:ascii="Arial" w:cs="Arial" w:eastAsia="Arial" w:hAnsi="Arial"/>
          <w:sz w:val="17"/>
          <w:szCs w:val="17"/>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46" w:lineRule="exact"/>
        <w:rPr>
          <w:rFonts w:ascii="Arial" w:cs="Arial" w:eastAsia="Arial" w:hAnsi="Arial"/>
          <w:sz w:val="17"/>
          <w:szCs w:val="17"/>
          <w:color w:val="auto"/>
        </w:rPr>
      </w:pPr>
    </w:p>
    <w:p>
      <w:pPr>
        <w:ind w:left="-20" w:right="200" w:firstLine="464"/>
        <w:spacing w:after="0" w:line="277" w:lineRule="auto"/>
        <w:tabs>
          <w:tab w:leader="none" w:pos="70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of paragraphs and sections used in this Agreement are for convenience only and are not part of this Agreement, and must not be used in construing it.</w:t>
      </w:r>
    </w:p>
    <w:p>
      <w:pPr>
        <w:spacing w:after="0" w:line="170" w:lineRule="exact"/>
        <w:rPr>
          <w:rFonts w:ascii="Arial" w:cs="Arial" w:eastAsia="Arial" w:hAnsi="Arial"/>
          <w:sz w:val="18"/>
          <w:szCs w:val="18"/>
          <w:color w:val="auto"/>
        </w:rPr>
      </w:pPr>
    </w:p>
    <w:p>
      <w:pPr>
        <w:ind w:left="-20" w:right="120" w:firstLine="464"/>
        <w:spacing w:after="0" w:line="259" w:lineRule="auto"/>
        <w:tabs>
          <w:tab w:leader="none" w:pos="70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86" w:lineRule="exact"/>
        <w:rPr>
          <w:rFonts w:ascii="Arial" w:cs="Arial" w:eastAsia="Arial" w:hAnsi="Arial"/>
          <w:sz w:val="18"/>
          <w:szCs w:val="18"/>
          <w:color w:val="auto"/>
        </w:rPr>
      </w:pPr>
    </w:p>
    <w:p>
      <w:pPr>
        <w:ind w:left="-20" w:firstLine="464"/>
        <w:spacing w:after="0" w:line="273" w:lineRule="auto"/>
        <w:tabs>
          <w:tab w:leader="none" w:pos="706"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Insider Trading/Market Abuse Laws</w:t>
      </w:r>
      <w:r>
        <w:rPr>
          <w:rFonts w:ascii="Arial" w:cs="Arial" w:eastAsia="Arial" w:hAnsi="Arial"/>
          <w:sz w:val="17"/>
          <w:szCs w:val="17"/>
          <w:color w:val="auto"/>
        </w:rPr>
        <w:t>. The Employee acknowledges that the Employee is subject to insider trading and/or market abuse laws in applicable jurisdictions, which affect the Employee’s ability to acquire, sell or attempt to sell shares of Common Stock under the Plan during such times as the Employee is considered to have “material nonpublic information” or “inside information” (as defined by the laws in the applicable jurisdiction or the Employee’s country). The Employee also acknowledges that the Employee is subject to the Company’s insider trading policy, and the requirements of applicable laws may or may not be consistent with the terms of the Company’s insider trading policy. The Employee acknowledges that it is his or her responsibility to be informed of and compliant with any such laws, and should speak to his or her personal advisor on this matter.</w:t>
      </w:r>
    </w:p>
    <w:p>
      <w:pPr>
        <w:spacing w:after="0" w:line="178" w:lineRule="exact"/>
        <w:rPr>
          <w:rFonts w:ascii="Arial" w:cs="Arial" w:eastAsia="Arial" w:hAnsi="Arial"/>
          <w:sz w:val="17"/>
          <w:szCs w:val="17"/>
          <w:color w:val="auto"/>
        </w:rPr>
      </w:pPr>
    </w:p>
    <w:p>
      <w:pPr>
        <w:ind w:left="-20" w:right="20" w:firstLine="464"/>
        <w:spacing w:after="0" w:line="272" w:lineRule="auto"/>
        <w:tabs>
          <w:tab w:leader="none" w:pos="706"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Foreign Asset/Account Reporting Requirements</w:t>
      </w:r>
      <w:r>
        <w:rPr>
          <w:rFonts w:ascii="Arial" w:cs="Arial" w:eastAsia="Arial" w:hAnsi="Arial"/>
          <w:sz w:val="17"/>
          <w:szCs w:val="17"/>
          <w:color w:val="auto"/>
        </w:rPr>
        <w:t>. The Employee acknowledges that there may be certain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or bank account outside the Employee’s country. The Employee may be required to report such accounts, assets or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The Employee acknowledges that it is the Employee’s responsibility to be compliant with such regulations, and the Employee should consult his or her personal legal advisor for any details.</w:t>
      </w:r>
    </w:p>
    <w:p>
      <w:pPr>
        <w:spacing w:after="0" w:line="177" w:lineRule="exact"/>
        <w:rPr>
          <w:rFonts w:ascii="Arial" w:cs="Arial" w:eastAsia="Arial" w:hAnsi="Arial"/>
          <w:sz w:val="17"/>
          <w:szCs w:val="17"/>
          <w:color w:val="auto"/>
        </w:rPr>
      </w:pPr>
    </w:p>
    <w:p>
      <w:pPr>
        <w:ind w:left="-20" w:right="100" w:firstLine="464"/>
        <w:spacing w:after="0" w:line="259" w:lineRule="auto"/>
        <w:tabs>
          <w:tab w:leader="none" w:pos="70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Deferred Stock Units shall be subject to any special terms set forth in the Appendix to this Agreement for Employee’s country. Moreover, if Employee relocates to one of the countries included in the Appendix, the special terms for such country will apply to Employee, to the extent the Company determines that the application of such terms is necessary or advisable for legal or administrative reasons. The Appendix constitutes part of this Agreement.</w:t>
      </w:r>
    </w:p>
    <w:p>
      <w:pPr>
        <w:spacing w:after="0" w:line="186" w:lineRule="exact"/>
        <w:rPr>
          <w:rFonts w:ascii="Arial" w:cs="Arial" w:eastAsia="Arial" w:hAnsi="Arial"/>
          <w:sz w:val="18"/>
          <w:szCs w:val="18"/>
          <w:color w:val="auto"/>
        </w:rPr>
      </w:pPr>
    </w:p>
    <w:p>
      <w:pPr>
        <w:ind w:left="-20" w:right="700" w:firstLine="464"/>
        <w:spacing w:after="0" w:line="342" w:lineRule="auto"/>
        <w:tabs>
          <w:tab w:leader="none" w:pos="706"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141" w:name="page142"/>
    <w:bookmarkEnd w:id="141"/>
    <w:p>
      <w:pPr>
        <w:ind w:left="-60" w:firstLine="464"/>
        <w:spacing w:after="0" w:line="255" w:lineRule="auto"/>
        <w:tabs>
          <w:tab w:leader="none" w:pos="66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Conformity to Securities Laws</w:t>
      </w:r>
      <w:r>
        <w:rPr>
          <w:rFonts w:ascii="Arial" w:cs="Arial" w:eastAsia="Arial" w:hAnsi="Arial"/>
          <w:sz w:val="18"/>
          <w:szCs w:val="18"/>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74" w:right="279" w:bottom="1440" w:gutter="0" w:footer="0" w:header="0"/>
        </w:sectPr>
      </w:pPr>
    </w:p>
    <w:bookmarkStart w:id="142" w:name="page143"/>
    <w:bookmarkEnd w:id="142"/>
    <w:p>
      <w:pPr>
        <w:jc w:val="center"/>
        <w:ind w:right="-27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1"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as of the Grant 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J. Ward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J. Ward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Secretary</w:t>
      </w:r>
    </w:p>
    <w:p>
      <w:pPr>
        <w:spacing w:after="0" w:line="1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274" w:right="519" w:bottom="1440" w:gutter="0" w:footer="0" w:header="0"/>
        </w:sectPr>
      </w:pPr>
    </w:p>
    <w:bookmarkStart w:id="143" w:name="page144"/>
    <w:bookmarkEnd w:id="143"/>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5" w:lineRule="exact"/>
        <w:rPr>
          <w:sz w:val="20"/>
          <w:szCs w:val="20"/>
          <w:color w:val="auto"/>
        </w:rPr>
      </w:pPr>
    </w:p>
    <w:p>
      <w:pPr>
        <w:jc w:val="center"/>
        <w:ind w:left="360" w:right="2680"/>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February 3, 2017)</w:t>
      </w:r>
    </w:p>
    <w:p>
      <w:pPr>
        <w:spacing w:after="0" w:line="176"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GLOBAL DEFERRED STOCK UNIT AGREEMENT</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special terms and conditions contained herein shall be applicable to the Employee. Certain capitalized terms used but not defined in this Appendix A have the meanings set forth in the Plan and/or the Global Deferred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2017. Such laws are often complex and change frequently. As a result, the Company strongly recommends that the Employee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Employee’s particular situation, and the Company is not in a position to assure the Employee of a particular result. Accordingly, the Employee is advised to seek appropriate professional advice as to how the relevant laws in his or her country may apply to the Employee’s situation.</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Finally, if the Employee is a citizen or resident of a country other than the one in which he or she is currently working, transfers employment after the Deferred Stock Units are granted, or is considered a resident of another country for local law purposes, the information contained herein may not be applicable to the Employee in the same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ALGERIA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270" w:right="3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ARGENTINA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Restrictions and Covenants. </w:t>
      </w:r>
      <w:r>
        <w:rPr>
          <w:rFonts w:ascii="Arial" w:cs="Arial" w:eastAsia="Arial" w:hAnsi="Arial"/>
          <w:sz w:val="18"/>
          <w:szCs w:val="18"/>
          <w:color w:val="auto"/>
        </w:rPr>
        <w:t>Notwithstanding anything to the contrary in the Agreement, paragraph 9 of the Agreement will not apply to Argentinian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Offering</w:t>
      </w:r>
      <w:r>
        <w:rPr>
          <w:rFonts w:ascii="Arial" w:cs="Arial" w:eastAsia="Arial" w:hAnsi="Arial"/>
          <w:sz w:val="16"/>
          <w:szCs w:val="16"/>
          <w:color w:val="auto"/>
        </w:rPr>
        <w:t>. Neither the grant of Deferred Stock Units, nor the issuance of shares of Common Stock subject to the grant, constitutes a public offering.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offering of the Plan is a private placement and is not subject to the supervision of any Argentine governmental authority.</w:t>
      </w:r>
    </w:p>
    <w:p>
      <w:pPr>
        <w:spacing w:after="0" w:line="20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Following the sale of shares of Common Stock acquired under the Plan and/or the receipt of any dividends paid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the Employee may be subject to certain restriction in brining such funds back to Argentina. The Argentine bank handling the transaction may request certain documentation in connection with the request to transfer proceeds into Argentina (e.g., evidence of the sale, proof of the source of funds used to purchase such shares of Common Stock, etc.).</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Employee must comply with any and all Argentine currency exchange restrictions, approvals and reporting requirements in connection with the vesting of Deferred Stock Units.</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must report holdings of any equity interest in a foreign company (e.g.,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under the Plan) on his or her annual tax return each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Australian Offer Document. </w:t>
      </w:r>
      <w:r>
        <w:rPr>
          <w:rFonts w:ascii="Arial" w:cs="Arial" w:eastAsia="Arial" w:hAnsi="Arial"/>
          <w:sz w:val="18"/>
          <w:szCs w:val="18"/>
          <w:color w:val="auto"/>
        </w:rPr>
        <w:t>The Employee’s right to participate in the Plan and receive the grant of Deferred Stock Units under the Plan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stated in the offer document, the Plan and the Agreement. By accepting the grant of the Deferred Stock Units, the Employee acknowledges and confirms that the Employee has received these documents.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 payment constituting breach of law in Australia. </w:t>
      </w:r>
      <w:r>
        <w:rPr>
          <w:rFonts w:ascii="Arial" w:cs="Arial" w:eastAsia="Arial" w:hAnsi="Arial"/>
          <w:sz w:val="18"/>
          <w:szCs w:val="18"/>
          <w:color w:val="auto"/>
        </w:rPr>
        <w:t>Notwithstanding anything else in the Plan or the Agreement, the Employee will not be entitled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reporting is required for cash transactions exceeding AUD10,000 and for international fund transfers. If</w:t>
      </w:r>
      <w:r>
        <w:rPr>
          <w:rFonts w:ascii="Arial" w:cs="Arial" w:eastAsia="Arial" w:hAnsi="Arial"/>
          <w:sz w:val="18"/>
          <w:szCs w:val="18"/>
          <w:b w:val="1"/>
          <w:bCs w:val="1"/>
          <w:color w:val="auto"/>
        </w:rPr>
        <w:t xml:space="preserve"> </w:t>
      </w:r>
      <w:r>
        <w:rPr>
          <w:rFonts w:ascii="Arial" w:cs="Arial" w:eastAsia="Arial" w:hAnsi="Arial"/>
          <w:sz w:val="18"/>
          <w:szCs w:val="18"/>
          <w:color w:val="auto"/>
        </w:rPr>
        <w:t>an Australian bank is assisting with the transaction, the bank will file the report on the Employee’s behalf.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Information</w:t>
      </w:r>
      <w:r>
        <w:rPr>
          <w:rFonts w:ascii="Arial" w:cs="Arial" w:eastAsia="Arial" w:hAnsi="Arial"/>
          <w:sz w:val="16"/>
          <w:szCs w:val="16"/>
          <w:color w:val="auto"/>
        </w:rPr>
        <w:t>. The Plan is a plan to which subdivision 83A-C of the Income Tax Assessment Act 1997 (Cth) applies (subject to conditions in the Act).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holds shares of Common Stock acquired under the Plan or cash (including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outside Austria, the Employee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When the Employee sells shares of Common Stock acquired under the Plan, the Employee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BAHRAIN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Securities Notification</w:t>
      </w:r>
      <w:r>
        <w:rPr>
          <w:rFonts w:ascii="Arial" w:cs="Arial" w:eastAsia="Arial" w:hAnsi="Arial"/>
          <w:sz w:val="16"/>
          <w:szCs w:val="16"/>
          <w:color w:val="auto"/>
        </w:rPr>
        <w:t>. The Agreement does not constitute advertising or an offering of securities in Bahrain, nor does it constitute an allotment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(i.e., the NASDAQ Global Select Market).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Employee is required to report any securities (e.g., shares of Common Stock acquired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By accepting the Deferred Stock Units, the Employee acknowledges that he or she agrees to comply with applicable Brazilian 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 any and all applicable taxes associated with the vesting of the Deferred Stock Units, the receipt of any dividends and the sale of shares of Common Stock acquired under the Plan.</w:t>
      </w:r>
    </w:p>
    <w:p>
      <w:pPr>
        <w:spacing w:after="0" w:line="17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color w:val="auto"/>
        </w:rPr>
        <w:t>Labor Law Acknowledgment</w:t>
      </w:r>
      <w:r>
        <w:rPr>
          <w:rFonts w:ascii="Arial" w:cs="Arial" w:eastAsia="Arial" w:hAnsi="Arial"/>
          <w:sz w:val="18"/>
          <w:szCs w:val="18"/>
          <w:color w:val="auto"/>
        </w:rPr>
        <w:t>. The Employee agrees, for all legal purposes, (i) the benefits provided under the Agreement and the Plan are the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transactions unrelated to the Employee’s employment; (ii) the Agreement and the Plan are not a part of the terms and conditions of the Employee’s employment; and (iii) the income from the shares of Common Stock associated with the Deferred Stock Units, if any, is not part of the Employee’s remuneration from employment.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Employee holds assets and rights outside Brazil with an aggregate value exceeding US$100,000, he or she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prepare and submit to the Central Bank of Brazil an annual declaration of such assets and rights, including: (i) bank deposits; (ii) loans; (iii) financing transactions; (iv) leases; (v) direct investments; (vi) portfolio investments, including shares of Common Stock acquired under the Plan;</w:t>
      </w:r>
    </w:p>
    <w:p>
      <w:pPr>
        <w:spacing w:after="0" w:line="2" w:lineRule="exact"/>
        <w:rPr>
          <w:sz w:val="20"/>
          <w:szCs w:val="20"/>
          <w:color w:val="auto"/>
        </w:rPr>
      </w:pPr>
    </w:p>
    <w:p>
      <w:pPr>
        <w:ind w:firstLine="8"/>
        <w:spacing w:after="0" w:line="273" w:lineRule="auto"/>
        <w:tabs>
          <w:tab w:leader="none" w:pos="3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 Please note that the US$100,000 threshold may be changed annually.</w:t>
      </w:r>
    </w:p>
    <w:p>
      <w:pPr>
        <w:spacing w:after="0" w:line="17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sale proceeds from the sale of shares of Common Stock and/or dividends) into Brazil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BULGARIA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receives a payment related to the Plan in Bulgaria in excess of BGN 100,000 (or its equivalent in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e.g., U.S. dollars), the Employee is required to submit a form with information regarding the source of the income to the bank receiving such payment (for statistical purposes) upon transfer or within 30 days of receipt.</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the Employee will be required to file statistical forms with the Bulgarian national bank annually regarding his or her receivables in bank accounts abroad as well as securities held abroad (e.g., shares of Common Stock acquired under the Plan) if the total sum of all such receivables and securities equals or exceeds BGN50,000 as of the previous calendar year end. The reports are due by March 31.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should contact his or her bank in Bulgaria for additional information regarding these requirements.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Deferred Stock Units granted to employees resident in Canada shall be paid in shares of Common Stock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The following provision supplements paragraph 2 of the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Employee’s employment with the Mondelēz Group shall be deemed to be terminated and vesting of the Deferred Stock Units will terminate effective as of the date that is the earliest of: (1) the date the Employee’s employment with the Mondelēz Group is terminated, (2) the date the Employee receives notice of termination of employment from the Mondelēz Group, or (3) the date the Employee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for Employees resident in Quebec: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 and Consent</w:t>
      </w:r>
      <w:r>
        <w:rPr>
          <w:rFonts w:ascii="Arial" w:cs="Arial" w:eastAsia="Arial" w:hAnsi="Arial"/>
          <w:sz w:val="18"/>
          <w:szCs w:val="18"/>
          <w:color w:val="auto"/>
        </w:rPr>
        <w:t>. The following provision supplements paragraph 14 of the Agreement: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further authorizes the Mondelēz Group to record such information and to keep such information in his or her employee file.</w:t>
      </w:r>
    </w:p>
    <w:p>
      <w:pPr>
        <w:spacing w:after="0" w:line="183"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Language Consent</w:t>
      </w:r>
      <w:r>
        <w:rPr>
          <w:rFonts w:ascii="Arial" w:cs="Arial" w:eastAsia="Arial" w:hAnsi="Arial"/>
          <w:sz w:val="17"/>
          <w:szCs w:val="17"/>
          <w:color w:val="auto"/>
        </w:rPr>
        <w:t>. The parties acknowledge that it is their express wish that the Agreement, including this Appendix A, as well as all documents,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proceedings entered into, given or instituted pursuant hereto or relating directly or indirectly hereto, be drawn up in English.</w:t>
      </w:r>
    </w:p>
    <w:p>
      <w:pPr>
        <w:spacing w:after="0" w:line="14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Consentement relatif à la langue utilisée</w:t>
      </w:r>
      <w:r>
        <w:rPr>
          <w:rFonts w:ascii="Arial" w:cs="Arial" w:eastAsia="Arial" w:hAnsi="Arial"/>
          <w:sz w:val="16"/>
          <w:szCs w:val="16"/>
          <w:i w:val="1"/>
          <w:iCs w:val="1"/>
          <w:color w:val="auto"/>
        </w:rPr>
        <w:t>. Les parties reconnaissent avoir exigé la rédaction en anglais de cette convention, ainsi que de tous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avis et procédures judiciaires, exécutés, donnés ou intentés en vertu de, ou liés directement ou indirectement à, la présente convention.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Employee is permitted to sell shares of Common Stock acquired under the Plan through the designated broker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if any, provided that the sale of such shares takes place outside Canada through the facilities of a stock exchange on which the shares of Common Stock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274" w:right="379" w:bottom="1440" w:gutter="0" w:footer="0" w:header="0"/>
        </w:sectPr>
      </w:pPr>
    </w:p>
    <w:bookmarkStart w:id="148" w:name="page149"/>
    <w:bookmarkEnd w:id="148"/>
    <w:p>
      <w:pPr>
        <w:ind w:right="2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Foreign Asset/Account Reporting Information. </w:t>
      </w:r>
      <w:r>
        <w:rPr>
          <w:rFonts w:ascii="Arial" w:cs="Arial" w:eastAsia="Arial" w:hAnsi="Arial"/>
          <w:sz w:val="17"/>
          <w:szCs w:val="17"/>
          <w:color w:val="auto"/>
        </w:rPr>
        <w:t>The Employee is required to report any foreign property (including shares of Common Stock) annually on</w:t>
      </w:r>
      <w:r>
        <w:rPr>
          <w:rFonts w:ascii="Arial" w:cs="Arial" w:eastAsia="Arial" w:hAnsi="Arial"/>
          <w:sz w:val="17"/>
          <w:szCs w:val="17"/>
          <w:b w:val="1"/>
          <w:bCs w:val="1"/>
          <w:color w:val="auto"/>
        </w:rPr>
        <w:t xml:space="preserve"> </w:t>
      </w:r>
      <w:r>
        <w:rPr>
          <w:rFonts w:ascii="Arial" w:cs="Arial" w:eastAsia="Arial" w:hAnsi="Arial"/>
          <w:sz w:val="17"/>
          <w:szCs w:val="17"/>
          <w:color w:val="auto"/>
        </w:rPr>
        <w:t>Form T1135 (Foreign Income Verification Statement) if the total cost of the Employee’s foreign property exceeds C$100,000 at any time during the year. The form must be filed by April 30th of the following year. Foreign property includes shares of Common Stock acquired under the Plan and may include the Deferred Stock Units. The Deferred Stock Units must be reported—generally at a nil cost—if the $100,000 cost threshold is exceeded because of other foreign property the Employee holds. If shares of Common Stock are acquired, their cost generally is the adjusted cost base (“ACB” ) of the shares of Common Stock. The ACB would normally equal the fair market value of the shares of Common Stock at vesting for Deferred Stock Units, but if the Employee owns other shares of Common Stock, this ACB may have to be averaged with the ACB of the other shares of Common Stock. It is the Employee’s responsibility to comply with applicable reporting obligations.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Deferred Stock Units constitutes a private offering of securities in Chile effective as of the Grant Date. The offer</w:t>
      </w:r>
      <w:r>
        <w:rPr>
          <w:rFonts w:ascii="Arial" w:cs="Arial" w:eastAsia="Arial" w:hAnsi="Arial"/>
          <w:sz w:val="18"/>
          <w:szCs w:val="18"/>
          <w:b w:val="1"/>
          <w:bCs w:val="1"/>
          <w:color w:val="auto"/>
        </w:rPr>
        <w:t xml:space="preserve"> </w:t>
      </w:r>
      <w:r>
        <w:rPr>
          <w:rFonts w:ascii="Arial" w:cs="Arial" w:eastAsia="Arial" w:hAnsi="Arial"/>
          <w:sz w:val="18"/>
          <w:szCs w:val="18"/>
          <w:color w:val="auto"/>
        </w:rPr>
        <w:t>of Deferred Stock Units is made subject to general ruling N° 336 of the Chilean Superintendence of Securities and Insurance (“</w:t>
      </w:r>
      <w:r>
        <w:rPr>
          <w:rFonts w:ascii="Arial" w:cs="Arial" w:eastAsia="Arial" w:hAnsi="Arial"/>
          <w:sz w:val="18"/>
          <w:szCs w:val="18"/>
          <w:u w:val="single" w:color="auto"/>
          <w:color w:val="auto"/>
        </w:rPr>
        <w:t>SVS”</w:t>
      </w:r>
      <w:r>
        <w:rPr>
          <w:rFonts w:ascii="Arial" w:cs="Arial" w:eastAsia="Arial" w:hAnsi="Arial"/>
          <w:sz w:val="18"/>
          <w:szCs w:val="18"/>
          <w:color w:val="auto"/>
        </w:rPr>
        <w:t>). The offer refers to securities not registered at the securities registry or at the foreign securities registry of the SVS, and, therefore, such securities are not subject to oversight of the SVS. Given that the Deferred Stock Units are not registered in Chile, the Company is not required to provide public information about the Deferred Stock Units or the shares of Common Stock in Chile. Unless the Deferred Stock Units and/or the shares of Common Stock are registered with the SVS, a public offering of such securities cannot be made in Chile.</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Esta oferta de Unidades de Acciones Diferidas constituye una oferta privada de valores en Chile y se inicia en la Fecha de la Concesión. Esta oferta de Unidades de Acciones Diferidas se acoge a las disposiciones de la Norma de Carácter General N° 336 de la Superintendencia de Valores y Seguros de Chile (“SVS”). Esta oferta versa sobre valores no inscritos en el Registro de Valores o en el Registro de Valores Extranjeros que lleva la SVS,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spacing w:after="0" w:line="174"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Exchange Control Information</w:t>
      </w:r>
      <w:r>
        <w:rPr>
          <w:rFonts w:ascii="Arial" w:cs="Arial" w:eastAsia="Arial" w:hAnsi="Arial"/>
          <w:sz w:val="17"/>
          <w:szCs w:val="17"/>
          <w:color w:val="auto"/>
        </w:rPr>
        <w:t>. The Employee is not required to repatriate any funds he or she receives with respect to the Deferred Stock Units and/or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w:t>
      </w:r>
      <w:r>
        <w:rPr>
          <w:rFonts w:ascii="Arial" w:cs="Arial" w:eastAsia="Arial" w:hAnsi="Arial"/>
          <w:sz w:val="17"/>
          <w:szCs w:val="17"/>
          <w:i w:val="1"/>
          <w:iCs w:val="1"/>
          <w:color w:val="auto"/>
        </w:rPr>
        <w:t>e.g.</w:t>
      </w:r>
      <w:r>
        <w:rPr>
          <w:rFonts w:ascii="Arial" w:cs="Arial" w:eastAsia="Arial" w:hAnsi="Arial"/>
          <w:sz w:val="17"/>
          <w:szCs w:val="17"/>
          <w:color w:val="auto"/>
        </w:rPr>
        <w:t>, proceeds from the sale of shares of Common Stock or dividends received) to Chile. However, if the Employee decides to repatriate such funds, he or she must do so through the Formal Exchange Market (</w:t>
      </w:r>
      <w:r>
        <w:rPr>
          <w:rFonts w:ascii="Arial" w:cs="Arial" w:eastAsia="Arial" w:hAnsi="Arial"/>
          <w:sz w:val="17"/>
          <w:szCs w:val="17"/>
          <w:i w:val="1"/>
          <w:iCs w:val="1"/>
          <w:color w:val="auto"/>
        </w:rPr>
        <w:t>i.e.</w:t>
      </w:r>
      <w:r>
        <w:rPr>
          <w:rFonts w:ascii="Arial" w:cs="Arial" w:eastAsia="Arial" w:hAnsi="Arial"/>
          <w:sz w:val="17"/>
          <w:szCs w:val="17"/>
          <w:color w:val="auto"/>
        </w:rPr>
        <w:t>, a commercial bank or registered foreign exchange office) if the amount of the funds repatriated exceeds US$10,000. Further, if the value of the aggregate investments held by the Employee outside of Chile exceeds US$5,000,000 (</w:t>
      </w:r>
      <w:r>
        <w:rPr>
          <w:rFonts w:ascii="Arial" w:cs="Arial" w:eastAsia="Arial" w:hAnsi="Arial"/>
          <w:sz w:val="17"/>
          <w:szCs w:val="17"/>
          <w:i w:val="1"/>
          <w:iCs w:val="1"/>
          <w:color w:val="auto"/>
        </w:rPr>
        <w:t>e.g.</w:t>
      </w:r>
      <w:r>
        <w:rPr>
          <w:rFonts w:ascii="Arial" w:cs="Arial" w:eastAsia="Arial" w:hAnsi="Arial"/>
          <w:sz w:val="17"/>
          <w:szCs w:val="17"/>
          <w:color w:val="auto"/>
        </w:rPr>
        <w:t>, shares of Common Stock and cash proceeds acquired under the Plan), the Employee must report the investments annually to the Central Bank using Annex 3.1 of Chapter XII of the Foreign Exchange Regulations.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Exchange control requirements are subject to change. </w:t>
      </w:r>
      <w:r>
        <w:rPr>
          <w:rFonts w:ascii="Arial" w:cs="Arial" w:eastAsia="Arial" w:hAnsi="Arial"/>
          <w:sz w:val="18"/>
          <w:szCs w:val="18"/>
          <w:i w:val="1"/>
          <w:iCs w:val="1"/>
          <w:color w:val="auto"/>
        </w:rPr>
        <w:t>The Employee should consult with his or her personal legal advisor regarding any exchange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that may apply in connection with the Deferred Stock Units.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149" w:name="page150"/>
    <w:bookmarkEnd w:id="149"/>
    <w:p>
      <w:pPr>
        <w:ind w:right="26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Asset / Account Reporting Information</w:t>
      </w:r>
      <w:r>
        <w:rPr>
          <w:rFonts w:ascii="Arial" w:cs="Arial" w:eastAsia="Arial" w:hAnsi="Arial"/>
          <w:sz w:val="17"/>
          <w:szCs w:val="17"/>
          <w:color w:val="auto"/>
        </w:rPr>
        <w:t>. The Chilean Internal Revenue Service (“CIRS”) requires all taxpayers to provide information annually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regarding: (i) any taxes paid abroad which they will use as a credit against Chilean income taxes, and (ii) the results of foreign investments on a sworn statement which must be submitted electronically through the CIRS website at </w:t>
      </w:r>
      <w:r>
        <w:rPr>
          <w:rFonts w:ascii="Arial" w:cs="Arial" w:eastAsia="Arial" w:hAnsi="Arial"/>
          <w:sz w:val="17"/>
          <w:szCs w:val="17"/>
          <w:u w:val="single" w:color="auto"/>
          <w:color w:val="auto"/>
        </w:rPr>
        <w:t>www.sii.cl</w:t>
      </w:r>
      <w:r>
        <w:rPr>
          <w:rFonts w:ascii="Arial" w:cs="Arial" w:eastAsia="Arial" w:hAnsi="Arial"/>
          <w:sz w:val="17"/>
          <w:szCs w:val="17"/>
          <w:color w:val="auto"/>
        </w:rPr>
        <w:t xml:space="preserve"> before June 30 of each year.</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Employee’s investment in the shares of Common Stock must also be registered with the CIRS for the Employee to be entitled to a foreign tax credit for any tax withheld on dividends abroad, if applicable, and such registration also provides evidence of the acquisition price of the shares of Common Stock which the Employee will need when the shares of Common Stock are sold. </w:t>
      </w:r>
      <w:r>
        <w:rPr>
          <w:rFonts w:ascii="Arial" w:cs="Arial" w:eastAsia="Arial" w:hAnsi="Arial"/>
          <w:sz w:val="18"/>
          <w:szCs w:val="18"/>
          <w:i w:val="1"/>
          <w:iCs w:val="1"/>
          <w:color w:val="auto"/>
        </w:rPr>
        <w:t>The Employee should consult with his or her personal legal and tax advisors</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how to register with the CIRS.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following provisions apply to Employees who are People’s Republic of China nationals working in China, as well as to any individuals who are otherwise subject to applicable exchange controls, as determined by the Company:</w:t>
      </w:r>
    </w:p>
    <w:p>
      <w:pPr>
        <w:spacing w:after="0" w:line="5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Settlement of Deferred Stock Units and Sale of Shares. </w:t>
      </w:r>
      <w:r>
        <w:rPr>
          <w:rFonts w:ascii="Arial" w:cs="Arial" w:eastAsia="Arial" w:hAnsi="Arial"/>
          <w:sz w:val="16"/>
          <w:szCs w:val="16"/>
          <w:color w:val="auto"/>
        </w:rPr>
        <w:t>Due to legal restrictions in China, upon the vesting of Deferred Stock Units, the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the Employee is not required to sell shares of Common Stock immediately upon vesting, any shares of Common Stock issued to the Employee must be maintained in an account with UBS Financial Services, Inc. or such other broker as may be designated by the Company until the shares of Common Stock are sold through that broker.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months following the termination of the Employee’s employment or other service relationship with the Mondelēz Group, or within any other such time frame as may be required by SAFE.</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Exchange Control Restrictions. </w:t>
      </w:r>
      <w:r>
        <w:rPr>
          <w:rFonts w:ascii="Arial" w:cs="Arial" w:eastAsia="Arial" w:hAnsi="Arial"/>
          <w:sz w:val="16"/>
          <w:szCs w:val="16"/>
          <w:color w:val="auto"/>
        </w:rPr>
        <w:t>The Employee understands and agrees that, due to exchange control laws in China, he or she will be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repatriate to China the sale of shares of Common Stock acquired from the Deferred Stock Units and any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the proceeds from the sale of shares of Common Stock acquired from the Deferred Stock Units and any dividend equivalents paid to the Employee in cash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and any dividend equivalents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150" w:name="page151"/>
    <w:bookmarkEnd w:id="15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upon vesting of the Deferred Stock Units (as explained above) or upon termination of the Employee’s service with the Mondelēz Group.</w:t>
      </w:r>
    </w:p>
    <w:p>
      <w:pPr>
        <w:spacing w:after="0" w:line="18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 well as details of any economic transactions conducted with non-Chinese residents.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COLOMBIA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shares of Common Stock are not and will not be registered in the Colombian registry of publicly traded securities (</w:t>
      </w:r>
      <w:r>
        <w:rPr>
          <w:rFonts w:ascii="Arial" w:cs="Arial" w:eastAsia="Arial" w:hAnsi="Arial"/>
          <w:sz w:val="18"/>
          <w:szCs w:val="18"/>
          <w:i w:val="1"/>
          <w:iCs w:val="1"/>
          <w:color w:val="auto"/>
        </w:rPr>
        <w:t>Registro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Nacional de Valores y Emisores</w:t>
      </w:r>
      <w:r>
        <w:rPr>
          <w:rFonts w:ascii="Arial" w:cs="Arial" w:eastAsia="Arial" w:hAnsi="Arial"/>
          <w:sz w:val="18"/>
          <w:szCs w:val="18"/>
          <w:color w:val="auto"/>
        </w:rPr>
        <w:t>) and therefore the shares of Common Stock may not be offered to the public in Colombia. Nothing in this document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construed as the making of a public offer of securities in Colombia.</w:t>
      </w:r>
    </w:p>
    <w:p>
      <w:pPr>
        <w:spacing w:after="0" w:line="176"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Investments in assets located outside Colombia (including shares of the Company’s Common Stock)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the Central Bank (Banco de la República) if the aggregate value of the investments is US$500,000 or more (as of December 31 of the applicable calendar year). Further, upon the sale of shares that the Employee has registered with the Central Bank, the Employee must cancel the registration by March 31 of the following year. The Employee may be subject to fines for failing to cancel the registration.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51" w:name="page152"/>
    <w:bookmarkEnd w:id="151"/>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funds are remitted from Colombia through an authorized local financial institution, the authorized financial institution will automatically register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COSTA 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CZECH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Czech National bank may require the Employee to fulfill certain notification duties in relation to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the opening and maintenance of a foreign account. In addition, the Employee may need to report the following even in the absence of a request from the Czech National bank: foreign direct investments with a value of CZK 2,500,000 or more in the aggregate or other foreign financial assets with a value of CZK 200,000,000 or more. Because exchange control regulations change frequently and without notice, the Employee should consult his or her personal legal advisor prior to the vesting of Deferred Stock Units, sale of Common Stock and before opening any foreign accounts in connection with the Plan to ensure compliance with current regulations. It is the Employee’s responsibility to comply with any applicable Czech exchange control laws.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DENMARK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establishes an account holding shares or an account holding cash outside Denmark, he or she must report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account to the Danish Tax Administration. The form which should be used in this respect can be obtained from a local bank. (These obligations are separate from and in addition to the obligations described below.)</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Securities/Foreign Asset/Account Reporting Information. </w:t>
      </w:r>
      <w:r>
        <w:rPr>
          <w:rFonts w:ascii="Arial" w:cs="Arial" w:eastAsia="Arial" w:hAnsi="Arial"/>
          <w:sz w:val="17"/>
          <w:szCs w:val="17"/>
          <w:color w:val="auto"/>
        </w:rPr>
        <w:t>If the Employee holds shares acquired under the Plan in a brokerage account with a broker or</w:t>
      </w:r>
      <w:r>
        <w:rPr>
          <w:rFonts w:ascii="Arial" w:cs="Arial" w:eastAsia="Arial" w:hAnsi="Arial"/>
          <w:sz w:val="17"/>
          <w:szCs w:val="17"/>
          <w:b w:val="1"/>
          <w:bCs w:val="1"/>
          <w:color w:val="auto"/>
        </w:rPr>
        <w:t xml:space="preserve"> </w:t>
      </w:r>
      <w:r>
        <w:rPr>
          <w:rFonts w:ascii="Arial" w:cs="Arial" w:eastAsia="Arial" w:hAnsi="Arial"/>
          <w:sz w:val="17"/>
          <w:szCs w:val="17"/>
          <w:color w:val="auto"/>
        </w:rPr>
        <w:t>bank outside Denmark, he or she is required to inform the Danish Tax Administration about the account. For this purpose, the Employee must file a Form V (Erklaering V) with the Danish Tax Administration. Both the Employee and the broker or bank must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 Common Stock in the account. In the event that the applicable broker or bank with which the account is held does not wish to, or, pursuant to the laws of the country in question, is not allowed to assume such obligation to report, the Employee acknowledges that he or she is solely responsible for providing certain details regarding the foreign brokerage account and shares of Common Stock deposited therein to the Danish Tax Administration as part of his or her annual income tax return. By signing the Form V, the Employee authorizes the Danish Tax Administration to examine the account.</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if the Employee opens a brokerage account (or a deposit account with a U.S. bank) for the purpose of holding cash outside Denmark, he or she is also required to inform the Danish Tax Administration about this account. To do so, the Employee must file a Form K (Erklaering K) with the Danish Tax Administration. The Form K must be signed both by the Employee and by the applicable broker or bank where the account is held, unless an exemption from the broker/bank signature requirement is granted by the Danish Tax Administration. It is possible to seek the exemption on the Form K, which the Employee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Employee acknowledges that he or she is solely responsible for providing certain details regarding the foreign brokerage or bank account to the Danish Tax Administration as part of the Employee’s annual income tax return. By signing the Form K, the Employee authorizes the Danish Tax Administration to examine the account.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ECUADOR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EGYPT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transfers funds into or out of Egypt in connection with the Deferred Stock Units, the Employee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transfer the funds through a registered bank in Egypt.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Consent to Receive Information in English</w:t>
      </w:r>
      <w:r>
        <w:rPr>
          <w:rFonts w:ascii="Arial" w:cs="Arial" w:eastAsia="Arial" w:hAnsi="Arial"/>
          <w:sz w:val="16"/>
          <w:szCs w:val="16"/>
          <w:color w:val="auto"/>
        </w:rPr>
        <w:t>. By accepting the Grant, the Employee confirms having read and understood the Plan and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all terms and conditions included therein, which were provided in the English language. The Employee accepts the terms of those documents accordingly.</w:t>
      </w:r>
    </w:p>
    <w:p>
      <w:pPr>
        <w:spacing w:after="0" w:line="12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If the Employee holds shares of Common Stock outside France or maintains a foreign bank account, he or</w:t>
      </w:r>
      <w:r>
        <w:rPr>
          <w:rFonts w:ascii="Arial" w:cs="Arial" w:eastAsia="Arial" w:hAnsi="Arial"/>
          <w:sz w:val="16"/>
          <w:szCs w:val="16"/>
          <w:b w:val="1"/>
          <w:bCs w:val="1"/>
          <w:color w:val="auto"/>
        </w:rPr>
        <w:t xml:space="preserve"> </w:t>
      </w:r>
      <w:r>
        <w:rPr>
          <w:rFonts w:ascii="Arial" w:cs="Arial" w:eastAsia="Arial" w:hAnsi="Arial"/>
          <w:sz w:val="16"/>
          <w:szCs w:val="16"/>
          <w:color w:val="auto"/>
        </w:rPr>
        <w:t>she is required to report such to the French tax authorities when filing his or her annual tax return. Failure to comply could trigger significant penalties. Further, French residents with foreign account balances exceeding €1,000,000 may have additional monthly reporting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NOTIFICATIONS</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 case of payments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Employee is responsible for satisfying the reporting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GHANA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Foreign exchange transfers out of Ghana are limited to US$10,000 annually. The Employee should consult his or 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advisor to ensure compliance with current regulations. It is the Employee’s responsibility to comply with Ghana exchange control laws.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GREECE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HONDURAS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Warning: The contents of this document have not been reviewed by any regulatory authority in Hong Kong. The Employee is advised to exercise caution in relation to the offer. If the Employee is in any doubt about any of the contents of the Agreement, including this Appendix, or the Plan, the Employee should obtain independent professional advice. The Deferred Stock Units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Deferred Stock Units granted to employees resident in Hong Kong shall be paid in shares of Common Stock only.</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Shares of Common Stock received under the Plan are accepted as a personal investment. In the event the Deferred Stock Units vest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are issued to the Employee within six months of the Grant Date, the Employee agrees that he or she will not dispose of the shares of Common Stock acquired prior to the six-month anniversary of the Grant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HUNGARY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Exchange Control Restrictions</w:t>
      </w:r>
      <w:r>
        <w:rPr>
          <w:rFonts w:ascii="Arial" w:cs="Arial" w:eastAsia="Arial" w:hAnsi="Arial"/>
          <w:sz w:val="17"/>
          <w:szCs w:val="17"/>
          <w:color w:val="auto"/>
        </w:rPr>
        <w:t>. The Employee must repatriate any cash dividends paid on shares of Common Stock within one-hundred eighty (180) days</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proceeds received from the sale of shares of Common Stock to India within ninety (90) days of receipt. The Employee must maintain the foreign inward remittance certificate received from the bank where the foreign currency is deposited in the event that the Reserve Bank of India or the Employer requests proof of repatriation. It is the Employee’s responsibility to comply with applicable exchange control laws in India.</w:t>
      </w:r>
    </w:p>
    <w:p>
      <w:pPr>
        <w:spacing w:after="0" w:line="16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is required to declare foreign bank accounts and any foreign financial assets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held outside India) in his or her annual tax return. It is the Employee’s responsibility to comply with this reporting obligation and the Employee should consult with his or her personal tax advisor in this regard.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INDONESIA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Indonesian residents must provide the Indonesian central bank, Bank Indonesia, with information on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on an online monthly report no later than the fifteenth day of the following month.</w:t>
      </w:r>
    </w:p>
    <w:p>
      <w:pPr>
        <w:spacing w:after="0" w:line="16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In addition, if the Employee remits funds into or out of Indonesia, the Indonesian bank through which the transaction is made will submit a report on the transaction to the Bank Indonesia for statistical reporting purposes. For transactions of USD $10,000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156" w:name="page157"/>
    <w:bookmarkEnd w:id="156"/>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If the Employee is a director, shadow director or secretary of an Irish subsidiary or affiliate, the Employee must notify</w:t>
      </w:r>
      <w:r>
        <w:rPr>
          <w:rFonts w:ascii="Arial" w:cs="Arial" w:eastAsia="Arial" w:hAnsi="Arial"/>
          <w:sz w:val="18"/>
          <w:szCs w:val="18"/>
          <w:b w:val="1"/>
          <w:bCs w:val="1"/>
          <w:color w:val="auto"/>
        </w:rPr>
        <w:t xml:space="preserve"> </w:t>
      </w:r>
      <w:r>
        <w:rPr>
          <w:rFonts w:ascii="Arial" w:cs="Arial" w:eastAsia="Arial" w:hAnsi="Arial"/>
          <w:sz w:val="18"/>
          <w:szCs w:val="18"/>
          <w:color w:val="auto"/>
        </w:rPr>
        <w:t>the Irish subsidiary or affiliate in writing if (1) the Employee receives or disposes of an interest exceeding 1% of the Company (e.g.,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paragraph 14 of the Agreement: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The Employee understands that the Mondelēz Group may hold certain personal information about the Employee, including, but not limited to, the Employee’s name, home address, email address and telephone number, date of birth, social insurance (to the extent permitted under Italian law), passport or other identification number, salary, nationality, job title, any shares of Common Stock or directorships held in the Mondelēz Group, details of all Deferred Stock Units or other entitlement to shares of Common Stock granted, canceled, exercised, vested, unvested or outstanding in the Employee’s favor, for the exclusive purpose of implementing, managing and administering the Plan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The Employee also understands that providing the Company with Data is necessary for the performance of the Plan and that the Employee’s refusal to provide such Data would make it impossible for the Company to perform its contractual obligations and may affect the Employee’s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The Employee understands that Data will not be publicized, but it may be transferred to banks, other financial institutions or brokers involved in the management and administration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Data may also be transferred to the Company’s stock plan service provider, UBS Financial Services, Inc., or such other administrator that may be engaged by the Company in the future. The Employee further understands that the Mondelēz Group will transfer Data among themselves as necessary for the purpose of implementing, administering and managing the Employee’s participation in the Plan, and that the Mondelēz Group may further transfer Data to third parties assisting the Company in the implementation, administration and management of the Plan, including any requisite transfer of Data to a broker or other third party with whom the Employee may elect to deposit any shares of Common Stock acquired at vesting of the Deferred Stock Units. Such recipients may receive, possess, use, retain and transfer Data in electronic or other form, for the purposes of implementing, administering and managing the Employee’s participation in the Plan. The Employee understands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57" w:name="page158"/>
    <w:bookmarkEnd w:id="157"/>
    <w:p>
      <w:pPr>
        <w:ind w:right="140"/>
        <w:spacing w:after="0" w:line="286"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the European Economic Area, as herein specified and pursuant to applicable laws and regulations, does not require the Employee’s consent thereto as the processing is necessary to performance of contractual obligations related to implementation, administration and management of the Plan. The Employee understands that, pursuant to Section 7 of the Legislative Decree no. 196/2003, the Employee has the right to, including but not limited to, access, delete, update, correct or terminate, for legitimate reason, the Data processing. Furthermore, the Employee is aware that Data will not be used for direct marketing purposes. In addition, Data provided can be reviewed and questions or complaints can be addressed by contacting the Employee’s local human resources representative.</w:t>
      </w:r>
    </w:p>
    <w:p>
      <w:pPr>
        <w:spacing w:after="0" w:line="161"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grant of Deferred Stock Units, the Employee acknowledges that he or she has received a copy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Agreement and has reviewed the Plan and the Agreement, including this Appendix A, in their entirety and fully understands and accepts all provisions of the Plan and the Agreement, including this Appendix A.</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Agreement;Governing Law; paragraph 21 on Miscellaneous; paragraph 22 on Compliance With Law; paragraph 25 on Imposition of Other Requirements; paragraph 26 on Insider Trading/Market Abuse Laws; paragraph 28 on Waiver; and the Data Privacy Notice included in this Appendix 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are beneficial owners of the investment pursuant to Italian money laundering provisions.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58" w:name="page159"/>
    <w:bookmarkEnd w:id="158"/>
    <w:p>
      <w:pPr>
        <w:ind w:right="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Foreign Financial Assets Tax. </w:t>
      </w:r>
      <w:r>
        <w:rPr>
          <w:rFonts w:ascii="Arial" w:cs="Arial" w:eastAsia="Arial" w:hAnsi="Arial"/>
          <w:sz w:val="16"/>
          <w:szCs w:val="16"/>
          <w:color w:val="auto"/>
        </w:rPr>
        <w:t>The fair market value of any shares of Common Stock held outside Italy is subject to a foreign assets tax.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Employee acquires shares of Common Stock valued at more than ¥100,000,000 in a single transaction,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must file a Securities Acquisition Report with the Ministry of Finance through the Bank of Japan within 20 days of the purchase of the shares of Common Stock.</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will be required to report details of any assets held outside Japan as of December 31st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KENYA</w:t>
      </w:r>
    </w:p>
    <w:p>
      <w:pPr>
        <w:spacing w:after="0" w:line="117"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Tax Registration Notification</w:t>
      </w:r>
      <w:r>
        <w:rPr>
          <w:rFonts w:ascii="Arial" w:cs="Arial" w:eastAsia="Arial" w:hAnsi="Arial"/>
          <w:sz w:val="16"/>
          <w:szCs w:val="16"/>
          <w:color w:val="auto"/>
        </w:rPr>
        <w:t>. Under Tax Procedure Act, 2015, the Employee is required to complete and submit a tax registration application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Commissioner of Income Tax within 30 days of first vesting in the Deferred Stock Units. The registration should be completed through the online portal “I TAX” and is a one-time only registration. The Employee is solely responsible for ensuring compliance with all registration requirements in Kenya.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LEBANON</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 (2011), the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Law. Offerings under the Plan are being made only to eligible employees of the Mondelēz Group.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LITHUANIA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MALAYSIA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Privacy Notice</w:t>
      </w:r>
      <w:r>
        <w:rPr>
          <w:rFonts w:ascii="Arial" w:cs="Arial" w:eastAsia="Arial" w:hAnsi="Arial"/>
          <w:sz w:val="16"/>
          <w:szCs w:val="16"/>
          <w:color w:val="auto"/>
        </w:rPr>
        <w:t>. The following provision replaces in its entirety paragraph 14 of the Agreement:</w:t>
      </w:r>
    </w:p>
    <w:p>
      <w:pPr>
        <w:sectPr>
          <w:pgSz w:w="11900" w:h="16838" w:orient="portrait"/>
          <w:cols w:equalWidth="0" w:num="1">
            <w:col w:w="11420"/>
          </w:cols>
          <w:pgMar w:left="240" w:top="270" w:right="239" w:bottom="1440" w:gutter="0" w:footer="0" w:header="0"/>
        </w:sectPr>
      </w:pPr>
    </w:p>
    <w:p>
      <w:pPr>
        <w:spacing w:after="0" w:line="27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The Employee explicitly and unambiguously consents to the collection, use and transfer, in electronic or other form, of the Employee’s personal data as described in this Agreement and any other Deferred Stock Unit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w:t>
      </w:r>
    </w:p>
    <w:p>
      <w:pPr>
        <w:spacing w:after="0" w:line="19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i w:val="1"/>
          <w:iCs w:val="1"/>
          <w:color w:val="auto"/>
        </w:rPr>
        <w:t>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i w:val="1"/>
          <w:iCs w:val="1"/>
          <w:color w:val="auto"/>
        </w:rPr>
        <w:t>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spacing w:after="0" w:line="189" w:lineRule="exact"/>
        <w:rPr>
          <w:sz w:val="20"/>
          <w:szCs w:val="20"/>
          <w:color w:val="auto"/>
        </w:rPr>
      </w:pPr>
    </w:p>
    <w:p>
      <w:pPr>
        <w:spacing w:after="0" w:line="305" w:lineRule="auto"/>
        <w:rPr>
          <w:sz w:val="20"/>
          <w:szCs w:val="20"/>
          <w:color w:val="auto"/>
        </w:rPr>
      </w:pPr>
      <w:r>
        <w:rPr>
          <w:rFonts w:ascii="Arial" w:cs="Arial" w:eastAsia="Arial" w:hAnsi="Arial"/>
          <w:sz w:val="15"/>
          <w:szCs w:val="15"/>
          <w:b w:val="1"/>
          <w:bCs w:val="1"/>
          <w:i w:val="1"/>
          <w:iCs w:val="1"/>
          <w:color w:val="auto"/>
        </w:rPr>
        <w:t>The Employee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the Employee’s country. The Employee understands that the Employee may request a list with the names and addresses of any potential recipients of the Data by contacting the Employee’s local human resources representative at Mondelez Sales Sdn Bhd, Level 9, 1 First Avenue, 2A, Dataran Bandar Utama, Bandar Utama Damasara, 47800 Petaling Jaya, Selangor, Malaysia. The Employee authorizes the Company, UBS and any other possible recipients which may assist the Company (presently or in the future) with implementing,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spacing w:after="0" w:line="2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w:t>
      </w:r>
    </w:p>
    <w:p>
      <w:pPr>
        <w:spacing w:after="0" w:line="20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i w:val="1"/>
          <w:iCs w:val="1"/>
          <w:color w:val="auto"/>
        </w:rPr>
        <w:t>Pekerja memahami bahawa Data tersebut akan dipindahkan ke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atau pembekal perkhidmatan pelan saham lain yang mungkin dipilih oleh Syarikat pada masa hadapan, yang membantu Syarikat melaksanakan, mentadbir dan menguruskan Pelan tersebut. Pekerja memahami bahawa Data juga mungkin dipindahkan kepada firma akauntansi awam 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Sales Sdn</w:t>
      </w:r>
    </w:p>
    <w:p>
      <w:pPr>
        <w:sectPr>
          <w:pgSz w:w="11900" w:h="16838" w:orient="portrait"/>
          <w:cols w:equalWidth="0" w:num="2">
            <w:col w:w="5820" w:space="240"/>
            <w:col w:w="5360"/>
          </w:cols>
          <w:pgMar w:left="240" w:top="270" w:right="239" w:bottom="1440" w:gutter="0" w:footer="0" w:header="0"/>
          <w:type w:val="continuous"/>
        </w:sectPr>
      </w:pPr>
    </w:p>
    <w:bookmarkStart w:id="160" w:name="page161"/>
    <w:bookmarkEnd w:id="160"/>
    <w:p>
      <w:pPr>
        <w:spacing w:after="0" w:line="304"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he or she is providing the consents herein on a purely voluntary basis. If the Employee does not consent, or if the Employee later seeks to revoke his or her consent, his or her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ind w:right="440"/>
        <w:spacing w:after="0" w:line="342" w:lineRule="auto"/>
        <w:rPr>
          <w:sz w:val="20"/>
          <w:szCs w:val="20"/>
          <w:color w:val="auto"/>
        </w:rPr>
      </w:pPr>
      <w:r>
        <w:rPr>
          <w:rFonts w:ascii="Arial" w:cs="Arial" w:eastAsia="Arial" w:hAnsi="Arial"/>
          <w:sz w:val="16"/>
          <w:szCs w:val="16"/>
          <w:b w:val="1"/>
          <w:bCs w:val="1"/>
          <w:i w:val="1"/>
          <w:iCs w:val="1"/>
          <w:color w:val="auto"/>
        </w:rPr>
        <w:t>Bhd, Level 9, 1 First Avenue, 2A, Dataran Bandar Utama, Bandar Utama Damasara, 47800 Petaling Jaya, Selangor, Malaysia.</w:t>
      </w:r>
    </w:p>
    <w:p>
      <w:pPr>
        <w:spacing w:after="0" w:line="151"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Pekerjadengan ini membenarkan Syarikat, UBS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Pekerja dalam Pelan. Pekerja memahami bahawa Data hanya akan disimpan untuk tempoh yang diperlukan untuk melaksana, mentadbir, dan mengurus penyertaan Pekerja dalam Pelan. Pekerja memahami bahawa Pekerja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Pekerja memahami bahawa Pekerja memberikan persetujuan di sini secara sukarela. Jikalau, Pekerja tidak bersetuju, atau sekiranaya Pekerja kemudiannya membatalkan persetujuannya, status pekerjaan atau perkhidmatan dan kerjaya Pekerja dengan Majikan tidak akan terjejas; satu-satunya akibat jika Pekerja tidak bersetuju atau menarik balik 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p>
      <w:pPr>
        <w:sectPr>
          <w:pgSz w:w="11900" w:h="16838" w:orient="portrait"/>
          <w:cols w:equalWidth="0" w:num="2">
            <w:col w:w="5820" w:space="240"/>
            <w:col w:w="5360"/>
          </w:cols>
          <w:pgMar w:left="240" w:top="274"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b w:val="1"/>
          <w:bCs w:val="1"/>
          <w:color w:val="auto"/>
        </w:rPr>
        <w:t xml:space="preserve">Director Notification Obligation. </w:t>
      </w:r>
      <w:r>
        <w:rPr>
          <w:rFonts w:ascii="Arial" w:cs="Arial" w:eastAsia="Arial" w:hAnsi="Arial"/>
          <w:sz w:val="16"/>
          <w:szCs w:val="16"/>
          <w:color w:val="auto"/>
        </w:rPr>
        <w:t>If the Employee is a director of the Company’s Malaysian subsidiary or affiliate, the Employee is subject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notification requirements under the Malaysian Companies Act. Among these requirements is an obligation to notify the Malaysian subsidiary or affiliate in writing when the Employee receives or disposes of an interest (</w:t>
      </w:r>
      <w:r>
        <w:rPr>
          <w:rFonts w:ascii="Arial" w:cs="Arial" w:eastAsia="Arial" w:hAnsi="Arial"/>
          <w:sz w:val="16"/>
          <w:szCs w:val="16"/>
          <w:i w:val="1"/>
          <w:iCs w:val="1"/>
          <w:color w:val="auto"/>
        </w:rPr>
        <w:t>e.g.</w:t>
      </w:r>
      <w:r>
        <w:rPr>
          <w:rFonts w:ascii="Arial" w:cs="Arial" w:eastAsia="Arial" w:hAnsi="Arial"/>
          <w:sz w:val="16"/>
          <w:szCs w:val="16"/>
          <w:color w:val="auto"/>
        </w:rPr>
        <w:t>, Deferred Stock Units or shares of Common Stock) in the Company or any related company. Such notifications must be made within 14 days of receiving or disposing of any interest in the Company or any related company.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Labor Law Policy. </w:t>
      </w:r>
      <w:r>
        <w:rPr>
          <w:rFonts w:ascii="Arial" w:cs="Arial" w:eastAsia="Arial" w:hAnsi="Arial"/>
          <w:sz w:val="18"/>
          <w:szCs w:val="18"/>
          <w:color w:val="auto"/>
        </w:rPr>
        <w:t>In accepting the grant of the Deferred Stock Units, the Employee expressly recognizes that Mondelēz International, Inc.,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at Three Parkway North, Deerfield, Illinois 60015,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Mondelez Mexico S. de R.L. de C.V., located at H. Congreso de la Union 5840, Colonia Tres Estrellas, Mexico City, CP 07820 Mexico. Based on the foregoing, the Employee expressly recognizes that the Plan and the benefits that he or she may derive from participating in the Plan do not establish any rights between the Employee and the Employer, Mondelez Mexico S. de R.L. de C.V., and do not form part of the employment conditions and/or benefits provided by Mondelez Mexico S. de R.L. de C.V., and any modification of the Plan or its termination shall not constitute a change or impairment of the terms and conditions of the Employee’s employment.</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spacing w:after="0" w:line="177"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Plan Document Acknowledgment</w:t>
      </w:r>
      <w:r>
        <w:rPr>
          <w:rFonts w:ascii="Arial" w:cs="Arial" w:eastAsia="Arial" w:hAnsi="Arial"/>
          <w:sz w:val="17"/>
          <w:szCs w:val="17"/>
          <w:color w:val="auto"/>
        </w:rPr>
        <w:t>. By accepting the Deferred Stock Units, the Employee acknowledges that he or she has received copies of the Plan, has</w:t>
      </w:r>
      <w:r>
        <w:rPr>
          <w:rFonts w:ascii="Arial" w:cs="Arial" w:eastAsia="Arial" w:hAnsi="Arial"/>
          <w:sz w:val="17"/>
          <w:szCs w:val="17"/>
          <w:b w:val="1"/>
          <w:bCs w:val="1"/>
          <w:color w:val="auto"/>
        </w:rPr>
        <w:t xml:space="preserve"> </w:t>
      </w:r>
      <w:r>
        <w:rPr>
          <w:rFonts w:ascii="Arial" w:cs="Arial" w:eastAsia="Arial" w:hAnsi="Arial"/>
          <w:sz w:val="17"/>
          <w:szCs w:val="17"/>
          <w:color w:val="auto"/>
        </w:rPr>
        <w:t>reviewed the Plan and the Agreement in their entirety and fully understands and accepts all provisions of the Plan and the Agreement.</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Company or any Parent, Subsidiary or Affiliate is responsible for any decrease in the value of the shares of Common Stock underlying the Deferred Stock Units.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62" w:name="page163"/>
    <w:bookmarkEnd w:id="16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TÉRMINOS Y CONDICIONES</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Política Laboral y Reconocimiento/Aceptación. </w:t>
      </w:r>
      <w:r>
        <w:rPr>
          <w:rFonts w:ascii="Arial" w:cs="Arial" w:eastAsia="Arial" w:hAnsi="Arial"/>
          <w:sz w:val="17"/>
          <w:szCs w:val="17"/>
          <w:color w:val="auto"/>
        </w:rPr>
        <w:t>Al aceptar el otorgamiento de las Acciones Diferidas, el Empleado expresamente reconoce que Mondelēz</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Inc., con domicilio registrado ubicado en Three Parkway North, Deerfield, Illinois 60015,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Mondelez Mexico S. de R.L. de C.V. con domicilio en H. Congreso de la Union 5840, Colonia Tres Estrellas, Mexico, D.F. 07820 Mexico. Derivado de lo anterior, el Empleado expresamente reconoce que el Plan y los beneficios que pudieran derivar de la participación en el Plan no establecen derecho alguno entre el Empleado y el Patrón, Mondelez Mexico S. de R.L. de C.V. y no forma parte de las condiciones de trabajo y/o las prestaciones otorgadas por Mondelez Mexico S. de R.L. de C.V. y que cualquier modificación al Plan o su terminación no constituye un cambio o impedimento de los términos y condiciones de la relación de trabajo del Empleado.</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77"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Reconocimiento del Plan de Documentos</w:t>
      </w:r>
      <w:r>
        <w:rPr>
          <w:rFonts w:ascii="Arial" w:cs="Arial" w:eastAsia="Arial" w:hAnsi="Arial"/>
          <w:sz w:val="16"/>
          <w:szCs w:val="16"/>
          <w:color w:val="auto"/>
        </w:rPr>
        <w:t>. Al aceptar el otorgamiento de las Acciones Diferidas, el Empleado reconoce que ha recibido copias del Plan, que</w:t>
      </w:r>
      <w:r>
        <w:rPr>
          <w:rFonts w:ascii="Arial" w:cs="Arial" w:eastAsia="Arial" w:hAnsi="Arial"/>
          <w:sz w:val="16"/>
          <w:szCs w:val="16"/>
          <w:b w:val="1"/>
          <w:bCs w:val="1"/>
          <w:color w:val="auto"/>
        </w:rPr>
        <w:t xml:space="preserve"> </w:t>
      </w:r>
      <w:r>
        <w:rPr>
          <w:rFonts w:ascii="Arial" w:cs="Arial" w:eastAsia="Arial" w:hAnsi="Arial"/>
          <w:sz w:val="16"/>
          <w:szCs w:val="16"/>
          <w:color w:val="auto"/>
        </w:rPr>
        <w:t>ha revisado el Plan y el Acuerdo en su totalidad y que entiende y acepta completamente todas las disposiciones contenidas en el Plan y en el Acuerdo.</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la Compañía de forma completamente discrecional; (iii) la participación en el Plan es voluntaria; y (iv) ni la Compañíao cualqiuer Sociedad controlante, Subsidiaria o Filial son responsables por ninguna disminución en el valor de las Acciones subyacentes de las Acciones Diferidas.</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MOROCCO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WARNING: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Employee is being offered Deferred Stock Units which allows the Employee to acquire shares of Common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Stock in accordance with the terms of the Plan and the Agreement. The shares of Common Stock, if issued, give the Employee a stake in the ownership of the Company. The Employee may receive a return if dividends are paid.</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If the Company runs into financial difficulties and is wound up, the Employee will be paid only after all creditors and holders of preference shares have been paid. The Employee may lose some or all of his or her investment.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164" w:name="page165"/>
    <w:bookmarkEnd w:id="164"/>
    <w:p>
      <w:pPr>
        <w:ind w:right="2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understands that he or she should ask questions, read all documents carefully, and seek independent financial advice before participating in the Plan.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as well as on the Company’s website at </w:t>
      </w:r>
      <w:r>
        <w:rPr>
          <w:rFonts w:ascii="Arial" w:cs="Arial" w:eastAsia="Arial" w:hAnsi="Arial"/>
          <w:sz w:val="16"/>
          <w:szCs w:val="16"/>
          <w:u w:val="single" w:color="auto"/>
          <w:color w:val="auto"/>
        </w:rPr>
        <w:t>http://ir.mondelezinternational.com/sec.cfm</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NIGERIA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NORWAY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PAKISTAN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is required immediately to repatriate to Pakistan the proceeds from the sale of any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By accepting the Deferred Stock Units, the Employee acknowledges, understands and agrees that the Deferred Stock Units are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with the purpose of rewarding him or 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NOTIFICATIONS</w:t>
      </w:r>
    </w:p>
    <w:p>
      <w:pPr>
        <w:spacing w:after="0" w:line="11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grant of Deferred Stock Units is considered a private offering in Peru; therefore, it is not subject to registration. For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www.sec.gov.</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offering is subject to exemption from the requirements of securities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under Section 10.1 (k) of the Philippine Securities Regulation Code.</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For further information on risk factors impacting the Company’s business that may affect the value of the shares of Common Stock, the Employee may refer to the risk factors discussion in the Company’s Annual Report on Form 10-K and Quarterly Reports on Form 10-Q, which are filed with the U.S. Securities and Exchange Commission and are available online at www.sec.gov, as well as on the Company’s website at </w:t>
      </w:r>
      <w:r>
        <w:rPr>
          <w:rFonts w:ascii="Arial" w:cs="Arial" w:eastAsia="Arial" w:hAnsi="Arial"/>
          <w:sz w:val="18"/>
          <w:szCs w:val="18"/>
          <w:u w:val="single" w:color="auto"/>
          <w:color w:val="auto"/>
        </w:rPr>
        <w:t>http://ir.mondelezinternational.com/sec.cfm</w:t>
      </w:r>
      <w:r>
        <w:rPr>
          <w:rFonts w:ascii="Arial" w:cs="Arial" w:eastAsia="Arial" w:hAnsi="Arial"/>
          <w:sz w:val="18"/>
          <w:szCs w:val="18"/>
          <w:color w:val="auto"/>
        </w:rPr>
        <w:t>. In addition, the Employee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Employee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Polish resident who maintain bank or brokerage accounts holding cash and foreign securities (including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PORTUGAL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Employee hereby expressly declares that he or she has full knowledge of the English language and has read, understood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and agreed with the terms and conditions established in the Plan and the Agreement.</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 xml:space="preserve">Conhecimento da Lingua. </w:t>
      </w:r>
      <w:r>
        <w:rPr>
          <w:rFonts w:ascii="Arial" w:cs="Arial" w:eastAsia="Arial" w:hAnsi="Arial"/>
          <w:sz w:val="16"/>
          <w:szCs w:val="16"/>
          <w:i w:val="1"/>
          <w:iCs w:val="1"/>
          <w:color w:val="auto"/>
        </w:rPr>
        <w:t>O Contratado, pelo presente instrumento, declara expressamente que tem pleno conhecimento da língua inglesa e que leu,</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compreendeu e livremente aceitou e concordou com os termos e condições estabelecidas no Plano e no Acordo de Atribuição (“Agreement” em inglês)</w:t>
      </w:r>
      <w:r>
        <w:rPr>
          <w:rFonts w:ascii="Arial" w:cs="Arial" w:eastAsia="Arial" w:hAnsi="Arial"/>
          <w:sz w:val="16"/>
          <w:szCs w:val="16"/>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Employee acquires shares of Common Stock under the Plan and does not hold the shares of Common Stock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Portuguese financial intermediary, he or she may need to file a report with the Portuguese Central Bank. If the shares of Common Stock are held by a Portuguese financial intermediary, it will file the report for the Employee.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PUERTO RICO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Employee deposits proceeds from the sale of Common Stock in a bank account in Romania, the Employee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RUSSIA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U.S. Transaction. </w:t>
      </w:r>
      <w:r>
        <w:rPr>
          <w:rFonts w:ascii="Arial" w:cs="Arial" w:eastAsia="Arial" w:hAnsi="Arial"/>
          <w:sz w:val="18"/>
          <w:szCs w:val="18"/>
          <w:color w:val="auto"/>
        </w:rPr>
        <w:t>The Employee understands that acceptance of the grant of Deferred Stock Units results in a contract between the Employee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completed in the United States and that the Agreement is governed by the laws of the Commonwealth of Virginia, without regard to choice of law principles thereof. Any Common Stock to be issued upon vesting of the Deferred Stock Units shall be delivered to the Employee through a brokerage account in the U.S. The Employee may hold the Common Stock in his or her brokerage account in the U.S.; however, in no event will Common Stock issued to the Employee under the Plan be delivered to the Employee in Russia. The Employee is not permitted to sell the Common Stock directly to other Russian legal entities or individuals.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Settlement of Deferred Stock Units and Sale of Shares. </w:t>
      </w:r>
      <w:r>
        <w:rPr>
          <w:rFonts w:ascii="Arial" w:cs="Arial" w:eastAsia="Arial" w:hAnsi="Arial"/>
          <w:sz w:val="17"/>
          <w:szCs w:val="17"/>
          <w:color w:val="auto"/>
        </w:rPr>
        <w:t>Notwithstanding anything to the contrary in the Agreement, depending on the development of local</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167" w:name="page168"/>
    <w:bookmarkEnd w:id="167"/>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Law Information. </w:t>
      </w:r>
      <w:r>
        <w:rPr>
          <w:rFonts w:ascii="Arial" w:cs="Arial" w:eastAsia="Arial" w:hAnsi="Arial"/>
          <w:sz w:val="18"/>
          <w:szCs w:val="18"/>
          <w:color w:val="auto"/>
        </w:rPr>
        <w:t>The Employee acknowledges that the Agreement, the grant of Deferred Stock Units, the Plan and all other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following provision supplements paragraph 14 of the Agreement: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Employee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Within a reasonably short time after the sale of shares of Common Stock acquired under the Plan, the cash proceeds must</w:t>
      </w:r>
      <w:r>
        <w:rPr>
          <w:rFonts w:ascii="Arial" w:cs="Arial" w:eastAsia="Arial" w:hAnsi="Arial"/>
          <w:sz w:val="18"/>
          <w:szCs w:val="18"/>
          <w:b w:val="1"/>
          <w:bCs w:val="1"/>
          <w:color w:val="auto"/>
        </w:rPr>
        <w:t xml:space="preserve"> </w:t>
      </w:r>
      <w:r>
        <w:rPr>
          <w:rFonts w:ascii="Arial" w:cs="Arial" w:eastAsia="Arial" w:hAnsi="Arial"/>
          <w:sz w:val="18"/>
          <w:szCs w:val="18"/>
          <w:color w:val="auto"/>
        </w:rPr>
        <w:t>be initially credited to the Employee through a foreign currency account at an authorized bank in Russia. After the proceeds are initially received in Russia, they may be further remitted to foreign banks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an express statutory exception to this requirement, cash dividends paid on shares of Common Stock can be paid directly into a foreign bank or brokerage account opened with a foreign bank located in Organisation for Economic Cooperation Development (“OECD”) or Financial Action Task Force (“FATF”) countries without first remitting them to a bank account in Russia. Other statutory exceptions may also apply.</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Employee is strongly advised to contact his or her personal advisor before any Deferred Stock Units vest or shares of Common Stock are sold, as significant penalties may apply in the case of non-compliance with exchange control requirements, and because such exchange control requirements may change.</w:t>
      </w:r>
    </w:p>
    <w:p>
      <w:pPr>
        <w:spacing w:after="0" w:line="17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Employee continues to hold shares of Common Stock acquired at vesting of Deferred Stock Units after an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the Employee will not be eligible to receive unemployment benefits in Russia.</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0" w:right="319" w:bottom="1440" w:gutter="0" w:footer="0" w:header="0"/>
        </w:sectPr>
      </w:pPr>
    </w:p>
    <w:bookmarkStart w:id="168" w:name="page169"/>
    <w:bookmarkEnd w:id="168"/>
    <w:p>
      <w:pPr>
        <w:ind w:right="2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Asset/Account Reporting Information</w:t>
      </w:r>
      <w:r>
        <w:rPr>
          <w:rFonts w:ascii="Arial" w:cs="Arial" w:eastAsia="Arial" w:hAnsi="Arial"/>
          <w:sz w:val="18"/>
          <w:szCs w:val="18"/>
          <w:color w:val="auto"/>
        </w:rPr>
        <w:t>. Russian residents are required to notify Russian tax authorities within one (1) month of opening, closing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changing the details of a foreign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the Employee to provide appropriate supporting documents related to transactions in a foreign bank account. The Employee is encouraged to contact his or her personal advisor before remitting proceeds from participation in the Plan to Russia as exchange control requirements may change.</w:t>
      </w:r>
    </w:p>
    <w:p>
      <w:pPr>
        <w:spacing w:after="0" w:line="188"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Anti-Corruption Information</w:t>
      </w:r>
      <w:r>
        <w:rPr>
          <w:rFonts w:ascii="Arial" w:cs="Arial" w:eastAsia="Arial" w:hAnsi="Arial"/>
          <w:sz w:val="17"/>
          <w:szCs w:val="17"/>
          <w:color w:val="auto"/>
        </w:rPr>
        <w:t>. Anti-corruption laws prohibit certain public servants, their spouses and their dependent children from owning any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source financial instruments (e.g., shares of foreign companies such as the Company). Accordingly, the Employee should inform the Company if the Employee is covered by these laws because the Employee should not hold shares of Common Stock acquired under the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SAUDI ARABIA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Deferred Stock Units Payable Only in Cash</w:t>
      </w:r>
      <w:r>
        <w:rPr>
          <w:rFonts w:ascii="Arial" w:cs="Arial" w:eastAsia="Arial" w:hAnsi="Arial"/>
          <w:sz w:val="18"/>
          <w:szCs w:val="18"/>
          <w:color w:val="auto"/>
        </w:rPr>
        <w:t>. 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document may not be distributed in the Kingdom except to such persons as are permitted (</w:t>
      </w:r>
      <w:r>
        <w:rPr>
          <w:rFonts w:ascii="Arial" w:cs="Arial" w:eastAsia="Arial" w:hAnsi="Arial"/>
          <w:sz w:val="18"/>
          <w:szCs w:val="18"/>
          <w:i w:val="1"/>
          <w:iCs w:val="1"/>
          <w:color w:val="auto"/>
        </w:rPr>
        <w:t>e.g.</w:t>
      </w:r>
      <w:r>
        <w:rPr>
          <w:rFonts w:ascii="Arial" w:cs="Arial" w:eastAsia="Arial" w:hAnsi="Arial"/>
          <w:sz w:val="18"/>
          <w:szCs w:val="18"/>
          <w:color w:val="auto"/>
        </w:rPr>
        <w:t>, Participants) under the Offers of Securities Regulations issued by the Capital Market Authority.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Pursuant to the Law on Foreign Exchange Transactions, the Employee is permitted to acquire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but a report may need to be made of the acquisition of such Common Stock, the value of the shares of Common Stock at vesting of the Deferred Stock Units and, on a quarterly basis, any changes in the value of the shares of Common Stock. An exemption from this reporting obligation may apply for Deferred Stock Units on the basis that the shares are acquired for no consideration. Because the exchange control regulations in Serbia may change without notice, the Employee should consult with his or her personal advisor with respect to all applicable reporting obligations.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0" w:right="27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The Employee understands that if he or she acquires shares of Common Stock under the Plan, the shares are subject to a six-month</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period during which time the Employee may not sell any shares of Common Stock acquired under the Plan unless such shares have been previously issued, are listed for quotation or quoted on the Singapore Exchange Securities Trading Limited (“</w:t>
      </w:r>
      <w:r>
        <w:rPr>
          <w:rFonts w:ascii="Arial" w:cs="Arial" w:eastAsia="Arial" w:hAnsi="Arial"/>
          <w:sz w:val="16"/>
          <w:szCs w:val="16"/>
          <w:u w:val="single" w:color="auto"/>
          <w:color w:val="auto"/>
        </w:rPr>
        <w:t>SGX-ST</w:t>
      </w:r>
      <w:r>
        <w:rPr>
          <w:rFonts w:ascii="Arial" w:cs="Arial" w:eastAsia="Arial" w:hAnsi="Arial"/>
          <w:sz w:val="16"/>
          <w:szCs w:val="16"/>
          <w:color w:val="auto"/>
        </w:rPr>
        <w:t>”) and are traded on the SGX-ST.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grant of Deferred Stock Units is being made pursuant to the “Qualifying Person” exemption under section 273(1)(f)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Futures Act (Chapter 289, 2006 Ed.) (“</w:t>
      </w:r>
      <w:r>
        <w:rPr>
          <w:rFonts w:ascii="Arial" w:cs="Arial" w:eastAsia="Arial" w:hAnsi="Arial"/>
          <w:sz w:val="18"/>
          <w:szCs w:val="18"/>
          <w:u w:val="single" w:color="auto"/>
          <w:color w:val="auto"/>
        </w:rPr>
        <w:t>SFA</w:t>
      </w:r>
      <w:r>
        <w:rPr>
          <w:rFonts w:ascii="Arial" w:cs="Arial" w:eastAsia="Arial" w:hAnsi="Arial"/>
          <w:sz w:val="18"/>
          <w:szCs w:val="18"/>
          <w:color w:val="auto"/>
        </w:rPr>
        <w:t>”) and is not made to the Employee with a view to the Deferred Stock Units being subsequently offered for sale to any other party. The Plan has not been lodged or registered as a prospectus with the Monetary Authority of Singapore. The Employee should note that the Deferred Stock Units are subject to section 257 of the SFA and the Employee will not be able to make any subsequent sale of the shares of Common Stock in Singapore, or any offer of such subsequent sale of the shares of Common Stock subject to the Grants in Singapore, unless such sale or offer in is made (i) after six months from the Grant Date or (ii) pursuant to the exemptions under Part XIII Division (1) Subdivision (4) (other than section 280) of the SFA.</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Chief Executive Officer and Director Notification Requirement. </w:t>
      </w:r>
      <w:r>
        <w:rPr>
          <w:rFonts w:ascii="Arial" w:cs="Arial" w:eastAsia="Arial" w:hAnsi="Arial"/>
          <w:sz w:val="17"/>
          <w:szCs w:val="17"/>
          <w:color w:val="auto"/>
        </w:rPr>
        <w:t>The chief executive officer (“CEO”), directors, associate directors and shadow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17"/>
          <w:szCs w:val="17"/>
          <w:i w:val="1"/>
          <w:iCs w:val="1"/>
          <w:color w:val="auto"/>
        </w:rPr>
        <w:t>e.g.</w:t>
      </w:r>
      <w:r>
        <w:rPr>
          <w:rFonts w:ascii="Arial" w:cs="Arial" w:eastAsia="Arial" w:hAnsi="Arial"/>
          <w:sz w:val="17"/>
          <w:szCs w:val="17"/>
          <w:color w:val="auto"/>
        </w:rPr>
        <w:t>, Deferred Stock Units, shares of Common Stock, etc.) in the Company or any related companies within two business days of (i) its acquisition or disposal, (ii) any change in a previously disclosed interest (</w:t>
      </w:r>
      <w:r>
        <w:rPr>
          <w:rFonts w:ascii="Arial" w:cs="Arial" w:eastAsia="Arial" w:hAnsi="Arial"/>
          <w:sz w:val="17"/>
          <w:szCs w:val="17"/>
          <w:i w:val="1"/>
          <w:iCs w:val="1"/>
          <w:color w:val="auto"/>
        </w:rPr>
        <w:t>e.g.,</w:t>
      </w:r>
      <w:r>
        <w:rPr>
          <w:rFonts w:ascii="Arial" w:cs="Arial" w:eastAsia="Arial" w:hAnsi="Arial"/>
          <w:sz w:val="17"/>
          <w:szCs w:val="17"/>
          <w:color w:val="auto"/>
        </w:rPr>
        <w:t xml:space="preserve"> when the shares of Common Stock are sold), or (iii) becoming the CEO or a director, associate director or shadow director.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SLOVENIA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Slovenian residents may be required to report the opening of bank and/or brokerage accounts to tax</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within eight (8) days of opening such account. The Employee should consult with his or her personal tax advisor to determine whether this requirement will be applicable to any accounts opened in connection with the Employee’s participation in the Plan (e.g., the Employee’s brokerage account with the Company’s designated broker).</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0" w:right="2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 AFRICA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In compliance with South African Securities Law, the documents listed below are available for the Employee’s review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public site or intranet site, as applicable, as listed below:</w:t>
      </w:r>
    </w:p>
    <w:p>
      <w:pPr>
        <w:spacing w:after="0" w:line="116" w:lineRule="exact"/>
        <w:rPr>
          <w:sz w:val="20"/>
          <w:szCs w:val="20"/>
          <w:color w:val="auto"/>
        </w:rPr>
      </w:pPr>
    </w:p>
    <w:p>
      <w:pPr>
        <w:ind w:left="900" w:right="176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most recent Annual Report (Form 10-K): from the investor relations section of the Company’s website at http://www.mondelezinternational.com/investors.</w:t>
      </w:r>
    </w:p>
    <w:p>
      <w:pPr>
        <w:spacing w:after="0" w:line="75" w:lineRule="exact"/>
        <w:rPr>
          <w:rFonts w:ascii="Arial" w:cs="Arial" w:eastAsia="Arial" w:hAnsi="Arial"/>
          <w:sz w:val="18"/>
          <w:szCs w:val="18"/>
          <w:color w:val="auto"/>
        </w:rPr>
      </w:pPr>
    </w:p>
    <w:p>
      <w:pPr>
        <w:ind w:left="900" w:right="204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most recent Plan prospectus: a copy of which can be found on the Company’s Intranet site located at: https://intranet.mdlz.com/sites/globalhr/comp/Pages/Legal-Documents.aspx.</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Employee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paragraph 5 of the Agreement:</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By accepting the Deferred Stock Units, the Employee agrees to notify the Employer of the amount of any gain realized upon vesting of the Deferred Stock Units. If the Employee fails to advise the Employer of the gain realized upon vesting of the Deferred Stock Units, he or she may be liable for a fine. The Employee will be responsible for paying any difference between the actual tax liability and the amount withheld.</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Exchange Control Obligations. </w:t>
      </w:r>
      <w:r>
        <w:rPr>
          <w:rFonts w:ascii="Arial" w:cs="Arial" w:eastAsia="Arial" w:hAnsi="Arial"/>
          <w:sz w:val="18"/>
          <w:szCs w:val="18"/>
          <w:color w:val="auto"/>
        </w:rPr>
        <w:t>The Employee is solely responsible for complying with applicable South African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Under current South African exchange control policy, if the Employee is a South African resident, he or she may invest a</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Employee’s responsibility to ensure that he or she does not exceed this limit and obtains the necessary tax clearance for remittances exceeding ZAR1,000,000. The Employee should note that this is a cumulative allowance and that his or her ability to remit funds for the purchase of shares of Common Stock will be reduced if the Employee’s foreign investment limit is utilized to make a transfer of funds offshore that is unrelated to the Plan. There is no repatriation requirement on the sale proceeds if the ZAR11,000,000 limit is not exceeded.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laws require South Korean residents who realize US$500,000 or more from the sale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the receipt of dividends paid on such shares of Common Stock in a single transaction to repatriate the proceeds to South Korea within three years of receipt.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171" w:name="page172"/>
    <w:bookmarkEnd w:id="171"/>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 bank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accounts, etc.) to the South Korean tax authority and file a report with respect to such accounts if the value of such accounts exceeds KRW 1 billion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The following provision supplements paragraph 13 of the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accepting the Deferred Stock Units, the Employee consents to participation in the Plan and acknowledges that he or she has received a copy of the Plan.</w:t>
      </w:r>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a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No “offer of securities to the public”, as defined under Spanish law, has taken place or will take place in the Spanish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Agreement (including this Appendix)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must declare the acquisition, ownership and disposition of shares of Common Stock to the Spanish</w:t>
      </w:r>
      <w:r>
        <w:rPr>
          <w:rFonts w:ascii="Arial" w:cs="Arial" w:eastAsia="Arial" w:hAnsi="Arial"/>
          <w:sz w:val="18"/>
          <w:szCs w:val="18"/>
          <w:b w:val="1"/>
          <w:bCs w:val="1"/>
          <w:color w:val="auto"/>
        </w:rPr>
        <w:t xml:space="preserve"> </w:t>
      </w:r>
      <w:r>
        <w:rPr>
          <w:rFonts w:ascii="Arial" w:cs="Arial" w:eastAsia="Arial" w:hAnsi="Arial"/>
          <w:sz w:val="18"/>
          <w:szCs w:val="18"/>
          <w:color w:val="auto"/>
        </w:rPr>
        <w:t>Dirección General de Comercio e Inversiones (the “DGCI”)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Employee holds 10% or more of the share capital of the Company), the declaration must be filed within one month of the acquisition or disposition, as applicable.</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Employee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Employee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SWAZILAND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Deferred Stock Units is considered a private offering in Switzerland and is therefore not subject to registration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Neither this document nor any other materials relating to the Deferred Stock Units constitutes a prospectus as such term is understood pursuant to article 652a of the Swiss Code of Obligations, and neither this document nor any other materials relating to the Deferred Stock Units may be publicly distributed nor otherwise made publicly available in Switzerland. Neither this document nor any other offering or marketing material relating to the Deferred Stock Units have been or will be filed with, approved or supervised by any Swiss regulatory authority (in particular, the Swiss Financial Market Supervisory Authority (FINMA)).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TAIWAN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Data Privacy Consent. </w:t>
      </w:r>
      <w:r>
        <w:rPr>
          <w:rFonts w:ascii="Arial" w:cs="Arial" w:eastAsia="Arial" w:hAnsi="Arial"/>
          <w:sz w:val="18"/>
          <w:szCs w:val="18"/>
          <w:color w:val="auto"/>
        </w:rPr>
        <w:t>The Employee hereby acknowledges that he or she has read and understood the terms regarding collection, processing and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Deferred Stock Units and the shares of Common Stock to be issued pursuant to the Plan are available only to employees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Mondelēz Group. The grant of Deferred Stock Units does not constitute a public offer of securities.</w:t>
      </w:r>
    </w:p>
    <w:p>
      <w:pPr>
        <w:spacing w:after="0" w:line="16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The Employee may acquire and remit foreign currency (including proceeds from the sale of shares of Common Stock) into</w:t>
      </w:r>
      <w:r>
        <w:rPr>
          <w:rFonts w:ascii="Arial" w:cs="Arial" w:eastAsia="Arial" w:hAnsi="Arial"/>
          <w:sz w:val="17"/>
          <w:szCs w:val="17"/>
          <w:b w:val="1"/>
          <w:bCs w:val="1"/>
          <w:color w:val="auto"/>
        </w:rPr>
        <w:t xml:space="preserve"> </w:t>
      </w:r>
      <w:r>
        <w:rPr>
          <w:rFonts w:ascii="Arial" w:cs="Arial" w:eastAsia="Arial" w:hAnsi="Arial"/>
          <w:sz w:val="17"/>
          <w:szCs w:val="17"/>
          <w:color w:val="auto"/>
        </w:rPr>
        <w:t>and out of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proceeds from the sale of shares of Common Stock are equal to or greater than US$50,000 in a single transaction,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specifically report the inward remittance to the Bank of Thailand on a foreign exchange transaction form. If the Employee fails to comply with these obligations, the Employee may be subject to penalties assessed by the Bank of Thailand.</w:t>
      </w:r>
    </w:p>
    <w:p>
      <w:pPr>
        <w:spacing w:after="0" w:line="1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0" w:right="2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TURKEY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Under Turkish law, the Employee is not permitted to sell shares of Common Stock acquired under the Plan in Turkey.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are currently traded on the NASDAQ Global Select Market, which is located outside Turkey and the shares of Common Stock may be sold through this exchange.</w:t>
      </w:r>
    </w:p>
    <w:p>
      <w:pPr>
        <w:spacing w:after="0" w:line="17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Employee may be required to engage a Turkish financial intermediary to assist with the sale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acquired under the Plan. To the extent a Turkish financial intermediary is required in connection with the sale of any Shares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UKRAINE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The Employee is solely responsible for complying with applicable Ukraine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Employee’s failure to comply with applicable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Securities Law Information</w:t>
      </w:r>
      <w:r>
        <w:rPr>
          <w:rFonts w:ascii="Arial" w:cs="Arial" w:eastAsia="Arial" w:hAnsi="Arial"/>
          <w:sz w:val="16"/>
          <w:szCs w:val="16"/>
          <w:color w:val="auto"/>
        </w:rPr>
        <w:t>. Participation in the Plan is being offered only to selected Employees and is in the nature of providing equity incentives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270"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KINGDOM (“U.K.”)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The following provision replaces paragraph 21 of the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purposes of this Agreement, (a)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procedures established by the Company for purposes of the Plan, and (b)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paragraph 5 of the Agreement:</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If payment or withholding of income tax is not made within 90 days of the end of the U.K. tax year (April 6 - April 5) in which the event giving rise to the liability for income tax occurs or such other period specified in Section 222(1)(c) of the U.K. Income Tax (Earnings and Pensions) Act 2003 (the “Due Date”), the amount of any uncollected income tax will constitute a loan owed by the Employee to the Employer, effective on the Due Date. The Employee agrees that the loan will bear interest at the then-current Official Rate of Her Majesty’s Revenue and Customs (“HMRC”), it will be immediately due and repayable, and the Company or the Employer may recover it at any time thereafter by any of the means referred to in paragraph 5 of the Agreement. Notwithstanding the foregoing, if the Employee is a director or executive officer of the Company (within the meaning of Section 13(k) of the U.S. Securities Exchange Act of 1934, as amended), the Employee will not be eligible for such a loan to cover the income tax liability. In the event that the Employee is a director or executive officer and the income tax is not collected from or paid by the Employee by the Due Date, the amount of any uncollected income tax liability may constitute a benefit to the Employee on which additional income tax and national insurance contributions may be payable. The Employee acknowledges that Employee ultimately may be responsible for reporting and paying any income tax due on this additional benefit directly to HMRC under the self-assessment regime and for reimbursing the Company or the Employer (as applicable) for the value of any employee national insurance contributions due on this additional benefit, which the Company or the Employer may recover by any of the means referred to in paragraph 5 of the Agreement.</w:t>
      </w:r>
    </w:p>
    <w:p>
      <w:pPr>
        <w:spacing w:after="0" w:line="16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Employee holds assets (</w:t>
      </w:r>
      <w:r>
        <w:rPr>
          <w:rFonts w:ascii="Arial" w:cs="Arial" w:eastAsia="Arial" w:hAnsi="Arial"/>
          <w:sz w:val="18"/>
          <w:szCs w:val="18"/>
          <w:i w:val="1"/>
          <w:iCs w:val="1"/>
          <w:color w:val="auto"/>
        </w:rPr>
        <w:t>i.e</w:t>
      </w:r>
      <w:r>
        <w:rPr>
          <w:rFonts w:ascii="Arial" w:cs="Arial" w:eastAsia="Arial" w:hAnsi="Arial"/>
          <w:sz w:val="18"/>
          <w:szCs w:val="18"/>
          <w:color w:val="auto"/>
        </w:rPr>
        <w:t>., Deferred Stock Units or Common Stock) or other financial assets in an account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URUGUAY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VENEZUELA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Investment Representation. </w:t>
      </w:r>
      <w:r>
        <w:rPr>
          <w:rFonts w:ascii="Arial" w:cs="Arial" w:eastAsia="Arial" w:hAnsi="Arial"/>
          <w:sz w:val="18"/>
          <w:szCs w:val="18"/>
          <w:color w:val="auto"/>
        </w:rPr>
        <w:t>As a condition of the grant of the Deferred Stock Units, the Employee acknowledges and agrees that any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the Employee may acquire upon the settlement of the Deferred Stock Units are acquired as and intended to be an investment rather than for the resale of the shares of Common Stock and conversion of shares into foreign currency.</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Exchange Control Information</w:t>
      </w:r>
      <w:r>
        <w:rPr>
          <w:rFonts w:ascii="Arial" w:cs="Arial" w:eastAsia="Arial" w:hAnsi="Arial"/>
          <w:sz w:val="17"/>
          <w:szCs w:val="17"/>
          <w:color w:val="auto"/>
        </w:rPr>
        <w:t>. Exchange control restrictions may limit the ability to vest in the Deferred Stock Units or remit funds into Venezuela</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 change frequently and without notice, the Employee should consult with his or her personal legal advisor before accepting the Deferred Stock Units to ensure compliance with current regulations.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Deferred Stock Units granted under the Plan and the shares of Common Stock issued under the Plan are offered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private, exclusive transaction and are not subject to Venezuelan government securities regulations.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VIETNAM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Deferred Stock Units Payable Only in Cash. </w:t>
      </w:r>
      <w:r>
        <w:rPr>
          <w:rFonts w:ascii="Arial" w:cs="Arial" w:eastAsia="Arial" w:hAnsi="Arial"/>
          <w:sz w:val="18"/>
          <w:szCs w:val="18"/>
          <w:color w:val="auto"/>
        </w:rPr>
        <w:t>Notwithstanding any discretion in the Plan or anything to the contrary in the Agreement (including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10.31</w:t>
      </w:r>
    </w:p>
    <w:p>
      <w:pPr>
        <w:spacing w:after="0" w:line="251"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Glen Walter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15,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Glen,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am very pleased to provide you with this offer letter setting forth the terms of your offer of employment (“Offer Letter”). It confirms the verbal offer previously extended to you for the position of Executive Vice President and President North America, Mondelēz Global LLC (the “Company”) reporting to the Chief Executive Officer, Mondelez International, Inc. This position is located in our North America Headquarters in East Hanover, New Jersey. Your employment commencement date will be as soon practicable.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 annualized target compensation opportunity will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Annualized Compensation (Target Opportunity)</w:t>
            </w:r>
          </w:p>
        </w:tc>
        <w:tc>
          <w:tcPr>
            <w:tcW w:w="5540" w:type="dxa"/>
            <w:vAlign w:val="bottom"/>
          </w:tcPr>
          <w:p>
            <w:pPr>
              <w:spacing w:after="0"/>
              <w:rPr>
                <w:sz w:val="14"/>
                <w:szCs w:val="14"/>
                <w:color w:val="auto"/>
              </w:rPr>
            </w:pPr>
          </w:p>
        </w:tc>
      </w:tr>
      <w:tr>
        <w:trPr>
          <w:trHeight w:val="196"/>
        </w:trPr>
        <w:tc>
          <w:tcPr>
            <w:tcW w:w="2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Annual Base Salary</w:t>
            </w:r>
          </w:p>
        </w:tc>
        <w:tc>
          <w:tcPr>
            <w:tcW w:w="2900" w:type="dxa"/>
            <w:vAlign w:val="bottom"/>
            <w:tcBorders>
              <w:top w:val="single" w:sz="8" w:color="CCEEFF"/>
            </w:tcBorders>
            <w:shd w:val="clear" w:color="auto" w:fill="CCEEFF"/>
          </w:tcPr>
          <w:p>
            <w:pPr>
              <w:spacing w:after="0"/>
              <w:rPr>
                <w:sz w:val="17"/>
                <w:szCs w:val="17"/>
                <w:color w:val="auto"/>
              </w:rPr>
            </w:pPr>
          </w:p>
        </w:tc>
        <w:tc>
          <w:tcPr>
            <w:tcW w:w="5540" w:type="dxa"/>
            <w:vAlign w:val="bottom"/>
            <w:tcBorders>
              <w:top w:val="single" w:sz="8" w:color="CCEEFF"/>
            </w:tcBorders>
            <w:shd w:val="clear" w:color="auto" w:fill="CCEEFF"/>
          </w:tcPr>
          <w:p>
            <w:pPr>
              <w:jc w:val="center"/>
              <w:ind w:left="2330"/>
              <w:spacing w:after="0" w:line="196" w:lineRule="exact"/>
              <w:rPr>
                <w:sz w:val="20"/>
                <w:szCs w:val="20"/>
                <w:color w:val="auto"/>
              </w:rPr>
            </w:pPr>
            <w:r>
              <w:rPr>
                <w:rFonts w:ascii="Arial" w:cs="Arial" w:eastAsia="Arial" w:hAnsi="Arial"/>
                <w:sz w:val="18"/>
                <w:szCs w:val="18"/>
                <w:color w:val="auto"/>
                <w:w w:val="90"/>
              </w:rPr>
              <w:t>$725,000</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Annual Incentive Plan (Target—90%*)</w:t>
            </w:r>
          </w:p>
        </w:tc>
        <w:tc>
          <w:tcPr>
            <w:tcW w:w="5540" w:type="dxa"/>
            <w:vAlign w:val="bottom"/>
          </w:tcPr>
          <w:p>
            <w:pPr>
              <w:jc w:val="center"/>
              <w:ind w:left="2330"/>
              <w:spacing w:after="0"/>
              <w:rPr>
                <w:sz w:val="20"/>
                <w:szCs w:val="20"/>
                <w:color w:val="auto"/>
              </w:rPr>
            </w:pPr>
            <w:r>
              <w:rPr>
                <w:rFonts w:ascii="Arial" w:cs="Arial" w:eastAsia="Arial" w:hAnsi="Arial"/>
                <w:sz w:val="18"/>
                <w:szCs w:val="18"/>
                <w:color w:val="auto"/>
                <w:w w:val="90"/>
              </w:rPr>
              <w:t>$652,500</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 Annual Long-Term Incentive Range**</w:t>
            </w:r>
          </w:p>
        </w:tc>
        <w:tc>
          <w:tcPr>
            <w:tcW w:w="5540" w:type="dxa"/>
            <w:vAlign w:val="bottom"/>
            <w:shd w:val="clear" w:color="auto" w:fill="CCEEFF"/>
          </w:tcPr>
          <w:p>
            <w:pPr>
              <w:jc w:val="center"/>
              <w:ind w:left="2350"/>
              <w:spacing w:after="0"/>
              <w:rPr>
                <w:sz w:val="20"/>
                <w:szCs w:val="20"/>
                <w:color w:val="auto"/>
              </w:rPr>
            </w:pPr>
            <w:r>
              <w:rPr>
                <w:rFonts w:ascii="Arial" w:cs="Arial" w:eastAsia="Arial" w:hAnsi="Arial"/>
                <w:sz w:val="18"/>
                <w:szCs w:val="18"/>
                <w:color w:val="auto"/>
                <w:w w:val="90"/>
              </w:rPr>
              <w:t>$1,050,000—$2,100,000—$3,150,000</w:t>
            </w: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Total Target Compensation Opportunity</w:t>
            </w:r>
          </w:p>
        </w:tc>
        <w:tc>
          <w:tcPr>
            <w:tcW w:w="5540" w:type="dxa"/>
            <w:vAlign w:val="bottom"/>
          </w:tcPr>
          <w:p>
            <w:pPr>
              <w:jc w:val="center"/>
              <w:ind w:left="2350"/>
              <w:spacing w:after="0"/>
              <w:rPr>
                <w:sz w:val="20"/>
                <w:szCs w:val="20"/>
                <w:color w:val="auto"/>
              </w:rPr>
            </w:pPr>
            <w:r>
              <w:rPr>
                <w:rFonts w:ascii="Arial" w:cs="Arial" w:eastAsia="Arial" w:hAnsi="Arial"/>
                <w:sz w:val="18"/>
                <w:szCs w:val="18"/>
                <w:color w:val="auto"/>
                <w:w w:val="90"/>
              </w:rPr>
              <w:t>$2,427,500—$3,477,500—$4,527,500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Target as a percent of Annual Base Salary.</w:t>
      </w:r>
    </w:p>
    <w:p>
      <w:pPr>
        <w:spacing w:after="0" w:line="23" w:lineRule="exact"/>
        <w:rPr>
          <w:sz w:val="20"/>
          <w:szCs w:val="20"/>
          <w:color w:val="auto"/>
        </w:rPr>
      </w:pPr>
    </w:p>
    <w:p>
      <w:pPr>
        <w:jc w:val="both"/>
        <w:ind w:left="460" w:right="40" w:hanging="452"/>
        <w:spacing w:after="0" w:line="255"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Your Annual Base Salary will be subject to an annual review by the Board and adjustment in the Board’s sole discretion.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78" w:name="page179"/>
    <w:bookmarkEnd w:id="178"/>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Incentive Plan</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You will be eligible to participate in the Mondelēz International Management Incentive Plan (the “MIP”), the Company’s annual incentive program. Your target award opportunity under the MIP is equal to 90% of your Annual Base Salary. The actual amount you receive may be lower or higher, depending on your individual performance and the Company’s overall performance during the year. The maximum award under this program for 2017 is 200% of your target opportunity. The Company reserves the right to change the maximum award annually.</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2017 MIP plan year ending on December 31, 2017, your award will be prorated based on your date of hire. Your actual award will ultimately be determined based on your individual performance during your period of employment and the Company’s actual overall performance for the full 2017 plan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Incentives (Annual Equity Program)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will be eligible to fully participate in the Company’s annual equity program. Equity grants are typically made annually in February. For 2017, grants were delivered with 75% of the grant value in performance share units and 25% of the grant value in stock options (with the actual number of shares, units, or options determined pursuant to the Company’s specific valuation methodology). Your first full grant under the Company’s standard annual equity program will be awarded to you in February 2018.</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Sign-On Award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your offer of employment, on your date of hire you will receive a sign-on equity grant with a value of $2,500,000. The equity grant will be take the form of deferred stock units that vest 100% on the third anniversary of your date of hire. Other than the vesting schedule specified here, these deferred stock units will be subject to all other terms and conditions set forth in the Plan and the Company’s standard Global Deferred Stock Unit Agreement as in effect on the date hereof.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69" w:right="279" w:bottom="1440" w:gutter="0" w:footer="0" w:header="0"/>
        </w:sectPr>
      </w:pPr>
    </w:p>
    <w:bookmarkStart w:id="179" w:name="page180"/>
    <w:bookmarkEnd w:id="179"/>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Deferred Compensation Plan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 Change in Control Plan</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From your date of hire, you will be a participant in the Mondelēz International, Inc. Change in Control Plan for Key Executives (the “CIC Plan”). The CIC Plan provides certain benefits upon an involuntary termination without Cause or voluntary termination for Good Reason following a Change in Control. A copy of the CIC Plan will be separately provided.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w:t>
      </w:r>
    </w:p>
    <w:p>
      <w:pPr>
        <w:spacing w:after="0" w:line="131" w:lineRule="exact"/>
        <w:rPr>
          <w:sz w:val="20"/>
          <w:szCs w:val="20"/>
          <w:color w:val="auto"/>
        </w:rPr>
      </w:pPr>
    </w:p>
    <w:p>
      <w:pPr>
        <w:ind w:left="440" w:hanging="324"/>
        <w:spacing w:after="0"/>
        <w:tabs>
          <w:tab w:leader="none" w:pos="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“Cause” has the meaning set forth in the CIC Plan.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“Good Reason” has the meaning set forth in the CIC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Guidelines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shares are the number of shares resulting from the vesting of deferred stock units or performance share units or the exercise of stock options reduced by the number of shares required to satisfy any applicable tax withholding or costs associated with the respective vesting or exercise.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Benefits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69" w:right="279" w:bottom="1440" w:gutter="0" w:footer="0" w:header="0"/>
        </w:sectPr>
      </w:pPr>
    </w:p>
    <w:bookmarkStart w:id="180" w:name="page181"/>
    <w:bookmarkEnd w:id="180"/>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your previous employer will not support your relocation back to the US, you will be eligible for relocation benefits for your move to the New York/New Jersey metropolitan area pursuant to the Company’s standard relocation policy for executives at your level.</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If you require it, you will receive international tax preparation services for up to 3 calendar years through the Company’s expatriate tax preparation services provider, KPMG. The cost of such tax preparation services shall not count against any reimbursement under the Company’s discretionary financial planning program described below.</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the current policies in place, which are subject to change, you will be eligible for the Company’s discretionary financial planning program, which reimburses you up to $7,500 per year for eligible financial planning expenses, and car allowance program, which provides a car allowance of up to $15,000 per year.</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Restrictive Covenants</w:t>
      </w:r>
    </w:p>
    <w:p>
      <w:pPr>
        <w:spacing w:after="0" w:line="121"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and will acknowledge such Covenant Agreement by signing the Covenant Agreement simultaneously with this offer of employment.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409A of the Internal Revenue Code of 1986, as amended (the “Code”)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 date otherwise payable but in the later such taxable year and shall include all payments that otherwise would have been made before such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69" w:right="259" w:bottom="1440" w:gutter="0" w:footer="0" w:header="0"/>
        </w:sectPr>
      </w:pPr>
    </w:p>
    <w:bookmarkStart w:id="181" w:name="page182"/>
    <w:bookmarkEnd w:id="181"/>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Payment of any reimbursement amounts and the provision of benefits by the Company pursuant to this Offer Letter (including any reimbursements or benefits to be provided pursuant to a severance arrangement) which the Company determines constitute nonqualified deferred compensation (within the meaning of Section 409A) shall be subject to the following:</w:t>
      </w:r>
    </w:p>
    <w:p>
      <w:pPr>
        <w:spacing w:after="0" w:line="87" w:lineRule="exact"/>
        <w:rPr>
          <w:sz w:val="20"/>
          <w:szCs w:val="20"/>
          <w:color w:val="auto"/>
        </w:rPr>
      </w:pPr>
    </w:p>
    <w:p>
      <w:pPr>
        <w:ind w:left="580" w:right="340" w:hanging="572"/>
        <w:spacing w:after="0" w:line="277" w:lineRule="auto"/>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spacing w:after="0" w:line="75"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reimbursement of an eligible expense will be made on or before the last day of the calendar year following the calendar year in which the expense was incurred;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your right to reimbursement or in-kind benefits is not subject to liquidation or exchange for any other benefit.</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182" w:name="page183"/>
    <w:bookmarkEnd w:id="182"/>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Terms and Conditions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will be a U.S. employee of Mondelēz Global LLC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offer is contingent upon successful completion of our pre-employment checks. These include:</w:t>
      </w:r>
    </w:p>
    <w:p>
      <w:pPr>
        <w:spacing w:after="0" w:line="131" w:lineRule="exact"/>
        <w:rPr>
          <w:sz w:val="20"/>
          <w:szCs w:val="20"/>
          <w:color w:val="auto"/>
        </w:rPr>
      </w:pPr>
    </w:p>
    <w:p>
      <w:pPr>
        <w:ind w:left="900" w:hanging="446"/>
        <w:spacing w:after="0" w:line="286"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 to my attention. You are also entitled to receive a written summary of your rights under the Fair Credit Reporting Act.</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post-offer drug screen via current Company protocols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proof of eligibility to work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9" w:right="259" w:bottom="1440" w:gutter="0" w:footer="0" w:header="0"/>
        </w:sectPr>
      </w:pPr>
    </w:p>
    <w:bookmarkStart w:id="183" w:name="page184"/>
    <w:bookmarkEnd w:id="183"/>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accept our offer, please sign below and return the signed letter to my attention at dpendleton@mdlz.com. Once your date of hire is established, you will be provided information about the arrangements for your post offer drug screen and the required documents for verifying your eligibility to work in the United States.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3"/>
          </w:tcPr>
          <w:p>
            <w:pPr>
              <w:spacing w:after="0"/>
              <w:rPr>
                <w:sz w:val="20"/>
                <w:szCs w:val="20"/>
                <w:color w:val="auto"/>
              </w:rPr>
            </w:pPr>
            <w:r>
              <w:rPr>
                <w:rFonts w:ascii="Arial" w:cs="Arial" w:eastAsia="Arial" w:hAnsi="Arial"/>
                <w:sz w:val="18"/>
                <w:szCs w:val="18"/>
                <w:color w:val="auto"/>
                <w:w w:val="96"/>
              </w:rPr>
              <w:t>Should you have any questions concerning this information, please contact me.</w:t>
            </w:r>
          </w:p>
        </w:tc>
        <w:tc>
          <w:tcPr>
            <w:tcW w:w="3580" w:type="dxa"/>
            <w:vAlign w:val="bottom"/>
          </w:tcPr>
          <w:p>
            <w:pPr>
              <w:spacing w:after="0"/>
              <w:rPr>
                <w:sz w:val="20"/>
                <w:szCs w:val="20"/>
                <w:color w:val="auto"/>
              </w:rPr>
            </w:pPr>
          </w:p>
        </w:tc>
      </w:tr>
      <w:tr>
        <w:trPr>
          <w:trHeight w:val="466"/>
        </w:trPr>
        <w:tc>
          <w:tcPr>
            <w:tcW w:w="6120" w:type="dxa"/>
            <w:vAlign w:val="bottom"/>
            <w:gridSpan w:val="3"/>
          </w:tcPr>
          <w:p>
            <w:pPr>
              <w:spacing w:after="0"/>
              <w:rPr>
                <w:sz w:val="20"/>
                <w:szCs w:val="20"/>
                <w:color w:val="auto"/>
              </w:rPr>
            </w:pPr>
            <w:r>
              <w:rPr>
                <w:rFonts w:ascii="Arial" w:cs="Arial" w:eastAsia="Arial" w:hAnsi="Arial"/>
                <w:sz w:val="18"/>
                <w:szCs w:val="18"/>
                <w:color w:val="auto"/>
              </w:rPr>
              <w:t>/s/ David H. Pendleton</w:t>
            </w:r>
          </w:p>
        </w:tc>
        <w:tc>
          <w:tcPr>
            <w:tcW w:w="3580" w:type="dxa"/>
            <w:vAlign w:val="bottom"/>
          </w:tcPr>
          <w:p>
            <w:pPr>
              <w:spacing w:after="0"/>
              <w:rPr>
                <w:sz w:val="20"/>
                <w:szCs w:val="20"/>
                <w:color w:val="auto"/>
              </w:rPr>
            </w:pPr>
            <w:r>
              <w:rPr>
                <w:rFonts w:ascii="Arial" w:cs="Arial" w:eastAsia="Arial" w:hAnsi="Arial"/>
                <w:sz w:val="18"/>
                <w:szCs w:val="18"/>
                <w:color w:val="auto"/>
              </w:rPr>
              <w:t>December 15, 2017</w:t>
            </w:r>
          </w:p>
        </w:tc>
      </w:tr>
      <w:tr>
        <w:trPr>
          <w:trHeight w:val="202"/>
        </w:trPr>
        <w:tc>
          <w:tcPr>
            <w:tcW w:w="20" w:type="dxa"/>
            <w:vAlign w:val="bottom"/>
          </w:tcPr>
          <w:p>
            <w:pPr>
              <w:spacing w:after="0"/>
              <w:rPr>
                <w:sz w:val="17"/>
                <w:szCs w:val="17"/>
                <w:color w:val="auto"/>
              </w:rPr>
            </w:pPr>
          </w:p>
        </w:tc>
        <w:tc>
          <w:tcPr>
            <w:tcW w:w="3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H. Pendleton</w:t>
            </w:r>
          </w:p>
        </w:tc>
        <w:tc>
          <w:tcPr>
            <w:tcW w:w="2520" w:type="dxa"/>
            <w:vAlign w:val="bottom"/>
          </w:tcPr>
          <w:p>
            <w:pPr>
              <w:spacing w:after="0"/>
              <w:rPr>
                <w:sz w:val="17"/>
                <w:szCs w:val="17"/>
                <w:color w:val="auto"/>
              </w:rPr>
            </w:pPr>
          </w:p>
        </w:tc>
        <w:tc>
          <w:tcPr>
            <w:tcW w:w="3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w:t>
            </w: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SVP Total Rewards &amp; HR Solutions</w:t>
            </w:r>
          </w:p>
        </w:tc>
        <w:tc>
          <w:tcPr>
            <w:tcW w:w="3580" w:type="dxa"/>
            <w:vAlign w:val="bottom"/>
          </w:tcPr>
          <w:p>
            <w:pPr>
              <w:spacing w:after="0"/>
              <w:rPr>
                <w:sz w:val="18"/>
                <w:szCs w:val="18"/>
                <w:color w:val="auto"/>
              </w:rPr>
            </w:pPr>
          </w:p>
        </w:tc>
      </w:tr>
      <w:tr>
        <w:trPr>
          <w:trHeight w:val="230"/>
        </w:trPr>
        <w:tc>
          <w:tcPr>
            <w:tcW w:w="6120" w:type="dxa"/>
            <w:vAlign w:val="bottom"/>
            <w:gridSpan w:val="3"/>
          </w:tcPr>
          <w:p>
            <w:pPr>
              <w:spacing w:after="0"/>
              <w:rPr>
                <w:sz w:val="20"/>
                <w:szCs w:val="20"/>
                <w:color w:val="auto"/>
              </w:rPr>
            </w:pPr>
            <w:r>
              <w:rPr>
                <w:rFonts w:ascii="Arial" w:cs="Arial" w:eastAsia="Arial" w:hAnsi="Arial"/>
                <w:sz w:val="18"/>
                <w:szCs w:val="18"/>
                <w:color w:val="auto"/>
              </w:rPr>
              <w:t>Mondelēz Global LLC</w:t>
            </w:r>
          </w:p>
        </w:tc>
        <w:tc>
          <w:tcPr>
            <w:tcW w:w="3580" w:type="dxa"/>
            <w:vAlign w:val="bottom"/>
          </w:tcPr>
          <w:p>
            <w:pPr>
              <w:spacing w:after="0"/>
              <w:rPr>
                <w:sz w:val="20"/>
                <w:szCs w:val="20"/>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 have read the above terms and conditions and, by signing below, do accept this offer. This letter does not, in any way, constitute an express or implied contract for employment.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gridSpan w:val="2"/>
          </w:tcPr>
          <w:p>
            <w:pPr>
              <w:spacing w:after="0"/>
              <w:rPr>
                <w:sz w:val="20"/>
                <w:szCs w:val="20"/>
                <w:color w:val="auto"/>
              </w:rPr>
            </w:pPr>
            <w:r>
              <w:rPr>
                <w:rFonts w:ascii="Arial" w:cs="Arial" w:eastAsia="Arial" w:hAnsi="Arial"/>
                <w:sz w:val="18"/>
                <w:szCs w:val="18"/>
                <w:color w:val="auto"/>
              </w:rPr>
              <w:t>/s/ Glen Walter</w:t>
            </w:r>
          </w:p>
        </w:tc>
        <w:tc>
          <w:tcPr>
            <w:tcW w:w="25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December 15, 2017</w:t>
            </w:r>
          </w:p>
        </w:tc>
      </w:tr>
      <w:tr>
        <w:trPr>
          <w:trHeight w:val="230"/>
        </w:trPr>
        <w:tc>
          <w:tcPr>
            <w:tcW w:w="20" w:type="dxa"/>
            <w:vAlign w:val="bottom"/>
          </w:tcPr>
          <w:p>
            <w:pPr>
              <w:spacing w:after="0"/>
              <w:rPr>
                <w:sz w:val="20"/>
                <w:szCs w:val="20"/>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Glen Walter</w:t>
            </w:r>
          </w:p>
        </w:tc>
        <w:tc>
          <w:tcPr>
            <w:tcW w:w="2520" w:type="dxa"/>
            <w:vAlign w:val="bottom"/>
          </w:tcPr>
          <w:p>
            <w:pPr>
              <w:spacing w:after="0"/>
              <w:rPr>
                <w:sz w:val="20"/>
                <w:szCs w:val="20"/>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1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100" w:type="dxa"/>
            <w:vAlign w:val="bottom"/>
            <w:gridSpan w:val="2"/>
          </w:tcPr>
          <w:p>
            <w:pPr>
              <w:jc w:val="center"/>
              <w:ind w:right="1790"/>
              <w:spacing w:after="0"/>
              <w:rPr>
                <w:sz w:val="20"/>
                <w:szCs w:val="20"/>
                <w:color w:val="auto"/>
              </w:rPr>
            </w:pPr>
            <w:r>
              <w:rPr>
                <w:rFonts w:ascii="Arial" w:cs="Arial" w:eastAsia="Arial" w:hAnsi="Arial"/>
                <w:sz w:val="18"/>
                <w:szCs w:val="18"/>
                <w:i w:val="1"/>
                <w:iCs w:val="1"/>
                <w:color w:val="auto"/>
                <w:w w:val="92"/>
              </w:rPr>
              <w:t>[Signature Page to Mr. Glen Walter Offer Letter]</w:t>
            </w:r>
          </w:p>
        </w:tc>
      </w:tr>
      <w:tr>
        <w:trPr>
          <w:trHeight w:val="36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3580" w:type="dxa"/>
            <w:vAlign w:val="bottom"/>
          </w:tcPr>
          <w:p>
            <w:pPr>
              <w:spacing w:after="0"/>
              <w:rPr>
                <w:sz w:val="24"/>
                <w:szCs w:val="24"/>
                <w:color w:val="auto"/>
              </w:rPr>
            </w:pPr>
          </w:p>
        </w:tc>
      </w:tr>
    </w:tbl>
    <w:p>
      <w:pPr>
        <w:sectPr>
          <w:pgSz w:w="11900" w:h="16838" w:orient="portrait"/>
          <w:cols w:equalWidth="0" w:num="1">
            <w:col w:w="11400"/>
          </w:cols>
          <w:pgMar w:left="240" w:top="269" w:right="259" w:bottom="1440" w:gutter="0" w:footer="0" w:header="0"/>
        </w:sectPr>
      </w:pPr>
    </w:p>
    <w:bookmarkStart w:id="184" w:name="page185"/>
    <w:bookmarkEnd w:id="184"/>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INFORMATION, INTELLECTUAL PROPERTY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RESTRICTIVE COVENANTS AGREEMENT</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Confidential Information, Intellectual Property and Restrictive Covenants Agreement (“Covenant Agreement”) is made between the person specified in that certain offer of employment (“Executive”) and Mondelēz International, Inc. (and any currently or previously-affiliated companies, parent companies, successors or predecessors, including Mondelēz Global LLC, Kraft Foods Inc., Kraft Foods Group, Inc., and Kraft Foods Global, Inc., hereafter, collectively, “MG”).</w:t>
      </w:r>
    </w:p>
    <w:p>
      <w:pPr>
        <w:spacing w:after="0" w:line="183"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Covenant Agreement is an extension of and incorporated into the offer of employment between Executive and MG under which MG</w:t>
      </w:r>
      <w:r>
        <w:rPr>
          <w:rFonts w:ascii="Arial" w:cs="Arial" w:eastAsia="Arial" w:hAnsi="Arial"/>
          <w:sz w:val="18"/>
          <w:szCs w:val="18"/>
          <w:b w:val="1"/>
          <w:bCs w:val="1"/>
          <w:color w:val="auto"/>
        </w:rPr>
        <w:t xml:space="preserve"> </w:t>
      </w:r>
      <w:r>
        <w:rPr>
          <w:rFonts w:ascii="Arial" w:cs="Arial" w:eastAsia="Arial" w:hAnsi="Arial"/>
          <w:sz w:val="18"/>
          <w:szCs w:val="18"/>
          <w:color w:val="auto"/>
        </w:rPr>
        <w:t>desires and agrees to employ Executive and Executive desires and agrees to be employed by MG (the “Offer Letter”); and</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part of performing Executive’s responsibilities for MG, Executive will have access to MG’s Confidential Information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2(a) below) and Intellectual Property (as defined in Paragraph 3(a) below).</w:t>
      </w:r>
    </w:p>
    <w:p>
      <w:pPr>
        <w:spacing w:after="0" w:line="162"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including the promises and covenants contained in this Covenant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consideration, Executive’s employment with MG and Executive’s access to and use of MG’s Confidential Information and Intellectual Property, MG and Executive hereby agree as follows:</w:t>
      </w:r>
    </w:p>
    <w:p>
      <w:pPr>
        <w:spacing w:after="0" w:line="176" w:lineRule="exact"/>
        <w:rPr>
          <w:sz w:val="20"/>
          <w:szCs w:val="20"/>
          <w:color w:val="auto"/>
        </w:rPr>
      </w:pPr>
    </w:p>
    <w:p>
      <w:pPr>
        <w:ind w:left="640" w:hanging="176"/>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u w:val="single" w:color="auto"/>
          <w:color w:val="auto"/>
        </w:rPr>
        <w:t>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Executive’s employment with MG and Executive’s access to and use of MG’s Confidential Information, as</w:t>
      </w:r>
    </w:p>
    <w:p>
      <w:pPr>
        <w:spacing w:after="0" w:line="38" w:lineRule="exact"/>
        <w:rPr>
          <w:rFonts w:ascii="Arial" w:cs="Arial" w:eastAsia="Arial" w:hAnsi="Arial"/>
          <w:sz w:val="17"/>
          <w:szCs w:val="17"/>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consideration for this Covenant Agreement, MG will provide Executive with such consideration described in the Offer Letter, including, but not limited to, any sign on incentives and participation in the annual incentive plan and equity program. This Covenant Agreement shall control over any inconsistency with any other plan, program, practice or agreement providing for any covenant or restriction provided herein (and such other plan, program, practice or agreement shall be disregarded unless Executive agrees in writing that such other plan, program, practice or agreement controls).</w:t>
      </w:r>
    </w:p>
    <w:p>
      <w:pPr>
        <w:spacing w:after="0" w:line="172" w:lineRule="exact"/>
        <w:rPr>
          <w:rFonts w:ascii="Arial" w:cs="Arial" w:eastAsia="Arial" w:hAnsi="Arial"/>
          <w:sz w:val="17"/>
          <w:szCs w:val="17"/>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460" w:right="140" w:firstLine="443"/>
        <w:spacing w:after="0" w:line="270" w:lineRule="auto"/>
        <w:tabs>
          <w:tab w:leader="none" w:pos="114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Executive recognizes that MG derives economic value from information and trade secrets created (whether by Executive or others) and used in MG’s business which is not generally known by the public, including but not limited to certain sales, marketing, strategy, financial, product, personnel, manufacturing, technical and other proprietary information and material (“Confidential Information”) which are the property of MG. Executive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Executive expressly acknowledges and agrees that, by virtue of Executive’s employment with MG, Executive will have access to and will use certain Confidential Information and that such Confidential Information constitutes MG’s trade secrets and confidential and proprietary business information, all of which is MG’s exclusive property. For purposes of this Covenant Agreement, Confidential Information does not include information that is or may become known to Executive or to the public from sources outside MG and through means other than a breach of this Covenant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185" w:name="page186"/>
    <w:bookmarkEnd w:id="185"/>
    <w:p>
      <w:pPr>
        <w:ind w:left="90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-89535</wp:posOffset>
            </wp:positionV>
            <wp:extent cx="1397635" cy="3771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mondelezinternational.com</w:t>
      </w:r>
    </w:p>
    <w:p>
      <w:pPr>
        <w:spacing w:after="0" w:line="195" w:lineRule="exact"/>
        <w:rPr>
          <w:sz w:val="20"/>
          <w:szCs w:val="20"/>
          <w:color w:val="auto"/>
        </w:rPr>
      </w:pPr>
    </w:p>
    <w:p>
      <w:pPr>
        <w:ind w:firstLine="443"/>
        <w:spacing w:after="0" w:line="270" w:lineRule="auto"/>
        <w:tabs>
          <w:tab w:leader="none" w:pos="69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Executive further understands and acknowledges that this Confidential Information and MG’s ability to reserve it for the exclusive knowledge and use of MG is of great competitive importance and commercial value to MG. Executive agrees that Executive will treat all Confidential Information as strictly confidential and Executive will not, and will not permit any other person or entity to, directly or indirectly, without the prior written consent of MG: (i) use Confidential Information for the benefit of any person or entity other than MG; (ii) remove, copy, duplicate or otherwise reproduce any document or tangible item embodying or pertaining to any of the Confidential Information, except as required to perform Executive’s responsibilities for MG; and (iii) while employed and thereafter, publish, release, disclose, deliver or otherwise make available to any third party any Confidential Information by any communication, including oral, documentary, electronic or magnetic information transmittal device or media. Notwithstanding the foregoing, Executive shall be permitted to disclose Confidential Information to the extent (x) required by law, subpoena, or applicable government or regulatory authority or (y) appropriate in connection with a legal dispute. To the extent legally permissible, executive shall promptly provide written notice of any such subpoena or order to MG’s legal department.</w:t>
      </w:r>
    </w:p>
    <w:p>
      <w:pPr>
        <w:spacing w:after="0" w:line="69" w:lineRule="exact"/>
        <w:rPr>
          <w:rFonts w:ascii="Arial" w:cs="Arial" w:eastAsia="Arial" w:hAnsi="Arial"/>
          <w:sz w:val="17"/>
          <w:szCs w:val="17"/>
          <w:color w:val="auto"/>
        </w:rPr>
      </w:pPr>
    </w:p>
    <w:p>
      <w:pPr>
        <w:ind w:right="60" w:firstLine="443"/>
        <w:spacing w:after="0" w:line="272" w:lineRule="auto"/>
        <w:tabs>
          <w:tab w:leader="none" w:pos="68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Executive agrees and understands that the obligations under this Covenant Agreement with regard to the non-disclosure and non-use of particular Confidential Information shall commence immediately upon Executive first having access to Confidential Information (whether before or after Executive begins employment with MG) and shall continue to exist during and after Executive’s employment with MG for so long as such information remains Confidential Information and is not public knowledge other than as a result of the Executive’s breach of this Covenant Agreement or breach by those acting in concert with Executive or on Executive’s behalf. Nothing in this Agreement shall be construed to prohibit Executive from reporting conduct to, providing truthful information to, or participating in any investigation or proceeding conducted by any federal, state or local government agency or self-regulatory organization.</w:t>
      </w:r>
    </w:p>
    <w:p>
      <w:pPr>
        <w:spacing w:after="0" w:line="69" w:lineRule="exact"/>
        <w:rPr>
          <w:rFonts w:ascii="Arial" w:cs="Arial" w:eastAsia="Arial" w:hAnsi="Arial"/>
          <w:sz w:val="17"/>
          <w:szCs w:val="17"/>
          <w:color w:val="auto"/>
        </w:rPr>
      </w:pPr>
    </w:p>
    <w:p>
      <w:pPr>
        <w:ind w:right="220" w:firstLine="443"/>
        <w:spacing w:after="0" w:line="308" w:lineRule="auto"/>
        <w:tabs>
          <w:tab w:leader="none" w:pos="69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Executive understands that improper use or disclosure of the Confidential Information by Executive will cause MG to incur financial costs, loss of business advantage, liability under confidentiality agreements with third parties, civil damages and criminal penalties.</w:t>
      </w:r>
    </w:p>
    <w:p>
      <w:pPr>
        <w:spacing w:after="0" w:line="38" w:lineRule="exact"/>
        <w:rPr>
          <w:rFonts w:ascii="Arial" w:cs="Arial" w:eastAsia="Arial" w:hAnsi="Arial"/>
          <w:sz w:val="17"/>
          <w:szCs w:val="17"/>
          <w:color w:val="auto"/>
        </w:rPr>
      </w:pPr>
    </w:p>
    <w:p>
      <w:pPr>
        <w:ind w:right="60" w:firstLine="443"/>
        <w:spacing w:after="0" w:line="293" w:lineRule="auto"/>
        <w:tabs>
          <w:tab w:leader="none" w:pos="683"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Protected Rights</w:t>
      </w:r>
      <w:r>
        <w:rPr>
          <w:rFonts w:ascii="Arial" w:cs="Arial" w:eastAsia="Arial" w:hAnsi="Arial"/>
          <w:sz w:val="16"/>
          <w:szCs w:val="16"/>
          <w:color w:val="auto"/>
        </w:rPr>
        <w:t>. Executive understands that nothing contained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69" w:right="259" w:bottom="1440" w:gutter="0" w:footer="0" w:header="0"/>
        </w:sectPr>
      </w:pPr>
    </w:p>
    <w:bookmarkStart w:id="186" w:name="page187"/>
    <w:bookmarkEnd w:id="186"/>
    <w:p>
      <w:pPr>
        <w:ind w:left="90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-89535</wp:posOffset>
            </wp:positionV>
            <wp:extent cx="1397635" cy="3771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ind w:left="180" w:hanging="176"/>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firstLine="443"/>
        <w:spacing w:after="0" w:line="289" w:lineRule="auto"/>
        <w:tabs>
          <w:tab w:leader="none" w:pos="683"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Disclosure and Assignment</w:t>
      </w:r>
      <w:r>
        <w:rPr>
          <w:rFonts w:ascii="Arial" w:cs="Arial" w:eastAsia="Arial" w:hAnsi="Arial"/>
          <w:sz w:val="16"/>
          <w:szCs w:val="16"/>
          <w:color w:val="auto"/>
        </w:rPr>
        <w:t>. Executive agrees to make prompt written disclosure to MG, to hold in trust for the sole right and benefit of MG, and to assign to MG all Executive’s right, title and interest in and to any patents, trademarks, copyrights, ideas, inventions (whether not patented or patentable), original works of authorship (published or not), developments, improvements or trade secrets which Executive may solely or jointly conceive or reduce to practice, or cause to be conceived or reduced to practice, during the period of Executive’s employment with MG and relating in any way to the business or contemplated business, research or development of MG (regardless of when or where the Intellectual Property is prepared or whose equipment or other resources is used in preparing the same) (collectively “Intellectual Property”). Executive recognizes, provided prompt and full disclosure by Executive to MG, that this Covenant Agreement will not be deemed to require assignment of any invention which was developed entirely on Executive’s own time without using MG’s equipment, supplies, facilities or trade secrets and neither relates to MG’s actual or anticipated business, research or development, nor resulted from work performed by Executive (solely or jointly with others) for MG.</w:t>
      </w:r>
    </w:p>
    <w:p>
      <w:pPr>
        <w:spacing w:after="0" w:line="58" w:lineRule="exact"/>
        <w:rPr>
          <w:rFonts w:ascii="Arial" w:cs="Arial" w:eastAsia="Arial" w:hAnsi="Arial"/>
          <w:sz w:val="16"/>
          <w:szCs w:val="16"/>
          <w:color w:val="auto"/>
        </w:rPr>
      </w:pPr>
    </w:p>
    <w:p>
      <w:pPr>
        <w:jc w:val="both"/>
        <w:ind w:right="200" w:firstLine="443"/>
        <w:spacing w:after="0" w:line="259" w:lineRule="auto"/>
        <w:tabs>
          <w:tab w:leader="none" w:pos="693"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Original Works</w:t>
      </w:r>
      <w:r>
        <w:rPr>
          <w:rFonts w:ascii="Arial" w:cs="Arial" w:eastAsia="Arial" w:hAnsi="Arial"/>
          <w:sz w:val="18"/>
          <w:szCs w:val="18"/>
          <w:color w:val="auto"/>
        </w:rPr>
        <w:t>. Executive acknowledges that all original works of authorship which have been or are made by Executive (solely or jointly with others) within the scope of Executive’s employment with MG and which are protectable by copyright are the property of MG. To the extent that any such original works have not already been transferred to or owned by MG, Executive hereby assigns all of Executive’s right, title and interest in those works to MG.</w:t>
      </w:r>
    </w:p>
    <w:p>
      <w:pPr>
        <w:spacing w:after="0" w:line="78" w:lineRule="exact"/>
        <w:rPr>
          <w:rFonts w:ascii="Arial" w:cs="Arial" w:eastAsia="Arial" w:hAnsi="Arial"/>
          <w:sz w:val="18"/>
          <w:szCs w:val="18"/>
          <w:color w:val="auto"/>
        </w:rPr>
      </w:pPr>
    </w:p>
    <w:p>
      <w:pPr>
        <w:ind w:right="120" w:firstLine="443"/>
        <w:spacing w:after="0" w:line="273" w:lineRule="auto"/>
        <w:tabs>
          <w:tab w:leader="none" w:pos="683"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Executive agrees to assist MG in every reasonable and proper way to obtain and enforce United States and foreign proprietary rights relating to any and all patents, trademarks, inventions, original works of authorship, developments, improvements or trade secrets of MG in any and all countries. Executive will execute, verify and deliver (i) such documents and perform such other acts (including appearing as a witness) as MG may reasonably request for use in applying for, obtaining, perfecting, evidencing, sustaining and enforcing such proprietary rights and the assignment thereof, and (ii) assignments of such proprietary rights to MG or its designee. Executive’s obligation to assist MG with respect to proprietary rights in any and all countries shall continue beyond the termination of employment.</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69" w:right="259" w:bottom="1440" w:gutter="0" w:footer="0" w:header="0"/>
        </w:sectPr>
      </w:pPr>
    </w:p>
    <w:bookmarkStart w:id="187" w:name="page188"/>
    <w:bookmarkEnd w:id="187"/>
    <w:p>
      <w:pPr>
        <w:ind w:left="9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-89535</wp:posOffset>
            </wp:positionV>
            <wp:extent cx="1397635" cy="3771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mondelezinternational.com</w:t>
      </w:r>
    </w:p>
    <w:p>
      <w:pPr>
        <w:spacing w:after="0" w:line="195" w:lineRule="exact"/>
        <w:rPr>
          <w:sz w:val="20"/>
          <w:szCs w:val="20"/>
          <w:color w:val="auto"/>
        </w:rPr>
      </w:pPr>
    </w:p>
    <w:p>
      <w:pPr>
        <w:ind w:left="420" w:firstLine="443"/>
        <w:spacing w:after="0" w:line="285" w:lineRule="auto"/>
        <w:tabs>
          <w:tab w:leader="none" w:pos="1113"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Other Obligations</w:t>
      </w:r>
      <w:r>
        <w:rPr>
          <w:rFonts w:ascii="Arial" w:cs="Arial" w:eastAsia="Arial" w:hAnsi="Arial"/>
          <w:sz w:val="16"/>
          <w:szCs w:val="16"/>
          <w:color w:val="auto"/>
        </w:rPr>
        <w:t>. In addition to Executive’s other obligations under this Paragraph 3, Executive shall promptly disclose to MG fully and in writing all patent applications filed by Executive or on Executive’s behalf. At the time of each such disclosure, Executive shall advise MG in writing of any inventions that Executive believes are not required to be assigned pursuant to this Paragraph. Executive shall at that time provide to MG in writing all evidence necessary to substantiate that belief. Executive understands that MG will keep in confidence, will not disclose to third parties and will not use for any unauthorized purpose without Executive’s consent, any proprietary information disclosed in writing to MG pursuant to this Covenant Agreement relating to inventions that are not required to be assigned pursuant to this subparagraph 3(d) and which were created or developed by Executive after termination of Executive’s employment. Executive will preserve the confidentiality of any such invention that is or may be required to be assigned, in whole or in part, pursuant to this Paragraph 3. Executive agrees to keep and maintain adequate and current records (in the form of notes, sketches, drawings and in any other form that may be required by MG) of all proprietary information developed by Executive and all inventions made by Executive during the period of employment at MG, which records shall be available to and remain the sole property of MG at all times. If MG becomes aware of a situation where it appears that its trade secrets are being used and/or disclosed by you,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68" w:lineRule="exact"/>
        <w:rPr>
          <w:rFonts w:ascii="Arial" w:cs="Arial" w:eastAsia="Arial" w:hAnsi="Arial"/>
          <w:sz w:val="16"/>
          <w:szCs w:val="16"/>
          <w:color w:val="auto"/>
        </w:rPr>
      </w:pPr>
    </w:p>
    <w:p>
      <w:pPr>
        <w:ind w:left="-40" w:right="40" w:firstLine="464"/>
        <w:spacing w:after="0" w:line="258" w:lineRule="auto"/>
        <w:tabs>
          <w:tab w:leader="none" w:pos="596"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understands and agrees that the nature of Executive’s position with MG provides Executive with access to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MG’s Confidential Information and places Executive in a position of trust and confidence with MG. Because of MG’s legitimate business interests and for the consideration afforded in this Covenant Agreement and Offer Letter, Executive agrees that during Executive’s employment with MG and for a period of twelve (12) months following the termination of Executive’s employment from MG for any reason (the “Restricted Period”), Executive shall not engage in the following Prohibited Conduct:</w:t>
      </w:r>
    </w:p>
    <w:p>
      <w:pPr>
        <w:spacing w:after="0" w:line="79" w:lineRule="exact"/>
        <w:rPr>
          <w:rFonts w:ascii="Arial" w:cs="Arial" w:eastAsia="Arial" w:hAnsi="Arial"/>
          <w:sz w:val="18"/>
          <w:szCs w:val="18"/>
          <w:color w:val="auto"/>
        </w:rPr>
      </w:pPr>
    </w:p>
    <w:p>
      <w:pPr>
        <w:ind w:left="420" w:right="20" w:firstLine="443"/>
        <w:spacing w:after="0" w:line="270" w:lineRule="auto"/>
        <w:tabs>
          <w:tab w:leader="none" w:pos="1103"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Executive agrees that during the Restricted Period and in any geographic area in which Executive directly or indirectly performed responsibilities for MG or where Executive’s knowledge of Confidential Information would be useful to a competitor in competing against MG, Executive will not engage in any conduct in which Executive contributes Executive’s knowledge and skills, directly or indirectly, in whole or in part, as an executive, employee, employer, owner, operator, manager, advisor, consultant, agent, partner, director, 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(“Competitive Business”) without the written consent of MG’s Executive Vice President of Global Human Resources, or designee, such consent to be provided by MG in its sole and absolute discretion. Under no circumstances may Executive engage in any activity that may require or inevitably require Executive’s use or disclosure of MG’s Confidential Information.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69" w:right="279" w:bottom="1440" w:gutter="0" w:footer="0" w:header="0"/>
        </w:sectPr>
      </w:pPr>
    </w:p>
    <w:bookmarkStart w:id="188" w:name="page189"/>
    <w:bookmarkEnd w:id="188"/>
    <w:p>
      <w:pPr>
        <w:ind w:left="90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-89535</wp:posOffset>
            </wp:positionV>
            <wp:extent cx="1397635" cy="3771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mondelezinternational.com</w:t>
      </w:r>
    </w:p>
    <w:p>
      <w:pPr>
        <w:spacing w:after="0" w:line="195" w:lineRule="exact"/>
        <w:rPr>
          <w:sz w:val="20"/>
          <w:szCs w:val="20"/>
          <w:color w:val="auto"/>
        </w:rPr>
      </w:pPr>
    </w:p>
    <w:p>
      <w:pPr>
        <w:ind w:firstLine="443"/>
        <w:spacing w:after="0" w:line="284" w:lineRule="auto"/>
        <w:tabs>
          <w:tab w:leader="none" w:pos="693"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 or Accounts</w:t>
      </w:r>
      <w:r>
        <w:rPr>
          <w:rFonts w:ascii="Arial" w:cs="Arial" w:eastAsia="Arial" w:hAnsi="Arial"/>
          <w:sz w:val="16"/>
          <w:szCs w:val="16"/>
          <w:color w:val="auto"/>
        </w:rPr>
        <w:t>. Executive understands and acknowledges that MG has expended and continues to expend significant time and expense in pursuing and retaining its customers and accounts, and that the loss of customers and accounts would cause significant and irreparable harm to MG. Executive therefore agrees that during the Restricted Period and for Executive or the direct or indirect benefit of any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Executive will not (i) solicit business from or perform services for, or for the benefit of, any customer or account of MG with which Executive had contact, participated in the contact, or about which Executive had knowledge of Confidential Information by reason of Executive’s relationship with MG within the twelve (12) month period prior to Executive’s separation of employment from MG, or</w:t>
      </w:r>
    </w:p>
    <w:p>
      <w:pPr>
        <w:spacing w:after="0" w:line="1" w:lineRule="exact"/>
        <w:rPr>
          <w:rFonts w:ascii="Arial" w:cs="Arial" w:eastAsia="Arial" w:hAnsi="Arial"/>
          <w:sz w:val="16"/>
          <w:szCs w:val="16"/>
          <w:color w:val="auto"/>
        </w:rPr>
      </w:pPr>
    </w:p>
    <w:p>
      <w:pPr>
        <w:jc w:val="both"/>
        <w:ind w:right="480" w:firstLine="4"/>
        <w:spacing w:after="0" w:line="277" w:lineRule="auto"/>
        <w:tabs>
          <w:tab w:leader="none" w:pos="26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solicit business from or perform services for, or for the benefit of, any customer or account MG actively pursued for business and with which Executive had contact, participated in the contact, or about which Executive had knowledge of Confidential Information by reason of Executive’s relationship with MG within the twelve (12) month period prior to Executive’s separation of employment from MG.</w:t>
      </w:r>
    </w:p>
    <w:p>
      <w:pPr>
        <w:spacing w:after="0" w:line="65" w:lineRule="exact"/>
        <w:rPr>
          <w:rFonts w:ascii="Arial" w:cs="Arial" w:eastAsia="Arial" w:hAnsi="Arial"/>
          <w:sz w:val="17"/>
          <w:szCs w:val="17"/>
          <w:color w:val="auto"/>
        </w:rPr>
      </w:pPr>
    </w:p>
    <w:p>
      <w:pPr>
        <w:ind w:right="20" w:firstLine="443"/>
        <w:spacing w:after="0" w:line="259" w:lineRule="auto"/>
        <w:tabs>
          <w:tab w:leader="none" w:pos="683"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Executive understands and acknowledges that MG has expended and continues to expend significant time and expense in recruiting and training its employees, and that the loss of employees would cause significant and irreparable harm to MG. Executive therefore agrees and covenants that during the Restricted Period Executive will not directly, or indirectly, solicit, hire, recruit, attempt to hire or recruit, or induce the termination of employment of any executive of MG.</w:t>
      </w:r>
    </w:p>
    <w:p>
      <w:pPr>
        <w:spacing w:after="0" w:line="78" w:lineRule="exact"/>
        <w:rPr>
          <w:rFonts w:ascii="Arial" w:cs="Arial" w:eastAsia="Arial" w:hAnsi="Arial"/>
          <w:sz w:val="18"/>
          <w:szCs w:val="18"/>
          <w:color w:val="auto"/>
        </w:rPr>
      </w:pPr>
    </w:p>
    <w:p>
      <w:pPr>
        <w:ind w:right="40" w:firstLine="443"/>
        <w:spacing w:after="0" w:line="271" w:lineRule="auto"/>
        <w:tabs>
          <w:tab w:leader="none" w:pos="693"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Judicial Amendment</w:t>
      </w:r>
      <w:r>
        <w:rPr>
          <w:rFonts w:ascii="Arial" w:cs="Arial" w:eastAsia="Arial" w:hAnsi="Arial"/>
          <w:sz w:val="17"/>
          <w:szCs w:val="17"/>
          <w:color w:val="auto"/>
        </w:rPr>
        <w:t>. Executive and MG acknowledge the reasonableness of the agreements set forth in this Section 4 and the specifically acknowledge the reasonableness of the geographic area, duration of time and subject matter that are part of the covenant not to compete contained in Section 4(a)-(c). Executive further acknowledges that Executive’s skills are such that Executive can be gainfully employed in noncompetitive employment and that the parties’ agreement not to compete will in no manner prevent Executive from earning a living. Notwithstanding the foregoing, in the event it is judicially determined that any of the limitations contained in this Section 4 are unreasonable, illegal or offensive under any applicable law and may not be enforced as agreed herein, the parties agree that the unreasonable, illegal or offensive portions of this Section 4, whether they relate to duration, area or subject matter, shall be and hereby are revised to conform with all applicable laws and that this Agreement, as modified, shall remain in full force and effect and shall not be rendered void or illegal.</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69" w:right="239" w:bottom="1440" w:gutter="0" w:footer="0" w:header="0"/>
        </w:sectPr>
      </w:pPr>
    </w:p>
    <w:bookmarkStart w:id="189" w:name="page190"/>
    <w:bookmarkEnd w:id="189"/>
    <w:p>
      <w:pPr>
        <w:ind w:left="9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-89535</wp:posOffset>
            </wp:positionV>
            <wp:extent cx="1397635" cy="3771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6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ind w:left="-20" w:firstLine="464"/>
        <w:spacing w:after="0" w:line="261" w:lineRule="auto"/>
        <w:tabs>
          <w:tab w:leader="none" w:pos="616"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MG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by MG in a separation or other similar-type agreement, within five (5) days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of employment from MG or as such other time as specified in the sole discretion of MG, Executive shall return all Confidential Information and all other MG property (whether in electronic or paper form) in Executive’s possession, including documents, files, manuals, handbooks, notes, keys and any other items, files or documents (whether in electronic or paper form).</w:t>
      </w:r>
    </w:p>
    <w:p>
      <w:pPr>
        <w:spacing w:after="0" w:line="180" w:lineRule="exact"/>
        <w:rPr>
          <w:rFonts w:ascii="Arial" w:cs="Arial" w:eastAsia="Arial" w:hAnsi="Arial"/>
          <w:sz w:val="18"/>
          <w:szCs w:val="18"/>
          <w:color w:val="auto"/>
        </w:rPr>
      </w:pPr>
    </w:p>
    <w:p>
      <w:pPr>
        <w:ind w:left="-20" w:firstLine="464"/>
        <w:spacing w:after="0" w:line="289" w:lineRule="auto"/>
        <w:tabs>
          <w:tab w:leader="none" w:pos="616" w:val="left"/>
        </w:tabs>
        <w:numPr>
          <w:ilvl w:val="0"/>
          <w:numId w:val="123"/>
        </w:numPr>
        <w:rPr>
          <w:rFonts w:ascii="Arial" w:cs="Arial" w:eastAsia="Arial" w:hAnsi="Arial"/>
          <w:sz w:val="16"/>
          <w:szCs w:val="16"/>
          <w:color w:val="auto"/>
        </w:rPr>
      </w:pPr>
      <w:r>
        <w:rPr>
          <w:rFonts w:ascii="Arial" w:cs="Arial" w:eastAsia="Arial" w:hAnsi="Arial"/>
          <w:sz w:val="16"/>
          <w:szCs w:val="16"/>
          <w:b w:val="1"/>
          <w:bCs w:val="1"/>
          <w:u w:val="single" w:color="auto"/>
          <w:color w:val="auto"/>
        </w:rPr>
        <w:t>No Disparagement or Harm</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in discussing Executive’s relationship with MG and its affiliated and parent companies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business and affairs, Executive will not disparage, discredit or otherwise refer to in a detrimental manner MG, its affiliated and parent companies or their officers, directors and Executives. MG agrees that, in discussing Executive’s relationship with MG and its affiliated and parent companies and their business and affairs, MG (via any authorized public statement), officers or members of MG’s Board of Directors will not disparage, discredit or otherwise refer to Executive in a detrimental manner. This Paragraph does not, in any way, restrict or impede Executive or MG (or its officers and directors), respectively, from exercising protected rights including the right to communicate with any federal, state or local agency or self-regulatory agency,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Respectively, and to the extent legally permissible, executive shall promptly provide written notice of any such order to MG’s legal department and the Company shall promptly provide written notice of any such order to Executive.</w:t>
      </w:r>
    </w:p>
    <w:p>
      <w:pPr>
        <w:spacing w:after="0" w:line="161" w:lineRule="exact"/>
        <w:rPr>
          <w:rFonts w:ascii="Arial" w:cs="Arial" w:eastAsia="Arial" w:hAnsi="Arial"/>
          <w:sz w:val="16"/>
          <w:szCs w:val="16"/>
          <w:color w:val="auto"/>
        </w:rPr>
      </w:pPr>
    </w:p>
    <w:p>
      <w:pPr>
        <w:ind w:left="-20" w:firstLine="464"/>
        <w:spacing w:after="0" w:line="292" w:lineRule="auto"/>
        <w:tabs>
          <w:tab w:leader="none" w:pos="616" w:val="left"/>
        </w:tabs>
        <w:numPr>
          <w:ilvl w:val="0"/>
          <w:numId w:val="123"/>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Should Executive or MG breach any of the provisions contained in Paragraphs 2 through 6 of this Covenant Agreement, in addition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remedies available to MG or Executive, as applies, if Executive is the breaching party, Executive will be obligated to pay back to MG any payment(s) received pursuant to the Offer Letter. MG and Executive further acknowledge and agree that MG or Executive, as may apply, will or would suffer irreparable injury in the event of a breach or violation or threatened breach or violation of the provisions set forth in this Covenant Agreement, and agree that in the event of a breach or violation of such provisions the aggrieved party will be awarded injunctive relief by a court of competent jurisdiction to prohibit any such violation or breach, and that such right to injunctive relief will be in addition to any other remedy which may be ordered by the court or an arbitrator. The equitable relief shall be in addition to, not in lieu of, legal remedies, monetary damages or other available forms of relief.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69" w:right="259" w:bottom="1440" w:gutter="0" w:footer="0" w:header="0"/>
        </w:sectPr>
      </w:pPr>
    </w:p>
    <w:bookmarkStart w:id="190" w:name="page191"/>
    <w:bookmarkEnd w:id="190"/>
    <w:p>
      <w:pPr>
        <w:ind w:left="9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-89535</wp:posOffset>
            </wp:positionV>
            <wp:extent cx="1397635" cy="3771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6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jc w:val="both"/>
        <w:ind w:left="-20" w:right="200" w:firstLine="464"/>
        <w:spacing w:after="0" w:line="266" w:lineRule="auto"/>
        <w:tabs>
          <w:tab w:leader="none" w:pos="616"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that in the event Executive is offered to enter into an employment relationship with a third party at any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Period, Executive shall immediately advise said other third party of the existence of this Covenant Agreement and shall immediately provide said person or entity with a copy of this Covenant Agreement.</w:t>
      </w:r>
    </w:p>
    <w:p>
      <w:pPr>
        <w:spacing w:after="0" w:line="176" w:lineRule="exact"/>
        <w:rPr>
          <w:rFonts w:ascii="Arial" w:cs="Arial" w:eastAsia="Arial" w:hAnsi="Arial"/>
          <w:sz w:val="18"/>
          <w:szCs w:val="18"/>
          <w:color w:val="auto"/>
        </w:rPr>
      </w:pPr>
    </w:p>
    <w:p>
      <w:pPr>
        <w:ind w:left="-20" w:right="40" w:firstLine="464"/>
        <w:spacing w:after="0" w:line="270" w:lineRule="auto"/>
        <w:tabs>
          <w:tab w:leader="none" w:pos="616" w:val="left"/>
        </w:tabs>
        <w:numPr>
          <w:ilvl w:val="0"/>
          <w:numId w:val="124"/>
        </w:numPr>
        <w:rPr>
          <w:rFonts w:ascii="Arial" w:cs="Arial" w:eastAsia="Arial" w:hAnsi="Arial"/>
          <w:sz w:val="17"/>
          <w:szCs w:val="17"/>
          <w:color w:val="auto"/>
        </w:rPr>
      </w:pPr>
      <w:r>
        <w:rPr>
          <w:rFonts w:ascii="Arial" w:cs="Arial" w:eastAsia="Arial" w:hAnsi="Arial"/>
          <w:sz w:val="17"/>
          <w:szCs w:val="17"/>
          <w:b w:val="1"/>
          <w:bCs w:val="1"/>
          <w:u w:val="single" w:color="auto"/>
          <w:color w:val="auto"/>
        </w:rPr>
        <w:t>Arbitration of Claims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either Executive or MG contests the interpretation or application of any of the terms of this Covenant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the complaining party shall notify the other in writing of the provision that is being contested. If the parties cannot satisfactorily resolve the dispute within thirty (30) days, the matter will be submitted to arbitration. An arbitrator will be chosen pursuant to the American Arbitration Association’s (“AAA”) Employment Arbitration Rules and Mediation Procedures. The arbitrator’s fees and expenses and filing fees shall be borne by MG. The hearing shall be held at a mutually agreeable location and the arbitrator shall issue a written award which shall be final and binding upon the parties. Executive agrees to waive the right to a jury trial. Notwithstanding anything contained in this Paragraph 9, MG and Executive shall each have the right to institute judicial proceedings against the other party or anyone acting by, through or under the other party, in order to enforce its rights under Paragraphs 2 through 6 through specific performance, injunction, or similar equitable relief. Claims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covered by arbitration are those claims seeking injunctive and other relief due to unfair competition, due to the use or unauthorized disclosure of trade secrets or confidential information, due to wrongful conversion, breach of the Intellectual Property covenants, and the breach of the restrictive covenants set forth in Paragraphs 2 through 6.</w:t>
      </w:r>
    </w:p>
    <w:p>
      <w:pPr>
        <w:spacing w:after="0" w:line="177" w:lineRule="exact"/>
        <w:rPr>
          <w:rFonts w:ascii="Arial" w:cs="Arial" w:eastAsia="Arial" w:hAnsi="Arial"/>
          <w:sz w:val="17"/>
          <w:szCs w:val="17"/>
          <w:color w:val="auto"/>
        </w:rPr>
      </w:pPr>
    </w:p>
    <w:p>
      <w:pPr>
        <w:ind w:left="-20" w:firstLine="464"/>
        <w:spacing w:after="0" w:line="291" w:lineRule="auto"/>
        <w:tabs>
          <w:tab w:leader="none" w:pos="706" w:val="left"/>
        </w:tabs>
        <w:numPr>
          <w:ilvl w:val="0"/>
          <w:numId w:val="124"/>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and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is the entire agreement between Executive and MG on the subject matter of this Covenant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Covenant Agreement may not be modified or canceled in any manner except by a writing signed by both Executive and an authorized MG official. Executive acknowledges that MG has made no representations or promises to Executive, other than those in this Covenant Agreement. If any provision in this Covenant Agreement is found to be unenforceable, all other provisions will remain fully enforceable. The covenants set forth in this Covenant Agreement shall be considered and construed as separate and independent covenants. Should any part or provision of any provision of this Covenant Agreement be held invalid, void or unenforceable in any court of competent jurisdiction, such invalidity, voidness or unenforceability shall not render invalid, void or unenforceable any other part or provision of this Covenant Agreement. If the release and waiver of claims provisions of any agreement related to this Covenant Agreement are held to be unenforceable, the parties agree to enter into a release and waiver agreement that is enforceable</w:t>
      </w:r>
      <w:r>
        <w:rPr>
          <w:rFonts w:ascii="Arial" w:cs="Arial" w:eastAsia="Arial" w:hAnsi="Arial"/>
          <w:sz w:val="16"/>
          <w:szCs w:val="16"/>
          <w:b w:val="1"/>
          <w:bCs w:val="1"/>
          <w:color w:val="auto"/>
        </w:rPr>
        <w:t>.</w:t>
      </w:r>
    </w:p>
    <w:p>
      <w:pPr>
        <w:spacing w:after="0" w:line="160" w:lineRule="exact"/>
        <w:rPr>
          <w:rFonts w:ascii="Arial" w:cs="Arial" w:eastAsia="Arial" w:hAnsi="Arial"/>
          <w:sz w:val="16"/>
          <w:szCs w:val="16"/>
          <w:color w:val="auto"/>
        </w:rPr>
      </w:pPr>
    </w:p>
    <w:p>
      <w:pPr>
        <w:ind w:left="-20" w:right="140" w:firstLine="464"/>
        <w:spacing w:after="0" w:line="303" w:lineRule="auto"/>
        <w:tabs>
          <w:tab w:leader="none" w:pos="700" w:val="left"/>
        </w:tabs>
        <w:numPr>
          <w:ilvl w:val="0"/>
          <w:numId w:val="124"/>
        </w:numPr>
        <w:rPr>
          <w:rFonts w:ascii="Arial" w:cs="Arial" w:eastAsia="Arial" w:hAnsi="Arial"/>
          <w:sz w:val="16"/>
          <w:szCs w:val="16"/>
          <w:color w:val="auto"/>
        </w:rPr>
      </w:pPr>
      <w:r>
        <w:rPr>
          <w:rFonts w:ascii="Arial" w:cs="Arial" w:eastAsia="Arial" w:hAnsi="Arial"/>
          <w:sz w:val="16"/>
          <w:szCs w:val="16"/>
          <w:b w:val="1"/>
          <w:bCs w:val="1"/>
          <w:u w:val="single" w:color="auto"/>
          <w:color w:val="auto"/>
        </w:rPr>
        <w:t>Not a Contract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acknowledges and understands that nothing in this Covenant Agreement is intended to, nor should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alter the at-will nature of Executive’s employment relationship with MG, nor to guarantee Executive’s employment for any specified term. Notwithstanding any provision of this Covenant Agreement, Executive and/or MG may terminate Executive’s employment at-will, for any reason permitted by law, with or without notice, and upon such termination, the rights and obligations set forth herein shall continue as expressly provided, subject to.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69" w:right="259" w:bottom="1440" w:gutter="0" w:footer="0" w:header="0"/>
        </w:sectPr>
      </w:pPr>
    </w:p>
    <w:bookmarkStart w:id="191" w:name="page192"/>
    <w:bookmarkEnd w:id="191"/>
    <w:p>
      <w:pPr>
        <w:ind w:left="9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-89535</wp:posOffset>
            </wp:positionV>
            <wp:extent cx="1397635" cy="3771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4"/>
          <w:szCs w:val="14"/>
          <w:color w:val="auto"/>
        </w:rPr>
        <w:t>East Hanover, NJ 07936 USA</w:t>
      </w:r>
    </w:p>
    <w:p>
      <w:pPr>
        <w:spacing w:after="0" w:line="97"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ind w:left="-40" w:right="560" w:firstLine="464"/>
        <w:spacing w:after="0" w:line="282" w:lineRule="auto"/>
        <w:tabs>
          <w:tab w:leader="none" w:pos="686"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b w:val="1"/>
          <w:bCs w:val="1"/>
          <w:color w:val="auto"/>
        </w:rPr>
        <w:t xml:space="preserve">. </w:t>
      </w:r>
      <w:r>
        <w:rPr>
          <w:rFonts w:ascii="Arial" w:cs="Arial" w:eastAsia="Arial" w:hAnsi="Arial"/>
          <w:sz w:val="18"/>
          <w:szCs w:val="18"/>
          <w:color w:val="auto"/>
        </w:rPr>
        <w:t>Should Executive violate any of the terms of the confidentiality or restrictive covenant obligations in this Covenant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at issue will run from the first date on which Executive ceases to be in violation of such obligation.</w:t>
      </w:r>
    </w:p>
    <w:p>
      <w:pPr>
        <w:spacing w:after="0" w:line="161" w:lineRule="exact"/>
        <w:rPr>
          <w:rFonts w:ascii="Arial" w:cs="Arial" w:eastAsia="Arial" w:hAnsi="Arial"/>
          <w:sz w:val="18"/>
          <w:szCs w:val="18"/>
          <w:color w:val="auto"/>
        </w:rPr>
      </w:pPr>
    </w:p>
    <w:p>
      <w:pPr>
        <w:ind w:left="-40" w:right="100" w:firstLine="464"/>
        <w:spacing w:after="0" w:line="261" w:lineRule="auto"/>
        <w:tabs>
          <w:tab w:leader="none" w:pos="686"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Should either party breach any of the provisions of Paragraphs 2 through 6 of this Covenant Agreement, to the extent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by state law, the non-prevailing party (as determined by the trier of fact) will be responsible for payment of all reasonable attorneys’ fees and costs that the prevailing party incurs in the course of such proceeding (including demonstrating the existence of a breach and any other contract enforcement efforts or successfully defending against an allegation of such breach).</w:t>
      </w:r>
    </w:p>
    <w:p>
      <w:pPr>
        <w:spacing w:after="0" w:line="180" w:lineRule="exact"/>
        <w:rPr>
          <w:rFonts w:ascii="Arial" w:cs="Arial" w:eastAsia="Arial" w:hAnsi="Arial"/>
          <w:sz w:val="18"/>
          <w:szCs w:val="18"/>
          <w:color w:val="auto"/>
        </w:rPr>
      </w:pPr>
    </w:p>
    <w:p>
      <w:pPr>
        <w:ind w:left="-40" w:right="120" w:firstLine="464"/>
        <w:spacing w:after="0" w:line="258" w:lineRule="auto"/>
        <w:tabs>
          <w:tab w:leader="none" w:pos="686"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Covenant Agreement shall be governed under and construed in accordance with the laws of the State of Illinois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choice of law or conflict of law provision or rule that would cause the application of the laws of any jurisdiction other than Illinois. Executive agrees that any legal proceeding concerning this Covenant Agreement may only be brought and held in a state or federal court located in the State of Illinois. Executive consents to the personal jurisdiction of such courts and agrees not to claim that any such courts are inconvenient or otherwise inappropriate.</w:t>
      </w:r>
    </w:p>
    <w:p>
      <w:pPr>
        <w:spacing w:after="0" w:line="183" w:lineRule="exact"/>
        <w:rPr>
          <w:rFonts w:ascii="Arial" w:cs="Arial" w:eastAsia="Arial" w:hAnsi="Arial"/>
          <w:sz w:val="18"/>
          <w:szCs w:val="18"/>
          <w:color w:val="auto"/>
        </w:rPr>
      </w:pPr>
    </w:p>
    <w:p>
      <w:pPr>
        <w:ind w:left="-40" w:firstLine="464"/>
        <w:spacing w:after="0" w:line="281" w:lineRule="auto"/>
        <w:tabs>
          <w:tab w:leader="none" w:pos="686"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Covenant Agreement shall be binding upon, and inure to the benefit of, the parties and their respective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and permitted assigns. Executive may not assign Executive’s rights and obligations under this Covenant Agreement without prior written consent of MG. MG may assign this Covenant Agreement and/or its rights or obligations under this Covenant Agreement. Any and all rights and remedies of MG under this Covenant Agreement shall inure to the benefit of and be enforceable by any successor or assignee of MG.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are on the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69" w:right="279" w:bottom="1440" w:gutter="0" w:footer="0" w:header="0"/>
        </w:sectPr>
      </w:pPr>
    </w:p>
    <w:bookmarkStart w:id="192" w:name="page193"/>
    <w:bookmarkEnd w:id="192"/>
    <w:p>
      <w:pPr>
        <w:ind w:left="9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1397635" cy="3771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3"/>
          <w:szCs w:val="13"/>
          <w:color w:val="auto"/>
        </w:rPr>
        <w:t>East Hanover, NJ 07936 USA</w:t>
      </w:r>
    </w:p>
    <w:p>
      <w:pPr>
        <w:spacing w:after="0" w:line="109"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mondelezinternational.com</w:t>
      </w:r>
    </w:p>
    <w:p>
      <w:pPr>
        <w:spacing w:after="0" w:line="191" w:lineRule="exact"/>
        <w:rPr>
          <w:sz w:val="20"/>
          <w:szCs w:val="20"/>
          <w:color w:val="auto"/>
        </w:rPr>
      </w:pPr>
    </w:p>
    <w:p>
      <w:pPr>
        <w:ind w:right="520" w:firstLine="456"/>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agree that this Covenant Agreement is an extension of and incorporated into the Offer Letter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MG, and the parties have executed this Offer Letter freely and voluntarily with the intention of being legally bound by 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ONDELEZ</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LOBAL</w:t>
      </w:r>
      <w:r>
        <w:rPr>
          <w:rFonts w:ascii="Arial" w:cs="Arial" w:eastAsia="Arial" w:hAnsi="Arial"/>
          <w:sz w:val="18"/>
          <w:szCs w:val="18"/>
          <w:b w:val="1"/>
          <w:bCs w:val="1"/>
          <w:color w:val="auto"/>
        </w:rPr>
        <w:t xml:space="preserve">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David H.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23495</wp:posOffset>
            </wp:positionV>
            <wp:extent cx="265874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David H. Pendleton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Glen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 Glen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-10160</wp:posOffset>
            </wp:positionV>
            <wp:extent cx="16363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9265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1926590" cy="8890"/>
                    </a:xfrm>
                    <a:prstGeom prst="rect">
                      <a:avLst/>
                    </a:prstGeom>
                    <a:noFill/>
                  </pic:spPr>
                </pic:pic>
              </a:graphicData>
            </a:graphic>
          </wp:anchor>
        </w:drawing>
      </w:r>
    </w:p>
    <w:p>
      <w:pPr>
        <w:spacing w:after="0" w:line="205" w:lineRule="exact"/>
        <w:rPr>
          <w:sz w:val="20"/>
          <w:szCs w:val="20"/>
          <w:color w:val="auto"/>
        </w:rPr>
      </w:pPr>
    </w:p>
    <w:p>
      <w:pPr>
        <w:jc w:val="center"/>
        <w:ind w:left="460" w:right="220"/>
        <w:spacing w:after="0" w:line="449" w:lineRule="auto"/>
        <w:rPr>
          <w:sz w:val="20"/>
          <w:szCs w:val="20"/>
          <w:color w:val="auto"/>
        </w:rPr>
      </w:pPr>
      <w:r>
        <w:rPr>
          <w:rFonts w:ascii="Arial" w:cs="Arial" w:eastAsia="Arial" w:hAnsi="Arial"/>
          <w:sz w:val="18"/>
          <w:szCs w:val="18"/>
          <w:i w:val="1"/>
          <w:iCs w:val="1"/>
          <w:color w:val="auto"/>
        </w:rPr>
        <w:t xml:space="preserve">[Signature Page to Confidential Information, Intellectual Property and Restrictive Covenants Agreement- Appendix A to Glen Walter Offer Letter] </w:t>
      </w:r>
      <w:r>
        <w:rPr>
          <w:rFonts w:ascii="Arial" w:cs="Arial" w:eastAsia="Arial" w:hAnsi="Arial"/>
          <w:sz w:val="18"/>
          <w:szCs w:val="18"/>
          <w:color w:val="auto"/>
        </w:rPr>
        <w:t>9</w:t>
      </w:r>
    </w:p>
    <w:p>
      <w:pPr>
        <w:sectPr>
          <w:pgSz w:w="11900" w:h="16838" w:orient="portrait"/>
          <w:cols w:equalWidth="0" w:num="1">
            <w:col w:w="11220"/>
          </w:cols>
          <w:pgMar w:left="240" w:top="269" w:right="4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Exhibit 10.37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AGREEMENT</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Indemnification Agreement (“Agreement”) is made as of November 20, 2017 by and between Mondelēz International, Inc., a Virginia corporation (the “Company”), and Dirk Van de Put (“Indemnitee”).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WHEREAS, highly competent persons have become more reluctant to serve publicly-held corporations as a director unless they are provided with adequate indemnification against risks of claims and actions against them arising out of their service to and activities on behalf of the corporation;</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WHEREAS, the Articles of Incorporation of the Company and the Virginia Stock Corporation Act (the “Virginia Act”) expressly provide that the indemnification provisions set forth therein are not exclusive, and thereby contemplate that contracts may be entered into between the Company and members of the board of directors and other persons with respect to indemnification;</w:t>
      </w:r>
    </w:p>
    <w:p>
      <w:pPr>
        <w:spacing w:after="0" w:line="181" w:lineRule="exact"/>
        <w:rPr>
          <w:sz w:val="20"/>
          <w:szCs w:val="20"/>
          <w:color w:val="auto"/>
        </w:rPr>
      </w:pPr>
    </w:p>
    <w:p>
      <w:pPr>
        <w:jc w:val="center"/>
        <w:ind w:right="120"/>
        <w:spacing w:after="0" w:line="312" w:lineRule="auto"/>
        <w:rPr>
          <w:sz w:val="20"/>
          <w:szCs w:val="20"/>
          <w:color w:val="auto"/>
        </w:rPr>
      </w:pPr>
      <w:r>
        <w:rPr>
          <w:rFonts w:ascii="Arial" w:cs="Arial" w:eastAsia="Arial" w:hAnsi="Arial"/>
          <w:sz w:val="16"/>
          <w:szCs w:val="16"/>
          <w:color w:val="auto"/>
        </w:rPr>
        <w:t>WHEREAS, it is reasonable and prudent for the Company contractually to obligate itself to indemnify, and to advance expenses on behalf of, its directors to the fullest extent permitted by applicable law so that they will serve or continue to serve the Company free from undue concern that they will not be protected, and to confirm that when they cease to be directors they will continue to be entitled to such indemnification and advancement of expenses; and</w:t>
      </w:r>
    </w:p>
    <w:p>
      <w:pPr>
        <w:spacing w:after="0" w:line="147"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WHEREAS, this Agreement is a supplement to and in furtherance of the Articles of Incorporation of the Company and any resolutions adopted pursuant thereto, and shall not be deemed a substitute therefor, nor to diminish or abrogate any rights of Indemnitee thereunder;</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xml:space="preserve"> Indemnitee agrees to serve as a director of the Company. Indemnitee may at any time and for any reason resign from the board of directors. This Agreement shall not be deemed an employment contract between the Company and Indemnitee. The foregoing notwithstanding, this Agreement shall continue in force after Indemnitee has ceased to serve as a director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sz w:val="20"/>
          <w:szCs w:val="20"/>
          <w:color w:val="auto"/>
        </w:rPr>
      </w:pPr>
    </w:p>
    <w:p>
      <w:pPr>
        <w:ind w:left="1160" w:hanging="239"/>
        <w:spacing w:after="0"/>
        <w:tabs>
          <w:tab w:leader="none" w:pos="11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“Change in Control” shall be deemed to occur upon the earliest to occur after the date of this Agreement of any of the following events:</w:t>
      </w:r>
    </w:p>
    <w:p>
      <w:pPr>
        <w:spacing w:after="0" w:line="248" w:lineRule="exact"/>
        <w:rPr>
          <w:rFonts w:ascii="Arial" w:cs="Arial" w:eastAsia="Arial" w:hAnsi="Arial"/>
          <w:sz w:val="16"/>
          <w:szCs w:val="16"/>
          <w:color w:val="auto"/>
        </w:rPr>
      </w:pPr>
    </w:p>
    <w:p>
      <w:pPr>
        <w:ind w:right="180" w:firstLine="1492"/>
        <w:spacing w:after="0" w:line="264" w:lineRule="auto"/>
        <w:tabs>
          <w:tab w:leader="none" w:pos="169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Acquisition of Stock by Third Party. Any Person (as defined below) is or becomes the Beneficial Owner (as defined below), directly or indirectly, of securities of the Company representing thirty percent (30%) or more of the combined voting power of the Company’s then outstanding securities;</w:t>
      </w:r>
    </w:p>
    <w:p>
      <w:pPr>
        <w:sectPr>
          <w:pgSz w:w="11900" w:h="16838" w:orient="portrait"/>
          <w:cols w:equalWidth="0" w:num="1">
            <w:col w:w="11420"/>
          </w:cols>
          <w:pgMar w:left="240" w:top="125" w:right="239" w:bottom="1440" w:gutter="0" w:footer="0" w:header="0"/>
        </w:sectPr>
      </w:pPr>
    </w:p>
    <w:bookmarkStart w:id="194" w:name="page195"/>
    <w:bookmarkEnd w:id="194"/>
    <w:p>
      <w:pPr>
        <w:ind w:right="20" w:firstLine="1492"/>
        <w:spacing w:after="0" w:line="255" w:lineRule="auto"/>
        <w:tabs>
          <w:tab w:leader="none" w:pos="17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effected, or entered into an agreement with the Company to effect, a transaction described in Sections 2(a)(i), 2(a)(iii) or 2(a)(iv)) whose election by the Board or nomination for election by the Company’s shareholders was approved by a vote of at least a majority of the directors then still in office who either were directors at the beginning of the period or whose election or nomination for election was previously so approved, cease for any reason to constitute a least a majority of the members of the Board;</w:t>
      </w:r>
    </w:p>
    <w:p>
      <w:pPr>
        <w:spacing w:after="0" w:line="193" w:lineRule="exact"/>
        <w:rPr>
          <w:rFonts w:ascii="Arial" w:cs="Arial" w:eastAsia="Arial" w:hAnsi="Arial"/>
          <w:sz w:val="18"/>
          <w:szCs w:val="18"/>
          <w:color w:val="auto"/>
        </w:rPr>
      </w:pPr>
    </w:p>
    <w:p>
      <w:pPr>
        <w:ind w:right="20" w:firstLine="1492"/>
        <w:spacing w:after="0" w:line="257" w:lineRule="auto"/>
        <w:tabs>
          <w:tab w:leader="none" w:pos="17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8" w:lineRule="exact"/>
        <w:rPr>
          <w:rFonts w:ascii="Arial" w:cs="Arial" w:eastAsia="Arial" w:hAnsi="Arial"/>
          <w:sz w:val="18"/>
          <w:szCs w:val="18"/>
          <w:color w:val="auto"/>
        </w:rPr>
      </w:pPr>
    </w:p>
    <w:p>
      <w:pPr>
        <w:ind w:right="200" w:firstLine="1492"/>
        <w:spacing w:after="0" w:line="277" w:lineRule="auto"/>
        <w:tabs>
          <w:tab w:leader="none" w:pos="17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Dissolution or Disposition of Assets. The approval by the shareholders of the Company of the dissolution of the Company or of an agreement for the sale or disposition by the Company of all or substantially all of the Company’s assets; and</w:t>
      </w:r>
    </w:p>
    <w:p>
      <w:pPr>
        <w:spacing w:after="0" w:line="170" w:lineRule="exact"/>
        <w:rPr>
          <w:rFonts w:ascii="Arial" w:cs="Arial" w:eastAsia="Arial" w:hAnsi="Arial"/>
          <w:sz w:val="18"/>
          <w:szCs w:val="18"/>
          <w:color w:val="auto"/>
        </w:rPr>
      </w:pPr>
    </w:p>
    <w:p>
      <w:pPr>
        <w:ind w:firstLine="1492"/>
        <w:spacing w:after="0" w:line="264" w:lineRule="auto"/>
        <w:tabs>
          <w:tab w:leader="none" w:pos="17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2(a), the following terms shall have the following meanings:</w:t>
      </w:r>
    </w:p>
    <w:p>
      <w:pPr>
        <w:spacing w:after="0" w:line="117" w:lineRule="exact"/>
        <w:rPr>
          <w:sz w:val="20"/>
          <w:szCs w:val="20"/>
          <w:color w:val="auto"/>
        </w:rPr>
      </w:pPr>
    </w:p>
    <w:p>
      <w:pPr>
        <w:ind w:left="1640" w:hanging="299"/>
        <w:spacing w:after="0"/>
        <w:tabs>
          <w:tab w:leader="none" w:pos="1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117" w:lineRule="exact"/>
        <w:rPr>
          <w:rFonts w:ascii="Arial" w:cs="Arial" w:eastAsia="Arial" w:hAnsi="Arial"/>
          <w:sz w:val="18"/>
          <w:szCs w:val="18"/>
          <w:color w:val="auto"/>
        </w:rPr>
      </w:pPr>
    </w:p>
    <w:p>
      <w:pPr>
        <w:ind w:left="920" w:firstLine="421"/>
        <w:spacing w:after="0" w:line="259" w:lineRule="auto"/>
        <w:tabs>
          <w:tab w:leader="none" w:pos="162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 shall have the meaning as set forth in Sections 13(d) and 14(d) of the Exchange Act; provided, however, that Person shall exclude (i) the Company, (ii) any trustee or other fiduciary holding securities under an employee benefit plan of the Company, and (iii) any corporation owned, directly or indirectly, by the shareholders of the Company in substantially the same proportions as their ownership of stock of the Company.</w:t>
      </w:r>
    </w:p>
    <w:p>
      <w:pPr>
        <w:spacing w:after="0" w:line="78" w:lineRule="exact"/>
        <w:rPr>
          <w:rFonts w:ascii="Arial" w:cs="Arial" w:eastAsia="Arial" w:hAnsi="Arial"/>
          <w:sz w:val="18"/>
          <w:szCs w:val="18"/>
          <w:color w:val="auto"/>
        </w:rPr>
      </w:pPr>
    </w:p>
    <w:p>
      <w:pPr>
        <w:ind w:left="920" w:right="180" w:firstLine="421"/>
        <w:spacing w:after="0" w:line="297" w:lineRule="auto"/>
        <w:tabs>
          <w:tab w:leader="none" w:pos="162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“Beneficial Owner” shall have the meaning given to such term in Rule 13d-3 under the Exchange Act; provided, however, that Beneficial Owner shall exclude any Person otherwise becoming a Beneficial Owner by reason of the shareholders of the Company approving a merger of the Company with another entity, and further provided, that any calculation of securities beneficially owned by a Beneficial Owner shall include securities that are the subject of a derivative that creates for the Beneficial Owner the economic equivalent of ownership in such securities for the Beneficial Owner by tying the value of the derivative to the price or value of such securities.</w:t>
      </w:r>
    </w:p>
    <w:p>
      <w:pPr>
        <w:sectPr>
          <w:pgSz w:w="11900" w:h="16838" w:orient="portrait"/>
          <w:cols w:equalWidth="0" w:num="1">
            <w:col w:w="11400"/>
          </w:cols>
          <w:pgMar w:left="240" w:top="274" w:right="259" w:bottom="1440" w:gutter="0" w:footer="0" w:header="0"/>
        </w:sectPr>
      </w:pPr>
    </w:p>
    <w:bookmarkStart w:id="195" w:name="page196"/>
    <w:bookmarkEnd w:id="195"/>
    <w:p>
      <w:pPr>
        <w:ind w:left="-921" w:right="20" w:firstLine="921"/>
        <w:spacing w:after="0" w:line="264" w:lineRule="auto"/>
        <w:tabs>
          <w:tab w:leader="none" w:pos="2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Status” describes the status of a person who is or was a director, officer, employee or agent of the Company or of any other corporation, limited liability company, partnership or joint venture, trust, employee benefit plan or other enterprise which such person is or was serving at the request of the Company.</w:t>
      </w:r>
    </w:p>
    <w:p>
      <w:pPr>
        <w:spacing w:after="0" w:line="181" w:lineRule="exact"/>
        <w:rPr>
          <w:rFonts w:ascii="Arial" w:cs="Arial" w:eastAsia="Arial" w:hAnsi="Arial"/>
          <w:sz w:val="18"/>
          <w:szCs w:val="18"/>
          <w:color w:val="auto"/>
        </w:rPr>
      </w:pPr>
    </w:p>
    <w:p>
      <w:pPr>
        <w:ind w:left="-921" w:right="1040" w:firstLine="921"/>
        <w:spacing w:after="0" w:line="277" w:lineRule="auto"/>
        <w:tabs>
          <w:tab w:leader="none" w:pos="2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left="-921" w:firstLine="921"/>
        <w:spacing w:after="0" w:line="308" w:lineRule="auto"/>
        <w:tabs>
          <w:tab w:leader="none" w:pos="24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“Enterprise” shall mean the Company and any other corporation, limited liability company, partnership, joint venture, trust, employee benefit plan or other enterprise of which Indemnitee is or was serving at the request of the Company as a director, officer, employee, agent or fiduciary.</w:t>
      </w:r>
    </w:p>
    <w:p>
      <w:pPr>
        <w:spacing w:after="0" w:line="146" w:lineRule="exact"/>
        <w:rPr>
          <w:rFonts w:ascii="Arial" w:cs="Arial" w:eastAsia="Arial" w:hAnsi="Arial"/>
          <w:sz w:val="17"/>
          <w:szCs w:val="17"/>
          <w:color w:val="auto"/>
        </w:rPr>
      </w:pPr>
    </w:p>
    <w:p>
      <w:pPr>
        <w:ind w:left="-921" w:right="160" w:firstLine="921"/>
        <w:spacing w:after="0" w:line="293" w:lineRule="auto"/>
        <w:tabs>
          <w:tab w:leader="none" w:pos="23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shall include Expenses incurred in connection with any appeal resulting from any Proceeding,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4" w:lineRule="exact"/>
        <w:rPr>
          <w:rFonts w:ascii="Arial" w:cs="Arial" w:eastAsia="Arial" w:hAnsi="Arial"/>
          <w:sz w:val="16"/>
          <w:szCs w:val="16"/>
          <w:color w:val="auto"/>
        </w:rPr>
      </w:pPr>
    </w:p>
    <w:p>
      <w:pPr>
        <w:ind w:left="-921" w:right="20" w:firstLine="921"/>
        <w:spacing w:after="0" w:line="271" w:lineRule="auto"/>
        <w:tabs>
          <w:tab w:leader="none" w:pos="21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is experienced in matters of corporation law and neither presently is, nor in the past three years has been, retained to represent: (i) the Company or Indemnitee in any matter material to either such party (other than with respect to matters concerning the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indemnify such counsel fully against any and all Expenses, claims, liabilities and damages arising out of or relating to this Agreement or its engagement pursuant hereto.</w:t>
      </w:r>
    </w:p>
    <w:p>
      <w:pPr>
        <w:sectPr>
          <w:pgSz w:w="11900" w:h="16838" w:orient="portrait"/>
          <w:cols w:equalWidth="0" w:num="1">
            <w:col w:w="10439"/>
          </w:cols>
          <w:pgMar w:left="1161" w:top="274" w:right="299" w:bottom="1440" w:gutter="0" w:footer="0" w:header="0"/>
        </w:sectPr>
      </w:pPr>
    </w:p>
    <w:bookmarkStart w:id="196" w:name="page197"/>
    <w:bookmarkEnd w:id="196"/>
    <w:p>
      <w:pPr>
        <w:ind w:right="40" w:firstLine="921"/>
        <w:spacing w:after="0" w:line="271" w:lineRule="auto"/>
        <w:tabs>
          <w:tab w:leader="none" w:pos="1168" w:val="left"/>
        </w:tabs>
        <w:numPr>
          <w:ilvl w:val="0"/>
          <w:numId w:val="1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in which Indemnitee was, is or will be involved as a party or otherwise by reason of the fact that Indemnitee is or was a director of the Company, by reason of any action taken by Indemnitee or of any action on Indemnitee’s part while acting as director of the Company, or by reason of the fact that Indemnitee is or was serving at the request of the Company as a director, officer, employee or agent of another corporation, limited liability company, partnership, joint venture, trust or other enterprise, in each case whether or not serving in such capacity at the time any liability or expense is incurred for which indemnification, reimbursement or advancement of expenses can be provided under this Agreement; except one initiated by Indemnitee to enforce Indemnitee’s rights under this Agreement.</w:t>
      </w:r>
    </w:p>
    <w:p>
      <w:pPr>
        <w:spacing w:after="0" w:line="178" w:lineRule="exact"/>
        <w:rPr>
          <w:rFonts w:ascii="Arial" w:cs="Arial" w:eastAsia="Arial" w:hAnsi="Arial"/>
          <w:sz w:val="17"/>
          <w:szCs w:val="17"/>
          <w:color w:val="auto"/>
        </w:rPr>
      </w:pPr>
    </w:p>
    <w:p>
      <w:pPr>
        <w:ind w:right="40" w:firstLine="921"/>
        <w:spacing w:after="0" w:line="257" w:lineRule="auto"/>
        <w:tabs>
          <w:tab w:leader="none" w:pos="11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 the Company which imposes duties on, or involves services by, such director respect to an employee benefit plan, its participants or beneficiaries; and a person who acted in good faith and in a manner he reasonably believed to be in the best interests of the participants and beneficiaries of an employee benefit plan shall be deemed not to have engaged in willful misconduct or a knowing violation of criminal law.</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Section 3. (a) </w:t>
      </w:r>
      <w:r>
        <w:rPr>
          <w:rFonts w:ascii="Arial" w:cs="Arial" w:eastAsia="Arial" w:hAnsi="Arial"/>
          <w:sz w:val="16"/>
          <w:szCs w:val="16"/>
          <w:u w:val="single" w:color="auto"/>
          <w:color w:val="auto"/>
        </w:rPr>
        <w:t>Indemnity in Third-Party Proceedings</w:t>
      </w:r>
      <w:r>
        <w:rPr>
          <w:rFonts w:ascii="Arial" w:cs="Arial" w:eastAsia="Arial" w:hAnsi="Arial"/>
          <w:sz w:val="16"/>
          <w:szCs w:val="16"/>
          <w:color w:val="auto"/>
        </w:rPr>
        <w:t>. The Company shall indemnify Indemnitee in accordance with the provisions of this Section 3 if Indemnitee is, or is threatened to be made, a party to or a participant in any Proceeding, including a Proceeding by or in the right of the Company to procure a judgment in its favor. Pursuant to this Section 3, Indemnitee shall be indemnified to the fullest extent permitted by applicable law against all Expenses, judgments, fines and amounts paid in settlement actually and reasonably incurred by Indemnitee or on his behalf in connection with such Proceeding or any claim, issue or matter therein, except for indemnification of the Indemnitee for Indemnitee’s willful misconduct or his knowing violation of the criminal law.</w:t>
      </w:r>
    </w:p>
    <w:p>
      <w:pPr>
        <w:spacing w:after="0" w:line="158" w:lineRule="exact"/>
        <w:rPr>
          <w:sz w:val="20"/>
          <w:szCs w:val="20"/>
          <w:color w:val="auto"/>
        </w:rPr>
      </w:pPr>
    </w:p>
    <w:p>
      <w:pPr>
        <w:ind w:left="1180" w:hanging="259"/>
        <w:spacing w:after="0"/>
        <w:tabs>
          <w:tab w:leader="none" w:pos="11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60" w:firstLine="1492"/>
        <w:spacing w:after="0" w:line="277" w:lineRule="auto"/>
        <w:tabs>
          <w:tab w:leader="none" w:pos="169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shall have no obligation to indemnify Indemnitee under this Agreement for any amounts paid in settlement of any Proceeding Indemnitee effected without the Company’s prior written consent, not to be unreasonably withheld.</w:t>
      </w:r>
    </w:p>
    <w:p>
      <w:pPr>
        <w:spacing w:after="0" w:line="170" w:lineRule="exact"/>
        <w:rPr>
          <w:rFonts w:ascii="Arial" w:cs="Arial" w:eastAsia="Arial" w:hAnsi="Arial"/>
          <w:sz w:val="18"/>
          <w:szCs w:val="18"/>
          <w:color w:val="auto"/>
        </w:rPr>
      </w:pPr>
    </w:p>
    <w:p>
      <w:pPr>
        <w:ind w:firstLine="1492"/>
        <w:spacing w:after="0" w:line="255" w:lineRule="auto"/>
        <w:tabs>
          <w:tab w:leader="none" w:pos="17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shall not, without the prior written consent of Indemnitee (not to be unreasonably withheld), consent to the entry of any judgment against Indemnitee or enter into any settlement or compromise which (A) includes an admission of fault of Indemnitee, any non-monetary remedy affecting or obligation of Indemnitee, or monetary obligation for which Indemnitee is not indemnified hereunder or (B) with respect to any Proceeding with respect to which Indemnitee is likely to be or is made a party, witness or participant or is otherwise entitled to seek indemnification hereunder, does not include, as an unconditional term thereof, the full release of Indemnitee from all liability in respect of such Proceeding, which release shall be in form and substance reasonably satisfactory to Indemnitee.</w:t>
      </w:r>
    </w:p>
    <w:p>
      <w:pPr>
        <w:sectPr>
          <w:pgSz w:w="11900" w:h="16838" w:orient="portrait"/>
          <w:cols w:equalWidth="0" w:num="1">
            <w:col w:w="11420"/>
          </w:cols>
          <w:pgMar w:left="240" w:top="274" w:right="239" w:bottom="1440" w:gutter="0" w:footer="0" w:header="0"/>
        </w:sectPr>
      </w:pPr>
    </w:p>
    <w:bookmarkStart w:id="197" w:name="page198"/>
    <w:bookmarkEnd w:id="197"/>
    <w:p>
      <w:pPr>
        <w:ind w:right="6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(other than Section 6(a) or (c)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subject to Section 6(a) and (c) of this Agreement, indemnify Indemnitee against all Expenses actually and reasonably incurred by Indemnitee or on Indemnitee’s behalf in connection with each successfully resolved claim, issue or matter. If the Indemnitee is not wholly successful in such Proceeding, the Company also shall, subject to Section 6(a) and (c) of this Agreement, indemnify Indemnitee against all Expenses reasonably incurred in connection with a claim, issue or matter related to any claim, issue, or matter on which the Indemnitee was successful. For purposes of this Section 4 and without limitation, the termination of any claim, issue or matter in such a Proceeding by dismissal, with or without prejudice, shall be deemed to be a successful result as to such claim, issue or matter.</w:t>
      </w:r>
    </w:p>
    <w:p>
      <w:pPr>
        <w:spacing w:after="0" w:line="1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Notwithstanding any other provision of this Agreement (other than Section 6(a) and (c) of this Agreement), to the fullest extent permitted by applicable law and to the extent that Indemnitee is, by reason of Indemnitee’s Corporate Status, a witness in any Proceeding to which Indemnitee is not a party, Indemnitee shall be indemnified against all Expenses actually and reasonably incurred by Indemnitee or on Indemnitee’s behalf in connection therewith.</w:t>
      </w:r>
    </w:p>
    <w:p>
      <w:pPr>
        <w:spacing w:after="0" w:line="18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170" w:lineRule="exact"/>
        <w:rPr>
          <w:sz w:val="20"/>
          <w:szCs w:val="20"/>
          <w:color w:val="auto"/>
        </w:rPr>
      </w:pPr>
    </w:p>
    <w:p>
      <w:pPr>
        <w:ind w:firstLine="921"/>
        <w:spacing w:after="0" w:line="277" w:lineRule="auto"/>
        <w:tabs>
          <w:tab w:leader="none" w:pos="11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70"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Securities Exchange Act of 1934, as amended; or</w:t>
      </w:r>
    </w:p>
    <w:p>
      <w:pPr>
        <w:spacing w:after="0" w:line="170" w:lineRule="exact"/>
        <w:rPr>
          <w:rFonts w:ascii="Arial" w:cs="Arial" w:eastAsia="Arial" w:hAnsi="Arial"/>
          <w:sz w:val="18"/>
          <w:szCs w:val="18"/>
          <w:color w:val="auto"/>
        </w:rPr>
      </w:pPr>
    </w:p>
    <w:p>
      <w:pPr>
        <w:ind w:right="40" w:firstLine="921"/>
        <w:spacing w:after="0" w:line="259" w:lineRule="auto"/>
        <w:tabs>
          <w:tab w:leader="none" w:pos="11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prior to a Change of Control against the Company or its directors, officers, employees or other indemnitees, unless (i) the Board of Directors of the Company authorized the Proceeding (or any part of any Proceeding) prior to its initiation or (ii) the Company provides the indemnification, in its sole discretion, pursuant to the powers vested in the Company under applicable law.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Advances of Expenses</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98" w:name="page199"/>
    <w:bookmarkEnd w:id="198"/>
    <w:p>
      <w:pPr>
        <w:ind w:right="20" w:firstLine="921"/>
        <w:spacing w:after="0" w:line="288" w:lineRule="auto"/>
        <w:tabs>
          <w:tab w:leader="none" w:pos="1158" w:val="left"/>
        </w:tabs>
        <w:numPr>
          <w:ilvl w:val="1"/>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the pre-existing requirement of Section VI C of the Articles of Incorporation of the Company, and notwithstanding any provision of this Agreement to the contrary but subject to Section 7(c) of this Agreement, the Company shall advance, to the extent not prohibited by law, the Expenses reasonably incurred by Indemnitee in connection with any Proceeding, and such advancement shall be made within 30 days after the receipt by the Company of a statement or statements requesting such advances (supported by statements in reasonable detail of Expenses incurred or to be incurred within the next 30 days)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that the Indemnitee will repay the advance to the extent that it is ultimately determined that Indemnitee is not entitled to be indemnified by the Company.</w:t>
      </w:r>
    </w:p>
    <w:p>
      <w:pPr>
        <w:spacing w:after="0" w:line="169" w:lineRule="exact"/>
        <w:rPr>
          <w:rFonts w:ascii="Arial" w:cs="Arial" w:eastAsia="Arial" w:hAnsi="Arial"/>
          <w:sz w:val="16"/>
          <w:szCs w:val="16"/>
          <w:color w:val="auto"/>
        </w:rPr>
      </w:pPr>
    </w:p>
    <w:p>
      <w:pPr>
        <w:ind w:firstLine="921"/>
        <w:spacing w:after="0" w:line="284" w:lineRule="auto"/>
        <w:tabs>
          <w:tab w:leader="none" w:pos="116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event the Company is obligated under this Section 7 hereof to pay, and pays the Expenses of any Proceeding against Indemnitee, the Company, if appropriate, shall be entitled to assume the defense of such Proceeding, with counsel approved by Indemnitee, which approval shall not be unreasonably withheld,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(i) Indemnitee shall have the right to employ Indemnitee’s counsel in any such Proceeding at Indemnitee’s expense; and (ii) if (A) the employment of counsel by Indemnitee has been previously authorized by the Company,</w:t>
      </w:r>
    </w:p>
    <w:p>
      <w:pPr>
        <w:spacing w:after="0" w:line="4" w:lineRule="exact"/>
        <w:rPr>
          <w:rFonts w:ascii="Arial" w:cs="Arial" w:eastAsia="Arial" w:hAnsi="Arial"/>
          <w:sz w:val="16"/>
          <w:szCs w:val="16"/>
          <w:color w:val="auto"/>
        </w:rPr>
      </w:pPr>
    </w:p>
    <w:p>
      <w:pPr>
        <w:ind w:right="180" w:firstLine="8"/>
        <w:spacing w:after="0" w:line="255" w:lineRule="auto"/>
        <w:tabs>
          <w:tab w:leader="none" w:pos="2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Indemnitee shall have reasonably concluded that there may be a conflict of interest between the Company and Indemnitee in the conduct of any such defense or (C) the Company shall not, in fact, have employed counsel approved by Indemnitee to assume the defense of such Proceeding, then the fees and expenses of Indemnitee’s counsel shall be at the expense of the Company.</w:t>
      </w:r>
    </w:p>
    <w:p>
      <w:pPr>
        <w:spacing w:after="0" w:line="190" w:lineRule="exact"/>
        <w:rPr>
          <w:rFonts w:ascii="Arial" w:cs="Arial" w:eastAsia="Arial" w:hAnsi="Arial"/>
          <w:sz w:val="18"/>
          <w:szCs w:val="18"/>
          <w:color w:val="auto"/>
        </w:rPr>
      </w:pPr>
    </w:p>
    <w:p>
      <w:pPr>
        <w:ind w:left="1160" w:hanging="239"/>
        <w:spacing w:after="0"/>
        <w:tabs>
          <w:tab w:leader="none" w:pos="11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This Section 7 shall not apply to any claim made by Indemnitee for which indemnity is excluded pursuant to Section 6(a) or (c)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action, suit or proceeding. The omission to notify the Company will not relieve the Company from any liability which it may have to Indemnitee otherwise than under this Agreement. The Secretary of the Company shall, promptly upon receipt of such a request for indemnification, advise the Board in writing that Indemnitee has requested indemnification.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ectPr>
          <w:pgSz w:w="11900" w:h="16838" w:orient="portrait"/>
          <w:cols w:equalWidth="0" w:num="1">
            <w:col w:w="11360"/>
          </w:cols>
          <w:pgMar w:left="240" w:top="274" w:right="299" w:bottom="1440" w:gutter="0" w:footer="0" w:header="0"/>
        </w:sectPr>
      </w:pPr>
    </w:p>
    <w:bookmarkStart w:id="199" w:name="page200"/>
    <w:bookmarkEnd w:id="199"/>
    <w:p>
      <w:pPr>
        <w:ind w:left="-460" w:right="60" w:firstLine="921"/>
        <w:spacing w:after="0" w:line="290" w:lineRule="auto"/>
        <w:tabs>
          <w:tab w:leader="none" w:pos="698"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written request by Indemnitee for indemnification pursuant to the first sentence of Section 8, a determination, if required by applicable law, with respect to Indemnitee’s entitlement thereto shall be made in the specific case in accordance with Section 13.1-701B of the Virginia Act and Section VI C of the Company’s Articles of Incorporation.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66" w:lineRule="exact"/>
        <w:rPr>
          <w:rFonts w:ascii="Arial" w:cs="Arial" w:eastAsia="Arial" w:hAnsi="Arial"/>
          <w:sz w:val="16"/>
          <w:szCs w:val="16"/>
          <w:color w:val="auto"/>
        </w:rPr>
      </w:pPr>
    </w:p>
    <w:p>
      <w:pPr>
        <w:ind w:left="-460" w:firstLine="921"/>
        <w:spacing w:after="0" w:line="285" w:lineRule="auto"/>
        <w:tabs>
          <w:tab w:leader="none" w:pos="70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9(a) hereof, the Independent Counsel shall be selected as provided in this Section 9(b). If a Change in Control shall not have occurred, the Independent Counsel shall be selected by the Board of Directors, and the Company shall give written notice to Indemnitee advising Indemnitee of the identity of the Independent Counsel so selected. If a Change in Control shall have occurred, the Independent Counsel shall be selected by Indemnitee (unless Indemnitee shall request that such selection be made by the Board of Directors, in which event the preceding sentence shall apply), and Indemnitee shall give written notice to the Company advising it of the identity of the Independent Counsel so selected. In either event, Indemnitee or the Company, as the case may be, may, within 10 days after such written notice of selection shall have been given, deliver to the Company or to Indemnitee, as the case may be, a written objection to such selection;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submission by Indemnitee of a written request for indemnification pursuant to Section 8 hereof and the final disposition of the Proceeding, no Independent Counsel shall have been selected and not objected to, either the Company or Indemnitee may petition the Virginia Court (as defined in Section 20 of this Agreement)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9(a) hereof. Upon the due commencement of any judicial proceeding or arbitration pursuant to Section 11(a) of this Agreement, Independent Counsel shall be discharged and relieved of any further responsibility in such capacity (subject to the applicable standards of professional conduct then prevailing).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ectPr>
          <w:pgSz w:w="11900" w:h="16838" w:orient="portrait"/>
          <w:cols w:equalWidth="0" w:num="1">
            <w:col w:w="10920"/>
          </w:cols>
          <w:pgMar w:left="700" w:top="274" w:right="279" w:bottom="1440" w:gutter="0" w:footer="0" w:header="0"/>
        </w:sectPr>
      </w:pPr>
    </w:p>
    <w:bookmarkStart w:id="200" w:name="page201"/>
    <w:bookmarkEnd w:id="200"/>
    <w:p>
      <w:pPr>
        <w:ind w:left="-8" w:firstLine="921"/>
        <w:spacing w:after="0" w:line="254" w:lineRule="auto"/>
        <w:tabs>
          <w:tab w:leader="none" w:pos="1150"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making a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8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2" w:lineRule="exact"/>
        <w:rPr>
          <w:rFonts w:ascii="Arial" w:cs="Arial" w:eastAsia="Arial" w:hAnsi="Arial"/>
          <w:sz w:val="18"/>
          <w:szCs w:val="18"/>
          <w:color w:val="auto"/>
        </w:rPr>
      </w:pPr>
    </w:p>
    <w:p>
      <w:pPr>
        <w:ind w:left="-8" w:right="80" w:firstLine="921"/>
        <w:spacing w:after="0" w:line="288" w:lineRule="auto"/>
        <w:tabs>
          <w:tab w:leader="none" w:pos="11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Subject to Section 11(e), if the person, persons or entity empowered or selected under Section 9 of this Agreement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w:t>
      </w:r>
    </w:p>
    <w:p>
      <w:pPr>
        <w:ind w:left="-8" w:firstLine="8"/>
        <w:spacing w:after="0" w:line="270" w:lineRule="auto"/>
        <w:tabs>
          <w:tab w:leader="none" w:pos="20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foregoing provisions of this Section 10(b) shall not apply if the determination of entitlement to indemnification is to be made by Independent Counsel pursuant to Section 9(a) of this Agreement.</w:t>
      </w:r>
    </w:p>
    <w:p>
      <w:pPr>
        <w:spacing w:after="0" w:line="178" w:lineRule="exact"/>
        <w:rPr>
          <w:rFonts w:ascii="Arial" w:cs="Arial" w:eastAsia="Arial" w:hAnsi="Arial"/>
          <w:sz w:val="17"/>
          <w:szCs w:val="17"/>
          <w:color w:val="auto"/>
        </w:rPr>
      </w:pPr>
    </w:p>
    <w:p>
      <w:pPr>
        <w:jc w:val="both"/>
        <w:ind w:left="-8" w:right="300" w:firstLine="921"/>
        <w:spacing w:after="0" w:line="286" w:lineRule="auto"/>
        <w:tabs>
          <w:tab w:leader="none" w:pos="114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The termination of any Proceeding or of any claim, issue or matter therein, by judgment, order, settlement or conviction, or upon a plea of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or its equivalent, shall not (except as otherwise expressly provided in this Agreement) of itself adversely affect the right of Indemnitee to indemnification or create a presumption that Indemnitee was guilty of willful misconduct or a knowing violation of criminal law.</w:t>
      </w:r>
    </w:p>
    <w:p>
      <w:pPr>
        <w:spacing w:after="0" w:line="165" w:lineRule="exact"/>
        <w:rPr>
          <w:rFonts w:ascii="Arial" w:cs="Arial" w:eastAsia="Arial" w:hAnsi="Arial"/>
          <w:sz w:val="17"/>
          <w:szCs w:val="17"/>
          <w:color w:val="auto"/>
        </w:rPr>
      </w:pPr>
    </w:p>
    <w:p>
      <w:pPr>
        <w:ind w:left="-8" w:right="240" w:firstLine="921"/>
        <w:spacing w:after="0" w:line="277" w:lineRule="auto"/>
        <w:tabs>
          <w:tab w:leader="none" w:pos="116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Actions of Others.</w:t>
      </w:r>
      <w:r>
        <w:rPr>
          <w:rFonts w:ascii="Arial" w:cs="Arial" w:eastAsia="Arial" w:hAnsi="Arial"/>
          <w:sz w:val="18"/>
          <w:szCs w:val="18"/>
          <w:color w:val="auto"/>
        </w:rPr>
        <w:t xml:space="preserve"> The knowledge and/or actions, or failure to act, of any director, officer, agent or employee of the Enterprise shall not be imputed to Indemnitee for purposes of determining the right to indemnification under this Agreement.</w:t>
      </w:r>
    </w:p>
    <w:p>
      <w:pPr>
        <w:sectPr>
          <w:pgSz w:w="11900" w:h="16838" w:orient="portrait"/>
          <w:cols w:equalWidth="0" w:num="1">
            <w:col w:w="11392"/>
          </w:cols>
          <w:pgMar w:left="248" w:top="274" w:right="259" w:bottom="1440" w:gutter="0" w:footer="0" w:header="0"/>
        </w:sectPr>
      </w:pPr>
    </w:p>
    <w:bookmarkStart w:id="201" w:name="page202"/>
    <w:bookmarkEnd w:id="201"/>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sz w:val="20"/>
          <w:szCs w:val="20"/>
          <w:color w:val="auto"/>
        </w:rPr>
      </w:pPr>
    </w:p>
    <w:p>
      <w:pPr>
        <w:ind w:left="-8" w:firstLine="921"/>
        <w:spacing w:after="0" w:line="286" w:lineRule="auto"/>
        <w:tabs>
          <w:tab w:leader="none" w:pos="115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Subject to Section 11(e), in the event that (i) a determination is made pursuant to Section 9 of this Agreement that Indemnitee is not entitled to indemnification under this Agreement, (ii) advancement of Expenses is not timely made pursuant to Section 7 of this Agreement, (iii) no determination of entitlement to indemnification shall have been made pursuant to Section 9(a) of this Agreement within 90 days after receipt by the Company of the request for indemnification, (iv) payment of indemnification is not made pursuant to Section 4 or 5 or the last sentence of Section 9(a) of this Agreement within ten</w:t>
      </w:r>
    </w:p>
    <w:p>
      <w:pPr>
        <w:spacing w:after="0" w:line="1" w:lineRule="exact"/>
        <w:rPr>
          <w:rFonts w:ascii="Arial" w:cs="Arial" w:eastAsia="Arial" w:hAnsi="Arial"/>
          <w:sz w:val="16"/>
          <w:szCs w:val="16"/>
          <w:color w:val="auto"/>
        </w:rPr>
      </w:pPr>
    </w:p>
    <w:p>
      <w:pPr>
        <w:ind w:left="-8" w:right="60" w:firstLine="8"/>
        <w:spacing w:after="0" w:line="252" w:lineRule="auto"/>
        <w:tabs>
          <w:tab w:leader="none" w:pos="3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days after receipt by the Company of a written request therefor, or (v) payment of indemnification pursuant to Section 3 of this Agreement is not made within ten (10) days after a determination has been made that Indemnitee is entitled to indemnification,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one hundred eighty (180) days following the date on which Indemnitee first has the right to commence such proceeding pursuant to this Section 11(a);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foregoing clause shall not apply in respect of a proceeding brought by Indemnitee to enforce Indemnitee’s rights under Section 4 of this Agreement. The Company shall not oppose Indemnitee’s right to seek any such adjudication or award in arbitration.</w:t>
      </w:r>
    </w:p>
    <w:p>
      <w:pPr>
        <w:spacing w:after="0" w:line="191" w:lineRule="exact"/>
        <w:rPr>
          <w:rFonts w:ascii="Arial" w:cs="Arial" w:eastAsia="Arial" w:hAnsi="Arial"/>
          <w:sz w:val="18"/>
          <w:szCs w:val="18"/>
          <w:color w:val="auto"/>
        </w:rPr>
      </w:pPr>
    </w:p>
    <w:p>
      <w:pPr>
        <w:ind w:left="-8" w:right="20" w:firstLine="921"/>
        <w:spacing w:after="0" w:line="257" w:lineRule="auto"/>
        <w:tabs>
          <w:tab w:leader="none" w:pos="11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Section 9(a) of this Agreement that Indemnitee is not entitled to indemnification, any judicial proceeding or arbitration commenced pursuant to this Section 11 shall be conducted in all respects as a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11 the Company shall have the burden of proving Indemnitee is not entitled to indemnification or advancement of Expenses, as the case may be.</w:t>
      </w:r>
    </w:p>
    <w:p>
      <w:pPr>
        <w:spacing w:after="0" w:line="188" w:lineRule="exact"/>
        <w:rPr>
          <w:rFonts w:ascii="Arial" w:cs="Arial" w:eastAsia="Arial" w:hAnsi="Arial"/>
          <w:sz w:val="18"/>
          <w:szCs w:val="18"/>
          <w:color w:val="auto"/>
        </w:rPr>
      </w:pPr>
    </w:p>
    <w:p>
      <w:pPr>
        <w:ind w:left="-8" w:right="80" w:firstLine="921"/>
        <w:spacing w:after="0" w:line="279" w:lineRule="auto"/>
        <w:tabs>
          <w:tab w:leader="none" w:pos="115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9(a) of this Agreement that Indemnitee is entitled to indemnification, the Company shall be bound by such determination in any judicial proceeding or arbitration commenced pursuant to this Section 11,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left="-8" w:right="60" w:firstLine="921"/>
        <w:spacing w:after="0" w:line="291" w:lineRule="auto"/>
        <w:tabs>
          <w:tab w:leader="none" w:pos="11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Company shall be precluded from asserting in any judicial proceeding or arbitration commenced pursuant to this Section 11 that the procedures and presumptions of this Agreement are not valid, binding and enforceable and shall stipulate in any such court or before any such arbitrator that the Company is bound by all the provisions of this Agreement. The Company shall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liability insurance policies maintained by the Company, regardless of whether Indemnitee ultimately is determined to be entitled to such indemnification, advancement of Expenses or insurance recovery, as the case may be.</w:t>
      </w:r>
    </w:p>
    <w:p>
      <w:pPr>
        <w:sectPr>
          <w:pgSz w:w="11900" w:h="16838" w:orient="portrait"/>
          <w:cols w:equalWidth="0" w:num="1">
            <w:col w:w="11412"/>
          </w:cols>
          <w:pgMar w:left="248" w:top="274" w:right="239" w:bottom="1440" w:gutter="0" w:footer="0" w:header="0"/>
        </w:sectPr>
      </w:pPr>
    </w:p>
    <w:bookmarkStart w:id="202" w:name="page203"/>
    <w:bookmarkEnd w:id="202"/>
    <w:p>
      <w:pPr>
        <w:ind w:left="-460" w:right="40" w:firstLine="921"/>
        <w:spacing w:after="0" w:line="277" w:lineRule="auto"/>
        <w:tabs>
          <w:tab w:leader="none" w:pos="698"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in this Agreement to the contrary, no determination as to entitlement to indemnification under this Agreement shall be required to be made prior to the final disposition of the Proceeding.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sz w:val="20"/>
          <w:szCs w:val="20"/>
          <w:color w:val="auto"/>
        </w:rPr>
      </w:pPr>
    </w:p>
    <w:p>
      <w:pPr>
        <w:ind w:left="-460" w:right="80" w:firstLine="921"/>
        <w:spacing w:after="0" w:line="270" w:lineRule="auto"/>
        <w:tabs>
          <w:tab w:leader="none" w:pos="69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Company’s Articles of Incorporation, any agreement, a vote of shareholders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Virginia law, whether by statute or judicial decision, permits greater indemnification or advancement of Expenses than would be afforded currently under the Company’s Articles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7" w:lineRule="exact"/>
        <w:rPr>
          <w:rFonts w:ascii="Arial" w:cs="Arial" w:eastAsia="Arial" w:hAnsi="Arial"/>
          <w:sz w:val="17"/>
          <w:szCs w:val="17"/>
          <w:color w:val="auto"/>
        </w:rPr>
      </w:pPr>
    </w:p>
    <w:p>
      <w:pPr>
        <w:ind w:left="-460" w:firstLine="921"/>
        <w:spacing w:after="0" w:line="254" w:lineRule="auto"/>
        <w:tabs>
          <w:tab w:leader="none" w:pos="7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providing liability insurance for directors, officers, employees or agents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or agent under such policy or policies. If, at the time of the receipt of a notice of a claim eligible for indemnification pursuant to the terms hereof, the Company has director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2" w:lineRule="exact"/>
        <w:rPr>
          <w:rFonts w:ascii="Arial" w:cs="Arial" w:eastAsia="Arial" w:hAnsi="Arial"/>
          <w:sz w:val="18"/>
          <w:szCs w:val="18"/>
          <w:color w:val="auto"/>
        </w:rPr>
      </w:pPr>
    </w:p>
    <w:p>
      <w:pPr>
        <w:ind w:left="-460" w:right="220" w:firstLine="921"/>
        <w:spacing w:after="0" w:line="264" w:lineRule="auto"/>
        <w:tabs>
          <w:tab w:leader="none" w:pos="69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1" w:lineRule="exact"/>
        <w:rPr>
          <w:rFonts w:ascii="Arial" w:cs="Arial" w:eastAsia="Arial" w:hAnsi="Arial"/>
          <w:sz w:val="18"/>
          <w:szCs w:val="18"/>
          <w:color w:val="auto"/>
        </w:rPr>
      </w:pPr>
    </w:p>
    <w:p>
      <w:pPr>
        <w:ind w:left="-460" w:right="180" w:firstLine="921"/>
        <w:spacing w:after="0" w:line="264" w:lineRule="auto"/>
        <w:tabs>
          <w:tab w:leader="none" w:pos="7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ectPr>
          <w:pgSz w:w="11900" w:h="16838" w:orient="portrait"/>
          <w:cols w:equalWidth="0" w:num="1">
            <w:col w:w="10940"/>
          </w:cols>
          <w:pgMar w:left="700" w:top="274" w:right="259" w:bottom="1440" w:gutter="0" w:footer="0" w:header="0"/>
        </w:sectPr>
      </w:pPr>
    </w:p>
    <w:bookmarkStart w:id="203" w:name="page204"/>
    <w:bookmarkEnd w:id="203"/>
    <w:p>
      <w:pPr>
        <w:ind w:right="120" w:firstLine="921"/>
        <w:spacing w:after="0" w:line="279" w:lineRule="auto"/>
        <w:tabs>
          <w:tab w:leader="none" w:pos="1158" w:val="left"/>
        </w:tabs>
        <w:numPr>
          <w:ilvl w:val="0"/>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obligation to indemnify or advance Expenses hereunder to Indemnitee with respect to service at the request of the Company as a director, officer,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 with respect to such service.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Duration of Agreement</w:t>
      </w:r>
      <w:r>
        <w:rPr>
          <w:rFonts w:ascii="Arial" w:cs="Arial" w:eastAsia="Arial" w:hAnsi="Arial"/>
          <w:sz w:val="16"/>
          <w:szCs w:val="16"/>
          <w:color w:val="auto"/>
        </w:rPr>
        <w:t>. This Agreement shall continue until and terminate upon the later of: (i) ten (10) years after the date that Indemnitee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shall have ceased to serve as a director of the Company or (ii) one (1) year after the final termination of any Proceeding then pending in respect of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Indemnitee is granted rights of indemnification or advancement of Expenses hereunder and of any proceeding commenced by Indemnitee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 of this Agreement relating thereto. This Agreement shall be binding upon the Company and its successors and assigns and shall inure to the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Indemnitee and Indemnitee’s heirs, executors and administrators.</w:t>
      </w:r>
    </w:p>
    <w:p>
      <w:pPr>
        <w:spacing w:after="0" w:line="21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57" w:lineRule="auto"/>
        <w:tabs>
          <w:tab w:leader="none" w:pos="115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continue to serve as a director of the Company and/or to confirm to Indemnitee that after Indemnitee ceases to be a director Indemnitee will continue to be entitled to indemnification and advancement of expenses by the Company, and the Company acknowledges that Indemnitee is relying upon this Agreement in continuing to serve as a director of the Company and has provided other good and valuable consideration in connection with this Agreement, the sufficiency and receipt of which are hereby acknowledged.</w:t>
      </w:r>
    </w:p>
    <w:p>
      <w:pPr>
        <w:spacing w:after="0" w:line="188" w:lineRule="exact"/>
        <w:rPr>
          <w:rFonts w:ascii="Arial" w:cs="Arial" w:eastAsia="Arial" w:hAnsi="Arial"/>
          <w:sz w:val="18"/>
          <w:szCs w:val="18"/>
          <w:color w:val="auto"/>
        </w:rPr>
      </w:pPr>
    </w:p>
    <w:p>
      <w:pPr>
        <w:ind w:right="120" w:firstLine="921"/>
        <w:spacing w:after="0" w:line="259" w:lineRule="auto"/>
        <w:tabs>
          <w:tab w:leader="none" w:pos="11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Articles of Incorporation of the Company and applicable law, and shall not be deemed a substitute therefor, nor to diminish or abrogate any rights of Indemnitee thereunder.</w:t>
      </w:r>
    </w:p>
    <w:p>
      <w:pPr>
        <w:sectPr>
          <w:pgSz w:w="11900" w:h="16838" w:orient="portrait"/>
          <w:cols w:equalWidth="0" w:num="1">
            <w:col w:w="11400"/>
          </w:cols>
          <w:pgMar w:left="240" w:top="274" w:right="259" w:bottom="1440" w:gutter="0" w:footer="0" w:header="0"/>
        </w:sectPr>
      </w:pPr>
    </w:p>
    <w:bookmarkStart w:id="204" w:name="page205"/>
    <w:bookmarkEnd w:id="204"/>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parties thereto. No waiver of any of the provisions of this Agreement shall be deemed or shall constitute a waiver of any other provisions of this Agreement nor shall any waiver constitute a continuing waiver.</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Notice by Indemnitee</w:t>
      </w:r>
      <w:r>
        <w:rPr>
          <w:rFonts w:ascii="Arial" w:cs="Arial" w:eastAsia="Arial" w:hAnsi="Arial"/>
          <w:sz w:val="16"/>
          <w:szCs w:val="16"/>
          <w:color w:val="auto"/>
        </w:rPr>
        <w:t xml:space="preserve">. Indemnitee agrees promptly to notify the Company in writing upon being served with any summons, citation, subpoena, complaint, indictment, information or other document relating to any Proceeding or matter that may be subject to indemnification or advancement of Expenses covered hereunder. The failure of Indemnitee to so notify the Company shall not relieve the Company of any obligation that it may have to the Indemnitee under this Agreement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delay in giving such notice shall not deprive Indemnitee of any right to be indemnified under this Agreement unless, and then only to the extent that, such delay is materially prejudicial to the defense of such claim.</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 if to Indemnitee, at the address indicated on the signature page of this Agreement, or such other address as Indemnitee shall provide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w:t>
      </w:r>
    </w:p>
    <w:p>
      <w:pPr>
        <w:spacing w:after="0" w:line="211" w:lineRule="exact"/>
        <w:rPr>
          <w:sz w:val="20"/>
          <w:szCs w:val="20"/>
          <w:color w:val="auto"/>
        </w:rPr>
      </w:pPr>
    </w:p>
    <w:p>
      <w:pPr>
        <w:ind w:right="2060" w:firstLine="1492"/>
        <w:spacing w:after="0" w:line="501" w:lineRule="auto"/>
        <w:tabs>
          <w:tab w:leader="none" w:pos="17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to the Company to Secretary, Mondelēz International, Inc., Three Parkway North, Deerfield, IL 60015. or to any other address as may have been furnished to Indemnitee by the Company or vice versa.</w:t>
      </w:r>
    </w:p>
    <w:p>
      <w:pPr>
        <w:ind w:firstLine="456"/>
        <w:spacing w:after="0" w:line="255"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Contribution</w:t>
      </w:r>
      <w:r>
        <w:rPr>
          <w:rFonts w:ascii="Arial" w:cs="Arial" w:eastAsia="Arial" w:hAnsi="Arial"/>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ectPr>
          <w:pgSz w:w="11900" w:h="16838" w:orient="portrait"/>
          <w:cols w:equalWidth="0" w:num="1">
            <w:col w:w="11380"/>
          </w:cols>
          <w:pgMar w:left="240" w:top="274" w:right="279" w:bottom="1440" w:gutter="0" w:footer="0" w:header="0"/>
        </w:sectPr>
      </w:pPr>
    </w:p>
    <w:bookmarkStart w:id="205" w:name="page206"/>
    <w:bookmarkEnd w:id="205"/>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Commonwealth of Virginia, without regard to its conflict of laws rules. Except with respect to any arbitration commenced by Indemnitee pursuant to Section 11(a) of this Agreement, the Company and Indemnitee hereby irrevocably and unconditionally (i) agree that any action or proceeding arising out of or in connection with this Agreement shall be brought only in the Circuit Court for Henrico County, Commonwealth of Virginia (the “Virginia Court”), and not in any other state or federal court in the United States of America or any court in any other country, (ii) consent to submit to the exclusive jurisdiction of the Virginia Court for purposes of any action or proceeding arising out of or in connection with this Agreement,</w:t>
      </w:r>
    </w:p>
    <w:p>
      <w:pPr>
        <w:spacing w:after="0" w:line="5" w:lineRule="exact"/>
        <w:rPr>
          <w:sz w:val="20"/>
          <w:szCs w:val="20"/>
          <w:color w:val="auto"/>
        </w:rPr>
      </w:pPr>
    </w:p>
    <w:p>
      <w:pPr>
        <w:ind w:right="120" w:firstLine="8"/>
        <w:spacing w:after="0" w:line="261" w:lineRule="auto"/>
        <w:tabs>
          <w:tab w:leader="none" w:pos="3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waive any objection to the laying of venue of any such action or proceeding in the Virginia Court, and (iv) waive, and agree not to plead or to make, any claim that any such action or proceeding brought in the Virginia Court has been brought in an improper or inconvenient forum.</w:t>
      </w:r>
    </w:p>
    <w:p>
      <w:pPr>
        <w:spacing w:after="0" w:line="18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ectPr>
          <w:pgSz w:w="11900" w:h="16838" w:orient="portrait"/>
          <w:cols w:equalWidth="0" w:num="1">
            <w:col w:w="11420"/>
          </w:cols>
          <w:pgMar w:left="240" w:top="274" w:right="239" w:bottom="1440" w:gutter="0" w:footer="0" w:header="0"/>
        </w:sectPr>
      </w:pPr>
    </w:p>
    <w:bookmarkStart w:id="206" w:name="page207"/>
    <w:bookmarkEnd w:id="20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 </w:t>
      </w:r>
      <w:r>
        <w:rPr>
          <w:rFonts w:ascii="Arial" w:cs="Arial" w:eastAsia="Arial" w:hAnsi="Arial"/>
          <w:sz w:val="18"/>
          <w:szCs w:val="18"/>
          <w:u w:val="single" w:color="auto"/>
          <w:color w:val="auto"/>
        </w:rPr>
        <w:t>Miscellaneous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MONDELĒZ INTERNATIONAL, INC.</w:t>
            </w:r>
          </w:p>
        </w:tc>
        <w:tc>
          <w:tcPr>
            <w:tcW w:w="4640" w:type="dxa"/>
            <w:vAlign w:val="bottom"/>
            <w:gridSpan w:val="3"/>
          </w:tcPr>
          <w:p>
            <w:pPr>
              <w:ind w:left="1320"/>
              <w:spacing w:after="0"/>
              <w:rPr>
                <w:sz w:val="20"/>
                <w:szCs w:val="20"/>
                <w:color w:val="auto"/>
              </w:rPr>
            </w:pPr>
            <w:r>
              <w:rPr>
                <w:rFonts w:ascii="Arial" w:cs="Arial" w:eastAsia="Arial" w:hAnsi="Arial"/>
                <w:sz w:val="18"/>
                <w:szCs w:val="18"/>
                <w:color w:val="auto"/>
              </w:rPr>
              <w:t>INDEMNITEE</w:t>
            </w:r>
          </w:p>
        </w:tc>
        <w:tc>
          <w:tcPr>
            <w:tcW w:w="0" w:type="dxa"/>
            <w:vAlign w:val="bottom"/>
          </w:tcPr>
          <w:p>
            <w:pPr>
              <w:spacing w:after="0"/>
              <w:rPr>
                <w:sz w:val="1"/>
                <w:szCs w:val="1"/>
                <w:color w:val="auto"/>
              </w:rPr>
            </w:pPr>
          </w:p>
        </w:tc>
      </w:tr>
      <w:tr>
        <w:trPr>
          <w:trHeight w:val="837"/>
        </w:trPr>
        <w:tc>
          <w:tcPr>
            <w:tcW w:w="4720" w:type="dxa"/>
            <w:vAlign w:val="bottom"/>
            <w:gridSpan w:val="3"/>
          </w:tcPr>
          <w:p>
            <w:pPr>
              <w:spacing w:after="0"/>
              <w:rPr>
                <w:sz w:val="20"/>
                <w:szCs w:val="20"/>
                <w:color w:val="auto"/>
              </w:rPr>
            </w:pPr>
            <w:r>
              <w:rPr>
                <w:rFonts w:ascii="Arial" w:cs="Arial" w:eastAsia="Arial" w:hAnsi="Arial"/>
                <w:sz w:val="18"/>
                <w:szCs w:val="18"/>
                <w:color w:val="auto"/>
              </w:rPr>
              <w:t>By:  /s/ Carol J. Ward</w:t>
            </w:r>
          </w:p>
        </w:tc>
        <w:tc>
          <w:tcPr>
            <w:tcW w:w="4640" w:type="dxa"/>
            <w:vAlign w:val="bottom"/>
            <w:gridSpan w:val="3"/>
          </w:tcPr>
          <w:p>
            <w:pPr>
              <w:ind w:left="1320"/>
              <w:spacing w:after="0"/>
              <w:rPr>
                <w:sz w:val="20"/>
                <w:szCs w:val="20"/>
                <w:color w:val="auto"/>
              </w:rPr>
            </w:pPr>
            <w:r>
              <w:rPr>
                <w:rFonts w:ascii="Arial" w:cs="Arial" w:eastAsia="Arial" w:hAnsi="Arial"/>
                <w:sz w:val="18"/>
                <w:szCs w:val="18"/>
                <w:color w:val="auto"/>
              </w:rPr>
              <w:t>By:  /s/ Dirk Van de Put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7"/>
                <w:szCs w:val="17"/>
                <w:color w:val="auto"/>
                <w:w w:val="71"/>
              </w:rPr>
              <w:t>Name:</w:t>
            </w:r>
          </w:p>
        </w:tc>
        <w:tc>
          <w:tcPr>
            <w:tcW w:w="2820" w:type="dxa"/>
            <w:vAlign w:val="bottom"/>
            <w:tcBorders>
              <w:bottom w:val="single" w:sz="8" w:color="auto"/>
            </w:tcBorders>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4640" w:type="dxa"/>
            <w:vAlign w:val="bottom"/>
            <w:gridSpan w:val="3"/>
            <w:vMerge w:val="restart"/>
          </w:tcPr>
          <w:p>
            <w:pPr>
              <w:ind w:left="1320"/>
              <w:spacing w:after="0"/>
              <w:rPr>
                <w:sz w:val="20"/>
                <w:szCs w:val="20"/>
                <w:color w:val="auto"/>
              </w:rPr>
            </w:pPr>
            <w:r>
              <w:rPr>
                <w:rFonts w:ascii="Arial" w:cs="Arial" w:eastAsia="Arial" w:hAnsi="Arial"/>
                <w:sz w:val="18"/>
                <w:szCs w:val="18"/>
                <w:color w:val="auto"/>
              </w:rPr>
              <w:t>Name: Dirk Van de Put</w:t>
            </w:r>
          </w:p>
        </w:tc>
        <w:tc>
          <w:tcPr>
            <w:tcW w:w="0" w:type="dxa"/>
            <w:vAlign w:val="bottom"/>
          </w:tcPr>
          <w:p>
            <w:pPr>
              <w:spacing w:after="0" w:line="20" w:lineRule="exact"/>
              <w:rPr>
                <w:sz w:val="1"/>
                <w:szCs w:val="1"/>
                <w:color w:val="auto"/>
              </w:rPr>
            </w:pPr>
          </w:p>
        </w:tc>
      </w:tr>
      <w:tr>
        <w:trPr>
          <w:trHeight w:val="182"/>
        </w:trPr>
        <w:tc>
          <w:tcPr>
            <w:tcW w:w="380" w:type="dxa"/>
            <w:vAlign w:val="bottom"/>
            <w:vMerge w:val="continue"/>
          </w:tcPr>
          <w:p>
            <w:pPr>
              <w:spacing w:after="0"/>
              <w:rPr>
                <w:sz w:val="15"/>
                <w:szCs w:val="15"/>
                <w:color w:val="auto"/>
              </w:rPr>
            </w:pPr>
          </w:p>
        </w:tc>
        <w:tc>
          <w:tcPr>
            <w:tcW w:w="2820" w:type="dxa"/>
            <w:vAlign w:val="bottom"/>
          </w:tcPr>
          <w:p>
            <w:pPr>
              <w:ind w:left="160"/>
              <w:spacing w:after="0" w:line="182" w:lineRule="exact"/>
              <w:rPr>
                <w:sz w:val="20"/>
                <w:szCs w:val="20"/>
                <w:color w:val="auto"/>
              </w:rPr>
            </w:pPr>
            <w:r>
              <w:rPr>
                <w:rFonts w:ascii="Arial" w:cs="Arial" w:eastAsia="Arial" w:hAnsi="Arial"/>
                <w:sz w:val="18"/>
                <w:szCs w:val="18"/>
                <w:color w:val="auto"/>
              </w:rPr>
              <w:t>Carol J. Ward</w:t>
            </w:r>
          </w:p>
        </w:tc>
        <w:tc>
          <w:tcPr>
            <w:tcW w:w="1520" w:type="dxa"/>
            <w:vAlign w:val="bottom"/>
            <w:vMerge w:val="continue"/>
          </w:tcPr>
          <w:p>
            <w:pPr>
              <w:spacing w:after="0"/>
              <w:rPr>
                <w:sz w:val="15"/>
                <w:szCs w:val="15"/>
                <w:color w:val="auto"/>
              </w:rPr>
            </w:pPr>
          </w:p>
        </w:tc>
        <w:tc>
          <w:tcPr>
            <w:tcW w:w="4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Office: Vice President and Corporate Secretary</w:t>
            </w:r>
          </w:p>
        </w:tc>
        <w:tc>
          <w:tcPr>
            <w:tcW w:w="4640" w:type="dxa"/>
            <w:vAlign w:val="bottom"/>
            <w:gridSpan w:val="3"/>
          </w:tcPr>
          <w:p>
            <w:pPr>
              <w:ind w:left="1340"/>
              <w:spacing w:after="0"/>
              <w:rPr>
                <w:sz w:val="20"/>
                <w:szCs w:val="20"/>
                <w:color w:val="auto"/>
              </w:rPr>
            </w:pPr>
            <w:r>
              <w:rPr>
                <w:rFonts w:ascii="Arial" w:cs="Arial" w:eastAsia="Arial" w:hAnsi="Arial"/>
                <w:sz w:val="18"/>
                <w:szCs w:val="18"/>
                <w:color w:val="auto"/>
                <w:w w:val="90"/>
              </w:rPr>
              <w:t>Address: 156 W. Superior, Chicago, IL 60654</w:t>
            </w:r>
          </w:p>
        </w:tc>
        <w:tc>
          <w:tcPr>
            <w:tcW w:w="0" w:type="dxa"/>
            <w:vAlign w:val="bottom"/>
          </w:tcPr>
          <w:p>
            <w:pPr>
              <w:spacing w:after="0"/>
              <w:rPr>
                <w:sz w:val="1"/>
                <w:szCs w:val="1"/>
                <w:color w:val="auto"/>
              </w:rPr>
            </w:pPr>
          </w:p>
        </w:tc>
      </w:tr>
    </w:tbl>
    <w:p>
      <w:pPr>
        <w:sectPr>
          <w:pgSz w:w="11900" w:h="16838" w:orient="portrait"/>
          <w:cols w:equalWidth="0" w:num="1">
            <w:col w:w="11220"/>
          </w:cols>
          <w:pgMar w:left="240" w:top="274" w:right="439" w:bottom="1440" w:gutter="0" w:footer="0" w:header="0"/>
        </w:sectPr>
      </w:pPr>
    </w:p>
    <w:bookmarkStart w:id="207" w:name="page208"/>
    <w:bookmarkEnd w:id="207"/>
    <w:p>
      <w:pPr>
        <w:ind w:left="10300"/>
        <w:spacing w:after="0"/>
        <w:rPr>
          <w:sz w:val="20"/>
          <w:szCs w:val="20"/>
          <w:color w:val="auto"/>
        </w:rPr>
      </w:pPr>
      <w:r>
        <w:rPr>
          <w:rFonts w:ascii="Arial" w:cs="Arial" w:eastAsia="Arial" w:hAnsi="Arial"/>
          <w:sz w:val="18"/>
          <w:szCs w:val="18"/>
          <w:b w:val="1"/>
          <w:bCs w:val="1"/>
          <w:color w:val="auto"/>
        </w:rPr>
        <w:t>EXHIBIT 12.1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jc w:val="center"/>
        <w:spacing w:after="0" w:line="234" w:lineRule="auto"/>
        <w:rPr>
          <w:sz w:val="20"/>
          <w:szCs w:val="20"/>
          <w:color w:val="auto"/>
        </w:rPr>
      </w:pPr>
      <w:r>
        <w:rPr>
          <w:rFonts w:ascii="Arial" w:cs="Arial" w:eastAsia="Arial" w:hAnsi="Arial"/>
          <w:sz w:val="18"/>
          <w:szCs w:val="18"/>
          <w:b w:val="1"/>
          <w:bCs w:val="1"/>
          <w:color w:val="auto"/>
        </w:rPr>
        <w:t>Computation of Ratios of Earnings to Fixed Charges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ratio)</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3,124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1,454</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7,884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2,554</w:t>
            </w:r>
          </w:p>
        </w:tc>
        <w:tc>
          <w:tcPr>
            <w:tcW w:w="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311"/>
        </w:trPr>
        <w:tc>
          <w:tcPr>
            <w:tcW w:w="5800" w:type="dxa"/>
            <w:vAlign w:val="bottom"/>
            <w:gridSpan w:val="2"/>
          </w:tcPr>
          <w:p>
            <w:pPr>
              <w:spacing w:after="0"/>
              <w:rPr>
                <w:sz w:val="20"/>
                <w:szCs w:val="20"/>
                <w:color w:val="auto"/>
              </w:rPr>
            </w:pPr>
            <w:r>
              <w:rPr>
                <w:rFonts w:ascii="Arial" w:cs="Arial" w:eastAsia="Arial" w:hAnsi="Arial"/>
                <w:sz w:val="18"/>
                <w:szCs w:val="18"/>
                <w:color w:val="auto"/>
              </w:rPr>
              <w:t>Add / (Deduct):</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 xml:space="preserve">Equity in net earnings of less than 50% owned affiliates </w:t>
            </w:r>
            <w:r>
              <w:rPr>
                <w:rFonts w:ascii="Arial" w:cs="Arial" w:eastAsia="Arial" w:hAnsi="Arial"/>
                <w:sz w:val="15"/>
                <w:szCs w:val="15"/>
                <w:color w:val="auto"/>
              </w:rPr>
              <w:t>(1)</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Distributed income from less than 50% owned affiliates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152</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Interest capitalized, net of amortization</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Earnings available for fixed charges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2,244</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8,704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3,465</w:t>
            </w:r>
          </w:p>
        </w:tc>
        <w:tc>
          <w:tcPr>
            <w:tcW w:w="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8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incurred:</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520"/>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(2)</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609</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714</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882</w:t>
            </w:r>
          </w:p>
        </w:tc>
        <w:tc>
          <w:tcPr>
            <w:tcW w:w="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Capitalized interest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Arial" w:cs="Arial" w:eastAsia="Arial" w:hAnsi="Arial"/>
                <w:sz w:val="18"/>
                <w:szCs w:val="18"/>
                <w:color w:val="auto"/>
              </w:rPr>
              <w:t>Fixed charges</w:t>
            </w: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965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 w:lineRule="exact"/>
        <w:rPr>
          <w:sz w:val="20"/>
          <w:szCs w:val="20"/>
          <w:color w:val="auto"/>
        </w:rPr>
      </w:pPr>
    </w:p>
    <w:p>
      <w:pPr>
        <w:ind w:left="340" w:right="140" w:hanging="332"/>
        <w:spacing w:after="0" w:line="24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xml:space="preserve">With the deconsolidation of our global coffee businesses on July 2, 2015, we began to recognize predominantly coffee-related equity method investment earnings outside of pre-tax earnings within earnings from continuing operations after income taxes. Refer to Note 1, </w:t>
      </w:r>
      <w:r>
        <w:rPr>
          <w:rFonts w:ascii="Arial" w:cs="Arial" w:eastAsia="Arial" w:hAnsi="Arial"/>
          <w:sz w:val="14"/>
          <w:szCs w:val="14"/>
          <w:i w:val="1"/>
          <w:iCs w:val="1"/>
          <w:color w:val="auto"/>
        </w:rPr>
        <w:t>Summary of Significant Accounting Policies – Principles of Consolidation</w:t>
      </w:r>
      <w:r>
        <w:rPr>
          <w:rFonts w:ascii="Arial" w:cs="Arial" w:eastAsia="Arial" w:hAnsi="Arial"/>
          <w:sz w:val="14"/>
          <w:szCs w:val="14"/>
          <w:color w:val="auto"/>
        </w:rPr>
        <w:t>.</w:t>
      </w:r>
    </w:p>
    <w:p>
      <w:pPr>
        <w:ind w:left="340" w:hanging="332"/>
        <w:spacing w:after="0"/>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Excludes interest related to uncertain tax positions, which is recorded in our tax provision.</w:t>
      </w:r>
    </w:p>
    <w:p>
      <w:pPr>
        <w:sectPr>
          <w:pgSz w:w="11900" w:h="16838" w:orient="portrait"/>
          <w:cols w:equalWidth="0" w:num="1">
            <w:col w:w="11420"/>
          </w:cols>
          <w:pgMar w:left="240" w:top="118"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w w:val="93"/>
              </w:rPr>
              <w:t>Mondelēz International, Inc.</w:t>
            </w:r>
          </w:p>
        </w:tc>
      </w:tr>
      <w:tr>
        <w:trPr>
          <w:trHeight w:val="234"/>
        </w:trPr>
        <w:tc>
          <w:tcPr>
            <w:tcW w:w="8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60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89"/>
              </w:rPr>
              <w:t>Subsidiaries - 2017</w:t>
            </w:r>
          </w:p>
        </w:tc>
      </w:tr>
      <w:tr>
        <w:trPr>
          <w:trHeight w:val="392"/>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48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r>
      <w:tr>
        <w:trPr>
          <w:trHeight w:val="182"/>
        </w:trPr>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2"/>
              </w:rPr>
              <w:t>LU Algerie</w:t>
            </w:r>
          </w:p>
        </w:tc>
        <w:tc>
          <w:tcPr>
            <w:tcW w:w="3460" w:type="dxa"/>
            <w:vAlign w:val="bottom"/>
          </w:tcPr>
          <w:p>
            <w:pPr>
              <w:ind w:left="80"/>
              <w:spacing w:after="0" w:line="182" w:lineRule="exact"/>
              <w:rPr>
                <w:sz w:val="20"/>
                <w:szCs w:val="20"/>
                <w:color w:val="auto"/>
              </w:rPr>
            </w:pPr>
            <w:r>
              <w:rPr>
                <w:rFonts w:ascii="Arial" w:cs="Arial" w:eastAsia="Arial" w:hAnsi="Arial"/>
                <w:sz w:val="18"/>
                <w:szCs w:val="18"/>
                <w:color w:val="auto"/>
              </w:rPr>
              <w:t>S.p.A.</w:t>
            </w:r>
          </w:p>
        </w:tc>
        <w:tc>
          <w:tcPr>
            <w:tcW w:w="4880" w:type="dxa"/>
            <w:vAlign w:val="bottom"/>
          </w:tcPr>
          <w:p>
            <w:pPr>
              <w:spacing w:after="0"/>
              <w:rPr>
                <w:sz w:val="15"/>
                <w:szCs w:val="15"/>
                <w:color w:val="auto"/>
              </w:rPr>
            </w:pP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9"/>
              </w:rPr>
              <w:t>Algeria</w:t>
            </w:r>
          </w:p>
        </w:tc>
        <w:tc>
          <w:tcPr>
            <w:tcW w:w="200" w:type="dxa"/>
            <w:vAlign w:val="bottom"/>
          </w:tcPr>
          <w:p>
            <w:pPr>
              <w:spacing w:after="0"/>
              <w:rPr>
                <w:sz w:val="15"/>
                <w:szCs w:val="15"/>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Bebidas De Argentina S.A.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0"/>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Argentina S.A.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0"/>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Nabisco Inversiones S.R.L.</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0"/>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Van Mar SA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0"/>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A.C.N. 005 088 460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Marketing Services Pty Limited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General Foods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KF (Australia)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Kraft Jacobs Suchard (Australia)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Lanes Biscuits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Lanes Food (Australia)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MacRobertson Pty Limited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(Foods)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Group Co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Group Investments LP</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Holdings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Investments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Services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New Zealand Holdings (Australia)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Recaldent Pty Ltd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Mirabell Salzburger Confiserie-und Bisquit GmbH</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Austria Services GmbH</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Oesterreich GmbH</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Oesterreich Production GmbH</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Salzburger Suesswarenfabrik K.G.</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Fulmer Corporation Limited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2"/>
              </w:rPr>
              <w:t>Bahamas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Bahrain Biscuits WLL</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Bahrain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Bahrain W.L.L.</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Bahrain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OOO Mondelez International Bel</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Confibel SPRL</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Kraft Foods Belgium Intellectual Property</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Biscuits Production NV</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BVBA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Chocolate Production BVBA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Manufacturing Services BVBA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Services BVBA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Namur Production SPRL</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de Alimentos Bolivia S.R.L.</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Bolivia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Botswana (Proprietary) Limited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8"/>
              </w:rPr>
              <w:t>Botswana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Confy (Proprietary) Limited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8"/>
              </w:rPr>
              <w:t>Botswana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Brasil Ltda.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Brasil Norte Nordeste Ltda.</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Bulgaria EOOD</w:t>
            </w:r>
          </w:p>
        </w:tc>
        <w:tc>
          <w:tcPr>
            <w:tcW w:w="48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Bulgaria Holding AD</w:t>
            </w:r>
          </w:p>
        </w:tc>
        <w:tc>
          <w:tcPr>
            <w:tcW w:w="488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Bulgaria</w:t>
            </w:r>
          </w:p>
        </w:tc>
      </w:tr>
    </w:tbl>
    <w:p>
      <w:pPr>
        <w:sectPr>
          <w:pgSz w:w="11900" w:h="16838" w:orient="portrait"/>
          <w:cols w:equalWidth="0" w:num="1">
            <w:col w:w="11420"/>
          </w:cols>
          <w:pgMar w:left="240" w:top="121" w:right="239" w:bottom="1440" w:gutter="0" w:footer="0" w:header="0"/>
        </w:sectPr>
      </w:pPr>
    </w:p>
    <w:bookmarkStart w:id="209" w:name="page210"/>
    <w:bookmarkEnd w:id="2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r>
      <w:tr>
        <w:trPr>
          <w:trHeight w:val="182"/>
        </w:trPr>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Mondelez</w:t>
            </w:r>
          </w:p>
        </w:tc>
        <w:tc>
          <w:tcPr>
            <w:tcW w:w="8340" w:type="dxa"/>
            <w:vAlign w:val="bottom"/>
          </w:tcPr>
          <w:p>
            <w:pPr>
              <w:spacing w:after="0" w:line="182" w:lineRule="exact"/>
              <w:rPr>
                <w:sz w:val="20"/>
                <w:szCs w:val="20"/>
                <w:color w:val="auto"/>
              </w:rPr>
            </w:pPr>
            <w:r>
              <w:rPr>
                <w:rFonts w:ascii="Arial" w:cs="Arial" w:eastAsia="Arial" w:hAnsi="Arial"/>
                <w:sz w:val="18"/>
                <w:szCs w:val="18"/>
                <w:color w:val="auto"/>
              </w:rPr>
              <w:t>Bulgaria Production EOOD</w:t>
            </w: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5"/>
              </w:rPr>
              <w:t>Bulgaria</w:t>
            </w:r>
          </w:p>
        </w:tc>
        <w:tc>
          <w:tcPr>
            <w:tcW w:w="980" w:type="dxa"/>
            <w:vAlign w:val="bottom"/>
          </w:tcPr>
          <w:p>
            <w:pPr>
              <w:spacing w:after="0"/>
              <w:rPr>
                <w:sz w:val="15"/>
                <w:szCs w:val="15"/>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152999 Canada Inc.</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3072440 Nova Scotia Company</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MCI Finance Inc.</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Asia Pacific (Alberta) GP ULC</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Canada Holdings ULC</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Canada Inc.</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TCI Realty Holdings Inc.</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Chile S.A.</w:t>
            </w:r>
          </w:p>
        </w:tc>
        <w:tc>
          <w:tcPr>
            <w:tcW w:w="150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Confectionery (Guangzhou) Co., Limited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Food Co. Limited China</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Marketing Services Co Ltd Shanghai</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Beijing Food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China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Jiangmen Food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Shanghai Business Services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Shanghai Food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Shanghai Foods Corporate Management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Suzhou Food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Nabisco Food (Suzhou) Co. Ltd.</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Colombia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Servicios Comerciales Colombia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El Gallito Industrial, S.A.</w:t>
            </w:r>
          </w:p>
        </w:tc>
        <w:tc>
          <w:tcPr>
            <w:tcW w:w="15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Business Services Costa Rica Limitada</w:t>
            </w:r>
          </w:p>
        </w:tc>
        <w:tc>
          <w:tcPr>
            <w:tcW w:w="15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Costa Rica Limitada</w:t>
            </w:r>
          </w:p>
        </w:tc>
        <w:tc>
          <w:tcPr>
            <w:tcW w:w="15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Zagreb d.o.o.</w:t>
            </w:r>
          </w:p>
        </w:tc>
        <w:tc>
          <w:tcPr>
            <w:tcW w:w="150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CR Biscuit Production s.r.o.</w:t>
            </w:r>
          </w:p>
        </w:tc>
        <w:tc>
          <w:tcPr>
            <w:tcW w:w="150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Czech Republic s.r.o.</w:t>
            </w:r>
          </w:p>
        </w:tc>
        <w:tc>
          <w:tcPr>
            <w:tcW w:w="150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Opavia Lu s.r.o.</w:t>
            </w:r>
          </w:p>
        </w:tc>
        <w:tc>
          <w:tcPr>
            <w:tcW w:w="150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Danmark Intellectual Property ApS</w:t>
            </w:r>
          </w:p>
        </w:tc>
        <w:tc>
          <w:tcPr>
            <w:tcW w:w="15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Danmark ApS</w:t>
            </w:r>
          </w:p>
        </w:tc>
        <w:tc>
          <w:tcPr>
            <w:tcW w:w="15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Dominicana, S.A.</w:t>
            </w:r>
          </w:p>
        </w:tc>
        <w:tc>
          <w:tcPr>
            <w:tcW w:w="1500" w:type="dxa"/>
            <w:vAlign w:val="bottom"/>
            <w:gridSpan w:val="2"/>
          </w:tcPr>
          <w:p>
            <w:pPr>
              <w:spacing w:after="0"/>
              <w:rPr>
                <w:sz w:val="20"/>
                <w:szCs w:val="20"/>
                <w:color w:val="auto"/>
              </w:rPr>
            </w:pPr>
            <w:r>
              <w:rPr>
                <w:rFonts w:ascii="Arial" w:cs="Arial" w:eastAsia="Arial" w:hAnsi="Arial"/>
                <w:sz w:val="18"/>
                <w:szCs w:val="18"/>
                <w:color w:val="auto"/>
                <w:w w:val="92"/>
              </w:rPr>
              <w:t>Dominican Republic</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Ecuador Cia. Ltda.</w:t>
            </w:r>
          </w:p>
        </w:tc>
        <w:tc>
          <w:tcPr>
            <w:tcW w:w="150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Egypt Foods S.A.E.</w:t>
            </w:r>
          </w:p>
        </w:tc>
        <w:tc>
          <w:tcPr>
            <w:tcW w:w="150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Egypt Trading SAE</w:t>
            </w:r>
          </w:p>
        </w:tc>
        <w:tc>
          <w:tcPr>
            <w:tcW w:w="150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El Salvador, Ltda. de C.V.</w:t>
            </w:r>
          </w:p>
        </w:tc>
        <w:tc>
          <w:tcPr>
            <w:tcW w:w="1500" w:type="dxa"/>
            <w:vAlign w:val="bottom"/>
            <w:gridSpan w:val="2"/>
          </w:tcPr>
          <w:p>
            <w:pPr>
              <w:spacing w:after="0"/>
              <w:rPr>
                <w:sz w:val="20"/>
                <w:szCs w:val="20"/>
                <w:color w:val="auto"/>
              </w:rPr>
            </w:pPr>
            <w:r>
              <w:rPr>
                <w:rFonts w:ascii="Arial" w:cs="Arial" w:eastAsia="Arial" w:hAnsi="Arial"/>
                <w:sz w:val="18"/>
                <w:szCs w:val="18"/>
                <w:color w:val="auto"/>
              </w:rPr>
              <w:t>El Salvador</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Eesti Osauhing</w:t>
            </w:r>
          </w:p>
        </w:tc>
        <w:tc>
          <w:tcPr>
            <w:tcW w:w="1500" w:type="dxa"/>
            <w:vAlign w:val="bottom"/>
            <w:gridSpan w:val="2"/>
          </w:tcPr>
          <w:p>
            <w:pPr>
              <w:spacing w:after="0"/>
              <w:rPr>
                <w:sz w:val="20"/>
                <w:szCs w:val="20"/>
                <w:color w:val="auto"/>
              </w:rPr>
            </w:pPr>
            <w:r>
              <w:rPr>
                <w:rFonts w:ascii="Arial" w:cs="Arial" w:eastAsia="Arial" w:hAnsi="Arial"/>
                <w:sz w:val="18"/>
                <w:szCs w:val="18"/>
                <w:color w:val="auto"/>
              </w:rPr>
              <w:t>Estonia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Finland Production Oy</w:t>
            </w:r>
          </w:p>
        </w:tc>
        <w:tc>
          <w:tcPr>
            <w:tcW w:w="150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Finland OY</w:t>
            </w:r>
          </w:p>
        </w:tc>
        <w:tc>
          <w:tcPr>
            <w:tcW w:w="150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Generale Biscuit Glico France</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Generale Biscuit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France Biscuit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France Intellectual Property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France Antilles Guyane Distribution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France Biscuit Distribution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France Biscuits Production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France Ocean Indien Distribution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Mondelez France R&amp;D SAS</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r>
    </w:tbl>
    <w:p>
      <w:pPr>
        <w:sectPr>
          <w:pgSz w:w="11900" w:h="16838" w:orient="portrait"/>
          <w:cols w:equalWidth="0" w:num="1">
            <w:col w:w="10640"/>
          </w:cols>
          <w:pgMar w:left="240" w:top="266" w:right="1019" w:bottom="1440" w:gutter="0" w:footer="0" w:header="0"/>
        </w:sectPr>
      </w:pPr>
    </w:p>
    <w:bookmarkStart w:id="210" w:name="page211"/>
    <w:bookmarkEnd w:id="2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r>
      <w:tr>
        <w:trPr>
          <w:trHeight w:val="182"/>
        </w:trPr>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Mondelez</w:t>
            </w:r>
          </w:p>
        </w:tc>
        <w:tc>
          <w:tcPr>
            <w:tcW w:w="8340" w:type="dxa"/>
            <w:vAlign w:val="bottom"/>
          </w:tcPr>
          <w:p>
            <w:pPr>
              <w:spacing w:after="0" w:line="182" w:lineRule="exact"/>
              <w:rPr>
                <w:sz w:val="20"/>
                <w:szCs w:val="20"/>
                <w:color w:val="auto"/>
              </w:rPr>
            </w:pPr>
            <w:r>
              <w:rPr>
                <w:rFonts w:ascii="Arial" w:cs="Arial" w:eastAsia="Arial" w:hAnsi="Arial"/>
                <w:sz w:val="18"/>
                <w:szCs w:val="18"/>
                <w:color w:val="auto"/>
              </w:rPr>
              <w:t>France S.A.S.</w:t>
            </w: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9"/>
              </w:rPr>
              <w:t>France</w:t>
            </w:r>
          </w:p>
        </w:tc>
        <w:tc>
          <w:tcPr>
            <w:tcW w:w="320" w:type="dxa"/>
            <w:vAlign w:val="bottom"/>
          </w:tcPr>
          <w:p>
            <w:pPr>
              <w:spacing w:after="0"/>
              <w:rPr>
                <w:sz w:val="15"/>
                <w:szCs w:val="15"/>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Toulouse Confectionery Production SAS</w:t>
            </w:r>
          </w:p>
        </w:tc>
        <w:tc>
          <w:tcPr>
            <w:tcW w:w="8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Georgia LLC</w:t>
            </w:r>
          </w:p>
        </w:tc>
        <w:tc>
          <w:tcPr>
            <w:tcW w:w="84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Carlton Lebensmittel Vertriebs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Don Snack Foods Handelsgesellschaft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Deutschland Biscuits Grundstuecksverwaltungs GmbH &amp; Co. KG</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Deutschland Holding Grundstuecksverwaltungs GmbH &amp; Co. KG</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Deutschland Production Grundstuecksverwaltungs GmbH &amp; Co. KG</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Marabou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Deutschland Biscuits Production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Deutschland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Deutschland R&amp;D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Deutschland Services GmbH &amp; Co. KG</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Deutschland Snacks Production GmbH &amp; Co. KG</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Suchard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Tobler GmbH</w:t>
            </w:r>
          </w:p>
        </w:tc>
        <w:tc>
          <w:tcPr>
            <w:tcW w:w="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Ghana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Ghana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Lapworth Commodities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Ghana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Hellas Production S.A.</w:t>
            </w:r>
          </w:p>
        </w:tc>
        <w:tc>
          <w:tcPr>
            <w:tcW w:w="8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Hellas S.A.</w:t>
            </w:r>
          </w:p>
        </w:tc>
        <w:tc>
          <w:tcPr>
            <w:tcW w:w="8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Guatemala, Ltda.</w:t>
            </w:r>
          </w:p>
        </w:tc>
        <w:tc>
          <w:tcPr>
            <w:tcW w:w="840" w:type="dxa"/>
            <w:vAlign w:val="bottom"/>
            <w:gridSpan w:val="2"/>
          </w:tcPr>
          <w:p>
            <w:pPr>
              <w:spacing w:after="0"/>
              <w:rPr>
                <w:sz w:val="20"/>
                <w:szCs w:val="20"/>
                <w:color w:val="auto"/>
              </w:rPr>
            </w:pPr>
            <w:r>
              <w:rPr>
                <w:rFonts w:ascii="Arial" w:cs="Arial" w:eastAsia="Arial" w:hAnsi="Arial"/>
                <w:sz w:val="18"/>
                <w:szCs w:val="18"/>
                <w:color w:val="auto"/>
                <w:w w:val="93"/>
              </w:rPr>
              <w:t>Guatemala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Landers Centro Americana, Fabricantes de Molinos Marca “Corona” S.A. de C.V.</w:t>
            </w:r>
          </w:p>
        </w:tc>
        <w:tc>
          <w:tcPr>
            <w:tcW w:w="84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Honduras, S. de R.L.</w:t>
            </w:r>
          </w:p>
        </w:tc>
        <w:tc>
          <w:tcPr>
            <w:tcW w:w="84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Trading Hong Kong Ltd.</w:t>
            </w:r>
          </w:p>
        </w:tc>
        <w:tc>
          <w:tcPr>
            <w:tcW w:w="840" w:type="dxa"/>
            <w:vAlign w:val="bottom"/>
            <w:gridSpan w:val="2"/>
          </w:tcPr>
          <w:p>
            <w:pPr>
              <w:spacing w:after="0"/>
              <w:rPr>
                <w:sz w:val="20"/>
                <w:szCs w:val="20"/>
                <w:color w:val="auto"/>
              </w:rPr>
            </w:pPr>
            <w:r>
              <w:rPr>
                <w:rFonts w:ascii="Arial" w:cs="Arial" w:eastAsia="Arial" w:hAnsi="Arial"/>
                <w:sz w:val="18"/>
                <w:szCs w:val="18"/>
                <w:color w:val="auto"/>
                <w:w w:val="91"/>
              </w:rPr>
              <w:t>Hong Kong</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Hong Kong Limited</w:t>
            </w:r>
          </w:p>
        </w:tc>
        <w:tc>
          <w:tcPr>
            <w:tcW w:w="840" w:type="dxa"/>
            <w:vAlign w:val="bottom"/>
            <w:gridSpan w:val="2"/>
          </w:tcPr>
          <w:p>
            <w:pPr>
              <w:spacing w:after="0"/>
              <w:rPr>
                <w:sz w:val="20"/>
                <w:szCs w:val="20"/>
                <w:color w:val="auto"/>
              </w:rPr>
            </w:pPr>
            <w:r>
              <w:rPr>
                <w:rFonts w:ascii="Arial" w:cs="Arial" w:eastAsia="Arial" w:hAnsi="Arial"/>
                <w:sz w:val="18"/>
                <w:szCs w:val="18"/>
                <w:color w:val="auto"/>
                <w:w w:val="91"/>
              </w:rPr>
              <w:t>Hong Kong</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Gyori Keksz Kft SARL</w:t>
            </w:r>
          </w:p>
        </w:tc>
        <w:tc>
          <w:tcPr>
            <w:tcW w:w="84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Hungaria IP Kft</w:t>
            </w:r>
          </w:p>
        </w:tc>
        <w:tc>
          <w:tcPr>
            <w:tcW w:w="84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Hungaria Kft</w:t>
            </w:r>
          </w:p>
        </w:tc>
        <w:tc>
          <w:tcPr>
            <w:tcW w:w="84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 S Business Services (India) Pvt.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Induri Farm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KJS India Private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India Foods Private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P.T. Cadbury Indonesia</w:t>
            </w:r>
          </w:p>
        </w:tc>
        <w:tc>
          <w:tcPr>
            <w:tcW w:w="8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P.T. Cipta Manis Makmur</w:t>
            </w:r>
          </w:p>
        </w:tc>
        <w:tc>
          <w:tcPr>
            <w:tcW w:w="8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P.T. Kraft Symphoni Indonesia</w:t>
            </w:r>
          </w:p>
        </w:tc>
        <w:tc>
          <w:tcPr>
            <w:tcW w:w="8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P.T. Kraft Ultrajaya Indonesia</w:t>
            </w:r>
          </w:p>
        </w:tc>
        <w:tc>
          <w:tcPr>
            <w:tcW w:w="8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P.T. Mondelez Indonesia</w:t>
            </w:r>
          </w:p>
        </w:tc>
        <w:tc>
          <w:tcPr>
            <w:tcW w:w="8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P.T. Mondelez Indonesia Manufacturing</w:t>
            </w:r>
          </w:p>
        </w:tc>
        <w:tc>
          <w:tcPr>
            <w:tcW w:w="8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P.T. Mondelez Indonesia Trading</w:t>
            </w:r>
          </w:p>
        </w:tc>
        <w:tc>
          <w:tcPr>
            <w:tcW w:w="8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Alreford DAC</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Berkeley Re DAC</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Ireland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Treasury America</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Treasury International</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Treasury Services</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Ireland Intellectual Property Ltd</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Ireland Insurance Holdings Ltd.</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Ireland Limited</w:t>
            </w:r>
          </w:p>
        </w:tc>
        <w:tc>
          <w:tcPr>
            <w:tcW w:w="840" w:type="dxa"/>
            <w:vAlign w:val="bottom"/>
            <w:gridSpan w:val="2"/>
          </w:tcPr>
          <w:p>
            <w:pPr>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0219"/>
          </w:cols>
          <w:pgMar w:left="240" w:top="265" w:right="1440" w:bottom="1440" w:gutter="0" w:footer="0" w:header="0"/>
        </w:sectPr>
      </w:pPr>
    </w:p>
    <w:bookmarkStart w:id="211" w:name="page212"/>
    <w:bookmarkEnd w:id="2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r>
      <w:tr>
        <w:trPr>
          <w:trHeight w:val="182"/>
        </w:trPr>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Mondelez</w:t>
            </w:r>
          </w:p>
        </w:tc>
        <w:tc>
          <w:tcPr>
            <w:tcW w:w="8340" w:type="dxa"/>
            <w:vAlign w:val="bottom"/>
          </w:tcPr>
          <w:p>
            <w:pPr>
              <w:spacing w:after="0" w:line="182" w:lineRule="exact"/>
              <w:rPr>
                <w:sz w:val="20"/>
                <w:szCs w:val="20"/>
                <w:color w:val="auto"/>
              </w:rPr>
            </w:pPr>
            <w:r>
              <w:rPr>
                <w:rFonts w:ascii="Arial" w:cs="Arial" w:eastAsia="Arial" w:hAnsi="Arial"/>
                <w:sz w:val="18"/>
                <w:szCs w:val="18"/>
                <w:color w:val="auto"/>
              </w:rPr>
              <w:t>Ireland Production Limited</w:t>
            </w: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0"/>
              </w:rPr>
              <w:t>Ireland</w:t>
            </w:r>
          </w:p>
        </w:tc>
        <w:tc>
          <w:tcPr>
            <w:tcW w:w="340" w:type="dxa"/>
            <w:vAlign w:val="bottom"/>
          </w:tcPr>
          <w:p>
            <w:pPr>
              <w:spacing w:after="0"/>
              <w:rPr>
                <w:sz w:val="15"/>
                <w:szCs w:val="15"/>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Trebor (Dublin) Limited</w:t>
            </w:r>
          </w:p>
        </w:tc>
        <w:tc>
          <w:tcPr>
            <w:tcW w:w="8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Trebor Ireland Limited</w:t>
            </w:r>
          </w:p>
        </w:tc>
        <w:tc>
          <w:tcPr>
            <w:tcW w:w="8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Greencastle Drinks</w:t>
            </w:r>
          </w:p>
        </w:tc>
        <w:tc>
          <w:tcPr>
            <w:tcW w:w="8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Fattorie Osella S.p.A.</w:t>
            </w:r>
          </w:p>
        </w:tc>
        <w:tc>
          <w:tcPr>
            <w:tcW w:w="8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Italia Intellectual Property S.r.l.</w:t>
            </w:r>
          </w:p>
        </w:tc>
        <w:tc>
          <w:tcPr>
            <w:tcW w:w="8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Italia Biscuits Production S.p.A</w:t>
            </w:r>
          </w:p>
        </w:tc>
        <w:tc>
          <w:tcPr>
            <w:tcW w:w="8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Italia S.r.l.</w:t>
            </w:r>
          </w:p>
        </w:tc>
        <w:tc>
          <w:tcPr>
            <w:tcW w:w="8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Italia Services S.r.l.</w:t>
            </w:r>
          </w:p>
        </w:tc>
        <w:tc>
          <w:tcPr>
            <w:tcW w:w="8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Meito Adams Company Limited</w:t>
            </w:r>
          </w:p>
        </w:tc>
        <w:tc>
          <w:tcPr>
            <w:tcW w:w="86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Japan Ltd</w:t>
            </w:r>
          </w:p>
        </w:tc>
        <w:tc>
          <w:tcPr>
            <w:tcW w:w="86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Kazakhstan LLP</w:t>
            </w:r>
          </w:p>
        </w:tc>
        <w:tc>
          <w:tcPr>
            <w:tcW w:w="860" w:type="dxa"/>
            <w:vAlign w:val="bottom"/>
            <w:gridSpan w:val="2"/>
          </w:tcPr>
          <w:p>
            <w:pPr>
              <w:spacing w:after="0"/>
              <w:rPr>
                <w:sz w:val="20"/>
                <w:szCs w:val="20"/>
                <w:color w:val="auto"/>
              </w:rPr>
            </w:pPr>
            <w:r>
              <w:rPr>
                <w:rFonts w:ascii="Arial" w:cs="Arial" w:eastAsia="Arial" w:hAnsi="Arial"/>
                <w:sz w:val="18"/>
                <w:szCs w:val="18"/>
                <w:color w:val="auto"/>
                <w:w w:val="89"/>
              </w:rPr>
              <w:t>Kazakhstan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Kenya Limited</w:t>
            </w:r>
          </w:p>
        </w:tc>
        <w:tc>
          <w:tcPr>
            <w:tcW w:w="860" w:type="dxa"/>
            <w:vAlign w:val="bottom"/>
            <w:gridSpan w:val="2"/>
          </w:tcPr>
          <w:p>
            <w:pPr>
              <w:spacing w:after="0"/>
              <w:rPr>
                <w:sz w:val="20"/>
                <w:szCs w:val="20"/>
                <w:color w:val="auto"/>
              </w:rPr>
            </w:pPr>
            <w:r>
              <w:rPr>
                <w:rFonts w:ascii="Arial" w:cs="Arial" w:eastAsia="Arial" w:hAnsi="Arial"/>
                <w:sz w:val="18"/>
                <w:szCs w:val="18"/>
                <w:color w:val="auto"/>
              </w:rPr>
              <w:t>Kenya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Dong Suh Foods Corporation</w:t>
            </w:r>
          </w:p>
        </w:tc>
        <w:tc>
          <w:tcPr>
            <w:tcW w:w="86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Migabang Limited Company</w:t>
            </w:r>
          </w:p>
        </w:tc>
        <w:tc>
          <w:tcPr>
            <w:tcW w:w="86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SIA Mondelez Latvija</w:t>
            </w:r>
          </w:p>
        </w:tc>
        <w:tc>
          <w:tcPr>
            <w:tcW w:w="860" w:type="dxa"/>
            <w:vAlign w:val="bottom"/>
            <w:gridSpan w:val="2"/>
          </w:tcPr>
          <w:p>
            <w:pPr>
              <w:spacing w:after="0"/>
              <w:rPr>
                <w:sz w:val="20"/>
                <w:szCs w:val="20"/>
                <w:color w:val="auto"/>
              </w:rPr>
            </w:pPr>
            <w:r>
              <w:rPr>
                <w:rFonts w:ascii="Arial" w:cs="Arial" w:eastAsia="Arial" w:hAnsi="Arial"/>
                <w:sz w:val="18"/>
                <w:szCs w:val="18"/>
                <w:color w:val="auto"/>
              </w:rPr>
              <w:t>Latvia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Adams Middle East Offshore S.A.L.</w:t>
            </w:r>
          </w:p>
        </w:tc>
        <w:tc>
          <w:tcPr>
            <w:tcW w:w="860" w:type="dxa"/>
            <w:vAlign w:val="bottom"/>
            <w:gridSpan w:val="2"/>
          </w:tcPr>
          <w:p>
            <w:pPr>
              <w:spacing w:after="0"/>
              <w:rPr>
                <w:sz w:val="20"/>
                <w:szCs w:val="20"/>
                <w:color w:val="auto"/>
              </w:rPr>
            </w:pPr>
            <w:r>
              <w:rPr>
                <w:rFonts w:ascii="Arial" w:cs="Arial" w:eastAsia="Arial" w:hAnsi="Arial"/>
                <w:sz w:val="18"/>
                <w:szCs w:val="18"/>
                <w:color w:val="auto"/>
              </w:rPr>
              <w:t>Lebanon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Adams Middle East S.A.L.</w:t>
            </w:r>
          </w:p>
        </w:tc>
        <w:tc>
          <w:tcPr>
            <w:tcW w:w="860" w:type="dxa"/>
            <w:vAlign w:val="bottom"/>
            <w:gridSpan w:val="2"/>
          </w:tcPr>
          <w:p>
            <w:pPr>
              <w:spacing w:after="0"/>
              <w:rPr>
                <w:sz w:val="20"/>
                <w:szCs w:val="20"/>
                <w:color w:val="auto"/>
              </w:rPr>
            </w:pPr>
            <w:r>
              <w:rPr>
                <w:rFonts w:ascii="Arial" w:cs="Arial" w:eastAsia="Arial" w:hAnsi="Arial"/>
                <w:sz w:val="18"/>
                <w:szCs w:val="18"/>
                <w:color w:val="auto"/>
              </w:rPr>
              <w:t>Lebanon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AB Kraft Foods Lietuva</w:t>
            </w:r>
          </w:p>
        </w:tc>
        <w:tc>
          <w:tcPr>
            <w:tcW w:w="860" w:type="dxa"/>
            <w:vAlign w:val="bottom"/>
            <w:gridSpan w:val="2"/>
          </w:tcPr>
          <w:p>
            <w:pPr>
              <w:spacing w:after="0"/>
              <w:rPr>
                <w:sz w:val="20"/>
                <w:szCs w:val="20"/>
                <w:color w:val="auto"/>
              </w:rPr>
            </w:pPr>
            <w:r>
              <w:rPr>
                <w:rFonts w:ascii="Arial" w:cs="Arial" w:eastAsia="Arial" w:hAnsi="Arial"/>
                <w:sz w:val="18"/>
                <w:szCs w:val="18"/>
                <w:color w:val="auto"/>
              </w:rPr>
              <w:t>Lithuania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UAB Mondelez Baltic</w:t>
            </w:r>
          </w:p>
        </w:tc>
        <w:tc>
          <w:tcPr>
            <w:tcW w:w="860" w:type="dxa"/>
            <w:vAlign w:val="bottom"/>
            <w:gridSpan w:val="2"/>
          </w:tcPr>
          <w:p>
            <w:pPr>
              <w:spacing w:after="0"/>
              <w:rPr>
                <w:sz w:val="20"/>
                <w:szCs w:val="20"/>
                <w:color w:val="auto"/>
              </w:rPr>
            </w:pPr>
            <w:r>
              <w:rPr>
                <w:rFonts w:ascii="Arial" w:cs="Arial" w:eastAsia="Arial" w:hAnsi="Arial"/>
                <w:sz w:val="18"/>
                <w:szCs w:val="18"/>
                <w:color w:val="auto"/>
              </w:rPr>
              <w:t>Lithuania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UAB Mondelez Lietuva Production</w:t>
            </w:r>
          </w:p>
        </w:tc>
        <w:tc>
          <w:tcPr>
            <w:tcW w:w="860" w:type="dxa"/>
            <w:vAlign w:val="bottom"/>
            <w:gridSpan w:val="2"/>
          </w:tcPr>
          <w:p>
            <w:pPr>
              <w:spacing w:after="0"/>
              <w:rPr>
                <w:sz w:val="20"/>
                <w:szCs w:val="20"/>
                <w:color w:val="auto"/>
              </w:rPr>
            </w:pPr>
            <w:r>
              <w:rPr>
                <w:rFonts w:ascii="Arial" w:cs="Arial" w:eastAsia="Arial" w:hAnsi="Arial"/>
                <w:sz w:val="18"/>
                <w:szCs w:val="18"/>
                <w:color w:val="auto"/>
              </w:rPr>
              <w:t>Lithuania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Adams Marketing (M) Sdn Bhd</w:t>
            </w:r>
          </w:p>
        </w:tc>
        <w:tc>
          <w:tcPr>
            <w:tcW w:w="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Confectionery Malaysia Sdn. Bhd.</w:t>
            </w:r>
          </w:p>
        </w:tc>
        <w:tc>
          <w:tcPr>
            <w:tcW w:w="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Confectionery Sales (M) Sdn. Bhd.</w:t>
            </w:r>
          </w:p>
        </w:tc>
        <w:tc>
          <w:tcPr>
            <w:tcW w:w="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Malaysia Sales Sdn. Bhd.</w:t>
            </w:r>
          </w:p>
        </w:tc>
        <w:tc>
          <w:tcPr>
            <w:tcW w:w="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Malaysia Sdn. Bhd.</w:t>
            </w:r>
          </w:p>
        </w:tc>
        <w:tc>
          <w:tcPr>
            <w:tcW w:w="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Mauritius Ltd</w:t>
            </w:r>
          </w:p>
        </w:tc>
        <w:tc>
          <w:tcPr>
            <w:tcW w:w="86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Corporativo Mondelez, S. en N.C. de C.V.</w:t>
            </w:r>
          </w:p>
        </w:tc>
        <w:tc>
          <w:tcPr>
            <w:tcW w:w="8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Mexico, S. de R.L. de C.V.</w:t>
            </w:r>
          </w:p>
        </w:tc>
        <w:tc>
          <w:tcPr>
            <w:tcW w:w="8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Productos Mondelez, S. de R.L. de C.V.</w:t>
            </w:r>
          </w:p>
        </w:tc>
        <w:tc>
          <w:tcPr>
            <w:tcW w:w="8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Servicios Integrales Mondelez, S. de R.L. de C.V.</w:t>
            </w:r>
          </w:p>
        </w:tc>
        <w:tc>
          <w:tcPr>
            <w:tcW w:w="8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Servicios Mondelez, S. de R.L. de C.V.</w:t>
            </w:r>
          </w:p>
        </w:tc>
        <w:tc>
          <w:tcPr>
            <w:tcW w:w="8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Maroc SA</w:t>
            </w:r>
          </w:p>
        </w:tc>
        <w:tc>
          <w:tcPr>
            <w:tcW w:w="860" w:type="dxa"/>
            <w:vAlign w:val="bottom"/>
            <w:gridSpan w:val="2"/>
          </w:tcPr>
          <w:p>
            <w:pPr>
              <w:spacing w:after="0"/>
              <w:rPr>
                <w:sz w:val="20"/>
                <w:szCs w:val="20"/>
                <w:color w:val="auto"/>
              </w:rPr>
            </w:pPr>
            <w:r>
              <w:rPr>
                <w:rFonts w:ascii="Arial" w:cs="Arial" w:eastAsia="Arial" w:hAnsi="Arial"/>
                <w:sz w:val="18"/>
                <w:szCs w:val="18"/>
                <w:color w:val="auto"/>
              </w:rPr>
              <w:t>Morocco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STE Immobiliere Ibrahim D’Ain Sebaa</w:t>
            </w:r>
          </w:p>
        </w:tc>
        <w:tc>
          <w:tcPr>
            <w:tcW w:w="860" w:type="dxa"/>
            <w:vAlign w:val="bottom"/>
            <w:gridSpan w:val="2"/>
          </w:tcPr>
          <w:p>
            <w:pPr>
              <w:spacing w:after="0"/>
              <w:rPr>
                <w:sz w:val="20"/>
                <w:szCs w:val="20"/>
                <w:color w:val="auto"/>
              </w:rPr>
            </w:pPr>
            <w:r>
              <w:rPr>
                <w:rFonts w:ascii="Arial" w:cs="Arial" w:eastAsia="Arial" w:hAnsi="Arial"/>
                <w:sz w:val="18"/>
                <w:szCs w:val="18"/>
                <w:color w:val="auto"/>
              </w:rPr>
              <w:t>Morocco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Springer Schokoladenfabrik (Pty) Limited</w:t>
            </w:r>
          </w:p>
        </w:tc>
        <w:tc>
          <w:tcPr>
            <w:tcW w:w="860" w:type="dxa"/>
            <w:vAlign w:val="bottom"/>
            <w:gridSpan w:val="2"/>
          </w:tcPr>
          <w:p>
            <w:pPr>
              <w:spacing w:after="0"/>
              <w:rPr>
                <w:sz w:val="20"/>
                <w:szCs w:val="20"/>
                <w:color w:val="auto"/>
              </w:rPr>
            </w:pPr>
            <w:r>
              <w:rPr>
                <w:rFonts w:ascii="Arial" w:cs="Arial" w:eastAsia="Arial" w:hAnsi="Arial"/>
                <w:sz w:val="18"/>
                <w:szCs w:val="18"/>
                <w:color w:val="auto"/>
              </w:rPr>
              <w:t>Namibia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Abades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Aztecanana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CIS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Enterprises Holdings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Holdings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Netherlands International Holdings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Gernika,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Central &amp; Eastern Europe Service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Česko Holdings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Entity Holdings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Holland Holding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Intercontinental Netherlands C.V.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LA MB Holding B.V.</w:t>
            </w:r>
          </w:p>
        </w:tc>
        <w:tc>
          <w:tcPr>
            <w:tcW w:w="860" w:type="dxa"/>
            <w:vAlign w:val="bottom"/>
            <w:gridSpan w:val="2"/>
          </w:tcPr>
          <w:p>
            <w:pPr>
              <w:spacing w:after="0"/>
              <w:rPr>
                <w:sz w:val="20"/>
                <w:szCs w:val="20"/>
                <w:color w:val="auto"/>
              </w:rPr>
            </w:pPr>
            <w:r>
              <w:rPr>
                <w:rFonts w:ascii="Arial" w:cs="Arial" w:eastAsia="Arial" w:hAnsi="Arial"/>
                <w:sz w:val="18"/>
                <w:szCs w:val="18"/>
                <w:color w:val="auto"/>
                <w:w w:val="86"/>
              </w:rPr>
              <w:t>Netherlands</w:t>
            </w:r>
          </w:p>
        </w:tc>
      </w:tr>
    </w:tbl>
    <w:p>
      <w:pPr>
        <w:sectPr>
          <w:pgSz w:w="11900" w:h="16838" w:orient="portrait"/>
          <w:cols w:equalWidth="0" w:num="1">
            <w:col w:w="10219"/>
          </w:cols>
          <w:pgMar w:left="240" w:top="265" w:right="1440" w:bottom="1440" w:gutter="0" w:footer="0" w:header="0"/>
        </w:sectPr>
      </w:pPr>
    </w:p>
    <w:bookmarkStart w:id="212" w:name="page213"/>
    <w:bookmarkEnd w:id="2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Entity Name</w:t>
            </w:r>
          </w:p>
        </w:tc>
        <w:tc>
          <w:tcPr>
            <w:tcW w:w="8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Country</w:t>
            </w:r>
          </w:p>
        </w:tc>
        <w:tc>
          <w:tcPr>
            <w:tcW w:w="440" w:type="dxa"/>
            <w:vAlign w:val="bottom"/>
          </w:tcPr>
          <w:p>
            <w:pPr>
              <w:spacing w:after="0"/>
              <w:rPr>
                <w:sz w:val="14"/>
                <w:szCs w:val="14"/>
                <w:color w:val="auto"/>
              </w:rPr>
            </w:pPr>
          </w:p>
        </w:tc>
      </w:tr>
      <w:tr>
        <w:trPr>
          <w:trHeight w:val="182"/>
        </w:trPr>
        <w:tc>
          <w:tcPr>
            <w:tcW w:w="800" w:type="dxa"/>
            <w:vAlign w:val="bottom"/>
          </w:tcPr>
          <w:p>
            <w:pPr>
              <w:spacing w:after="0" w:line="182" w:lineRule="exact"/>
              <w:rPr>
                <w:sz w:val="20"/>
                <w:szCs w:val="20"/>
                <w:color w:val="auto"/>
              </w:rPr>
            </w:pPr>
            <w:r>
              <w:rPr>
                <w:rFonts w:ascii="Arial" w:cs="Arial" w:eastAsia="Arial" w:hAnsi="Arial"/>
                <w:sz w:val="18"/>
                <w:szCs w:val="18"/>
                <w:color w:val="auto"/>
                <w:w w:val="83"/>
              </w:rPr>
              <w:t>Kraft Foods</w:t>
            </w:r>
          </w:p>
        </w:tc>
        <w:tc>
          <w:tcPr>
            <w:tcW w:w="8340" w:type="dxa"/>
            <w:vAlign w:val="bottom"/>
          </w:tcPr>
          <w:p>
            <w:pPr>
              <w:ind w:left="120"/>
              <w:spacing w:after="0" w:line="182" w:lineRule="exact"/>
              <w:rPr>
                <w:sz w:val="20"/>
                <w:szCs w:val="20"/>
                <w:color w:val="auto"/>
              </w:rPr>
            </w:pPr>
            <w:r>
              <w:rPr>
                <w:rFonts w:ascii="Arial" w:cs="Arial" w:eastAsia="Arial" w:hAnsi="Arial"/>
                <w:sz w:val="18"/>
                <w:szCs w:val="18"/>
                <w:color w:val="auto"/>
              </w:rPr>
              <w:t>LA MC B.V.</w:t>
            </w:r>
          </w:p>
        </w:tc>
        <w:tc>
          <w:tcPr>
            <w:tcW w:w="960" w:type="dxa"/>
            <w:vAlign w:val="bottom"/>
            <w:gridSpan w:val="2"/>
          </w:tcPr>
          <w:p>
            <w:pPr>
              <w:spacing w:after="0" w:line="182" w:lineRule="exact"/>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LA NMB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LA NVA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LA VA Holding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Nederland Biscuit C.V.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Nederland Intellectual Property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North America and Asia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KTL S. de R.L. de C.V.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Coffee Holdco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Espana Biscuits Holdings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Holdings Netherlands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Nederland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Nederland Services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Netherlands RUS Holdings B.V.</w:t>
            </w: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New Zealand</w:t>
            </w:r>
          </w:p>
        </w:tc>
        <w:tc>
          <w:tcPr>
            <w:tcW w:w="960" w:type="dxa"/>
            <w:vAlign w:val="bottom"/>
            <w:gridSpan w:val="2"/>
          </w:tcPr>
          <w:p>
            <w:pPr>
              <w:spacing w:after="0"/>
              <w:rPr>
                <w:sz w:val="20"/>
                <w:szCs w:val="20"/>
                <w:color w:val="auto"/>
              </w:rPr>
            </w:pPr>
            <w:r>
              <w:rPr>
                <w:rFonts w:ascii="Arial" w:cs="Arial" w:eastAsia="Arial" w:hAnsi="Arial"/>
                <w:sz w:val="18"/>
                <w:szCs w:val="18"/>
                <w:color w:val="auto"/>
                <w:w w:val="88"/>
              </w:rPr>
              <w:t>New Zealand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New Zealand Investments</w:t>
            </w:r>
          </w:p>
        </w:tc>
        <w:tc>
          <w:tcPr>
            <w:tcW w:w="960" w:type="dxa"/>
            <w:vAlign w:val="bottom"/>
            <w:gridSpan w:val="2"/>
          </w:tcPr>
          <w:p>
            <w:pPr>
              <w:spacing w:after="0"/>
              <w:rPr>
                <w:sz w:val="20"/>
                <w:szCs w:val="20"/>
                <w:color w:val="auto"/>
              </w:rPr>
            </w:pPr>
            <w:r>
              <w:rPr>
                <w:rFonts w:ascii="Arial" w:cs="Arial" w:eastAsia="Arial" w:hAnsi="Arial"/>
                <w:sz w:val="18"/>
                <w:szCs w:val="18"/>
                <w:color w:val="auto"/>
                <w:w w:val="88"/>
              </w:rPr>
              <w:t>New Zealand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Nicaragua, S.A.</w:t>
            </w:r>
          </w:p>
        </w:tc>
        <w:tc>
          <w:tcPr>
            <w:tcW w:w="960" w:type="dxa"/>
            <w:vAlign w:val="bottom"/>
            <w:gridSpan w:val="2"/>
          </w:tcPr>
          <w:p>
            <w:pPr>
              <w:spacing w:after="0"/>
              <w:rPr>
                <w:sz w:val="20"/>
                <w:szCs w:val="20"/>
                <w:color w:val="auto"/>
              </w:rPr>
            </w:pPr>
            <w:r>
              <w:rPr>
                <w:rFonts w:ascii="Arial" w:cs="Arial" w:eastAsia="Arial" w:hAnsi="Arial"/>
                <w:sz w:val="18"/>
                <w:szCs w:val="18"/>
                <w:color w:val="auto"/>
              </w:rPr>
              <w:t>Nicaragua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Nigeria PLC</w:t>
            </w:r>
          </w:p>
        </w:tc>
        <w:tc>
          <w:tcPr>
            <w:tcW w:w="960" w:type="dxa"/>
            <w:vAlign w:val="bottom"/>
            <w:gridSpan w:val="2"/>
          </w:tcPr>
          <w:p>
            <w:pPr>
              <w:spacing w:after="0"/>
              <w:rPr>
                <w:sz w:val="20"/>
                <w:szCs w:val="20"/>
                <w:color w:val="auto"/>
              </w:rPr>
            </w:pPr>
            <w:r>
              <w:rPr>
                <w:rFonts w:ascii="Arial" w:cs="Arial" w:eastAsia="Arial" w:hAnsi="Arial"/>
                <w:sz w:val="18"/>
                <w:szCs w:val="18"/>
                <w:color w:val="auto"/>
              </w:rPr>
              <w:t>Nigeria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Norge Intellectual Property AS</w:t>
            </w:r>
          </w:p>
        </w:tc>
        <w:tc>
          <w:tcPr>
            <w:tcW w:w="96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Norge A/S</w:t>
            </w:r>
          </w:p>
        </w:tc>
        <w:tc>
          <w:tcPr>
            <w:tcW w:w="96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Norge Production AS</w:t>
            </w:r>
          </w:p>
        </w:tc>
        <w:tc>
          <w:tcPr>
            <w:tcW w:w="96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Pakistan Limited</w:t>
            </w:r>
          </w:p>
        </w:tc>
        <w:tc>
          <w:tcPr>
            <w:tcW w:w="960" w:type="dxa"/>
            <w:vAlign w:val="bottom"/>
            <w:gridSpan w:val="2"/>
          </w:tcPr>
          <w:p>
            <w:pPr>
              <w:spacing w:after="0"/>
              <w:rPr>
                <w:sz w:val="20"/>
                <w:szCs w:val="20"/>
                <w:color w:val="auto"/>
              </w:rPr>
            </w:pPr>
            <w:r>
              <w:rPr>
                <w:rFonts w:ascii="Arial" w:cs="Arial" w:eastAsia="Arial" w:hAnsi="Arial"/>
                <w:sz w:val="18"/>
                <w:szCs w:val="18"/>
                <w:color w:val="auto"/>
              </w:rPr>
              <w:t>Pakistan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Panama, S. de R.L.</w:t>
            </w:r>
          </w:p>
        </w:tc>
        <w:tc>
          <w:tcPr>
            <w:tcW w:w="96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Peru S.A.</w:t>
            </w:r>
          </w:p>
        </w:tc>
        <w:tc>
          <w:tcPr>
            <w:tcW w:w="96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Philippines, Inc.</w:t>
            </w:r>
          </w:p>
        </w:tc>
        <w:tc>
          <w:tcPr>
            <w:tcW w:w="96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Nabisco Philippines Inc.</w:t>
            </w:r>
          </w:p>
        </w:tc>
        <w:tc>
          <w:tcPr>
            <w:tcW w:w="96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Lu Polska Sp. z.o.o.</w:t>
            </w:r>
          </w:p>
        </w:tc>
        <w:tc>
          <w:tcPr>
            <w:tcW w:w="96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RD&amp;Q Sp. z.o.o.</w:t>
            </w:r>
          </w:p>
        </w:tc>
        <w:tc>
          <w:tcPr>
            <w:tcW w:w="96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Polska Production sp. z.o.o.</w:t>
            </w:r>
          </w:p>
        </w:tc>
        <w:tc>
          <w:tcPr>
            <w:tcW w:w="96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Polska Sp. z.o.o.</w:t>
            </w:r>
          </w:p>
        </w:tc>
        <w:tc>
          <w:tcPr>
            <w:tcW w:w="96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Portugal, Unipessoal Lda.</w:t>
            </w:r>
          </w:p>
        </w:tc>
        <w:tc>
          <w:tcPr>
            <w:tcW w:w="96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Puerto Rico LLC</w:t>
            </w:r>
          </w:p>
        </w:tc>
        <w:tc>
          <w:tcPr>
            <w:tcW w:w="960" w:type="dxa"/>
            <w:vAlign w:val="bottom"/>
            <w:gridSpan w:val="2"/>
          </w:tcPr>
          <w:p>
            <w:pPr>
              <w:spacing w:after="0"/>
              <w:rPr>
                <w:sz w:val="20"/>
                <w:szCs w:val="20"/>
                <w:color w:val="auto"/>
              </w:rPr>
            </w:pPr>
            <w:r>
              <w:rPr>
                <w:rFonts w:ascii="Arial" w:cs="Arial" w:eastAsia="Arial" w:hAnsi="Arial"/>
                <w:sz w:val="18"/>
                <w:szCs w:val="18"/>
                <w:color w:val="auto"/>
                <w:w w:val="99"/>
              </w:rPr>
              <w:t>Puerto Rico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Romania S.A.</w:t>
            </w:r>
          </w:p>
        </w:tc>
        <w:tc>
          <w:tcPr>
            <w:tcW w:w="96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Rus LLC</w:t>
            </w:r>
          </w:p>
        </w:tc>
        <w:tc>
          <w:tcPr>
            <w:tcW w:w="96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Arabia for Trading LLC</w:t>
            </w:r>
          </w:p>
        </w:tc>
        <w:tc>
          <w:tcPr>
            <w:tcW w:w="960" w:type="dxa"/>
            <w:vAlign w:val="bottom"/>
            <w:gridSpan w:val="2"/>
          </w:tcPr>
          <w:p>
            <w:pPr>
              <w:spacing w:after="0"/>
              <w:rPr>
                <w:sz w:val="20"/>
                <w:szCs w:val="20"/>
                <w:color w:val="auto"/>
              </w:rPr>
            </w:pPr>
            <w:r>
              <w:rPr>
                <w:rFonts w:ascii="Arial" w:cs="Arial" w:eastAsia="Arial" w:hAnsi="Arial"/>
                <w:sz w:val="18"/>
                <w:szCs w:val="18"/>
                <w:color w:val="auto"/>
                <w:w w:val="91"/>
              </w:rPr>
              <w:t>Saudi Arabia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Nabisco Arabia Co. Ltd.</w:t>
            </w:r>
          </w:p>
        </w:tc>
        <w:tc>
          <w:tcPr>
            <w:tcW w:w="960" w:type="dxa"/>
            <w:vAlign w:val="bottom"/>
            <w:gridSpan w:val="2"/>
          </w:tcPr>
          <w:p>
            <w:pPr>
              <w:spacing w:after="0"/>
              <w:rPr>
                <w:sz w:val="20"/>
                <w:szCs w:val="20"/>
                <w:color w:val="auto"/>
              </w:rPr>
            </w:pPr>
            <w:r>
              <w:rPr>
                <w:rFonts w:ascii="Arial" w:cs="Arial" w:eastAsia="Arial" w:hAnsi="Arial"/>
                <w:sz w:val="18"/>
                <w:szCs w:val="18"/>
                <w:color w:val="auto"/>
                <w:w w:val="91"/>
              </w:rPr>
              <w:t>Saudi Arabia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d.o.o. Beograd</w:t>
            </w:r>
          </w:p>
        </w:tc>
        <w:tc>
          <w:tcPr>
            <w:tcW w:w="960" w:type="dxa"/>
            <w:vAlign w:val="bottom"/>
            <w:gridSpan w:val="2"/>
          </w:tcPr>
          <w:p>
            <w:pPr>
              <w:spacing w:after="0"/>
              <w:rPr>
                <w:sz w:val="20"/>
                <w:szCs w:val="20"/>
                <w:color w:val="auto"/>
              </w:rPr>
            </w:pPr>
            <w:r>
              <w:rPr>
                <w:rFonts w:ascii="Arial" w:cs="Arial" w:eastAsia="Arial" w:hAnsi="Arial"/>
                <w:sz w:val="18"/>
                <w:szCs w:val="18"/>
                <w:color w:val="auto"/>
              </w:rPr>
              <w:t>Serbia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Procurement d.o.o. Beograd</w:t>
            </w:r>
          </w:p>
        </w:tc>
        <w:tc>
          <w:tcPr>
            <w:tcW w:w="960" w:type="dxa"/>
            <w:vAlign w:val="bottom"/>
            <w:gridSpan w:val="2"/>
          </w:tcPr>
          <w:p>
            <w:pPr>
              <w:spacing w:after="0"/>
              <w:rPr>
                <w:sz w:val="20"/>
                <w:szCs w:val="20"/>
                <w:color w:val="auto"/>
              </w:rPr>
            </w:pPr>
            <w:r>
              <w:rPr>
                <w:rFonts w:ascii="Arial" w:cs="Arial" w:eastAsia="Arial" w:hAnsi="Arial"/>
                <w:sz w:val="18"/>
                <w:szCs w:val="18"/>
                <w:color w:val="auto"/>
              </w:rPr>
              <w:t>Serbia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Holdings Singapore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Trading Singapore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Helix Singapore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Kuan Enterprises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Asia Pacific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Business Services AP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AMEA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Singapore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Symphony Biscuits Holdings Pte. Ltd.</w:t>
            </w:r>
          </w:p>
        </w:tc>
        <w:tc>
          <w:tcPr>
            <w:tcW w:w="9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European Business Services Centre s.r.o.</w:t>
            </w:r>
          </w:p>
        </w:tc>
        <w:tc>
          <w:tcPr>
            <w:tcW w:w="960" w:type="dxa"/>
            <w:vAlign w:val="bottom"/>
            <w:gridSpan w:val="2"/>
          </w:tcPr>
          <w:p>
            <w:pPr>
              <w:spacing w:after="0"/>
              <w:rPr>
                <w:sz w:val="20"/>
                <w:szCs w:val="20"/>
                <w:color w:val="auto"/>
              </w:rPr>
            </w:pPr>
            <w:r>
              <w:rPr>
                <w:rFonts w:ascii="Arial" w:cs="Arial" w:eastAsia="Arial" w:hAnsi="Arial"/>
                <w:sz w:val="18"/>
                <w:szCs w:val="18"/>
                <w:color w:val="auto"/>
              </w:rPr>
              <w:t>Slovakia</w:t>
            </w:r>
          </w:p>
        </w:tc>
      </w:tr>
    </w:tbl>
    <w:p>
      <w:pPr>
        <w:sectPr>
          <w:pgSz w:w="11900" w:h="16838" w:orient="portrait"/>
          <w:cols w:equalWidth="0" w:num="1">
            <w:col w:w="10219"/>
          </w:cols>
          <w:pgMar w:left="240" w:top="266" w:right="1440" w:bottom="1440" w:gutter="0" w:footer="0" w:header="0"/>
        </w:sectPr>
      </w:pPr>
    </w:p>
    <w:bookmarkStart w:id="213" w:name="page214"/>
    <w:bookmarkEnd w:id="2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r>
      <w:tr>
        <w:trPr>
          <w:trHeight w:val="182"/>
        </w:trPr>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Mondelez</w:t>
            </w:r>
          </w:p>
        </w:tc>
        <w:tc>
          <w:tcPr>
            <w:tcW w:w="8340" w:type="dxa"/>
            <w:vAlign w:val="bottom"/>
          </w:tcPr>
          <w:p>
            <w:pPr>
              <w:spacing w:after="0" w:line="182" w:lineRule="exact"/>
              <w:rPr>
                <w:sz w:val="20"/>
                <w:szCs w:val="20"/>
                <w:color w:val="auto"/>
              </w:rPr>
            </w:pPr>
            <w:r>
              <w:rPr>
                <w:rFonts w:ascii="Arial" w:cs="Arial" w:eastAsia="Arial" w:hAnsi="Arial"/>
                <w:sz w:val="18"/>
                <w:szCs w:val="18"/>
                <w:color w:val="auto"/>
              </w:rPr>
              <w:t>Slovakia Holding a.s.</w:t>
            </w:r>
          </w:p>
        </w:tc>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3"/>
              </w:rPr>
              <w:t>Slovakia</w:t>
            </w:r>
          </w:p>
        </w:tc>
        <w:tc>
          <w:tcPr>
            <w:tcW w:w="1200" w:type="dxa"/>
            <w:vAlign w:val="bottom"/>
          </w:tcPr>
          <w:p>
            <w:pPr>
              <w:spacing w:after="0"/>
              <w:rPr>
                <w:sz w:val="15"/>
                <w:szCs w:val="15"/>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Slovakia Intellectual Property s.r.o.</w:t>
            </w:r>
          </w:p>
        </w:tc>
        <w:tc>
          <w:tcPr>
            <w:tcW w:w="1720" w:type="dxa"/>
            <w:vAlign w:val="bottom"/>
            <w:gridSpan w:val="2"/>
          </w:tcPr>
          <w:p>
            <w:pPr>
              <w:spacing w:after="0"/>
              <w:rPr>
                <w:sz w:val="20"/>
                <w:szCs w:val="20"/>
                <w:color w:val="auto"/>
              </w:rPr>
            </w:pPr>
            <w:r>
              <w:rPr>
                <w:rFonts w:ascii="Arial" w:cs="Arial" w:eastAsia="Arial" w:hAnsi="Arial"/>
                <w:sz w:val="18"/>
                <w:szCs w:val="18"/>
                <w:color w:val="auto"/>
              </w:rPr>
              <w:t>Slovakia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Slovakia s.r.o.</w:t>
            </w:r>
          </w:p>
        </w:tc>
        <w:tc>
          <w:tcPr>
            <w:tcW w:w="1720" w:type="dxa"/>
            <w:vAlign w:val="bottom"/>
            <w:gridSpan w:val="2"/>
          </w:tcPr>
          <w:p>
            <w:pPr>
              <w:spacing w:after="0"/>
              <w:rPr>
                <w:sz w:val="20"/>
                <w:szCs w:val="20"/>
                <w:color w:val="auto"/>
              </w:rPr>
            </w:pPr>
            <w:r>
              <w:rPr>
                <w:rFonts w:ascii="Arial" w:cs="Arial" w:eastAsia="Arial" w:hAnsi="Arial"/>
                <w:sz w:val="18"/>
                <w:szCs w:val="18"/>
                <w:color w:val="auto"/>
              </w:rPr>
              <w:t>Slovakia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SR Production s.r.o.</w:t>
            </w:r>
          </w:p>
        </w:tc>
        <w:tc>
          <w:tcPr>
            <w:tcW w:w="1720" w:type="dxa"/>
            <w:vAlign w:val="bottom"/>
            <w:gridSpan w:val="2"/>
          </w:tcPr>
          <w:p>
            <w:pPr>
              <w:spacing w:after="0"/>
              <w:rPr>
                <w:sz w:val="20"/>
                <w:szCs w:val="20"/>
                <w:color w:val="auto"/>
              </w:rPr>
            </w:pPr>
            <w:r>
              <w:rPr>
                <w:rFonts w:ascii="Arial" w:cs="Arial" w:eastAsia="Arial" w:hAnsi="Arial"/>
                <w:sz w:val="18"/>
                <w:szCs w:val="18"/>
                <w:color w:val="auto"/>
              </w:rPr>
              <w:t>Slovakia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trgovska druzba, d.o.o, Ljubjana</w:t>
            </w:r>
          </w:p>
        </w:tc>
        <w:tc>
          <w:tcPr>
            <w:tcW w:w="1720" w:type="dxa"/>
            <w:vAlign w:val="bottom"/>
            <w:gridSpan w:val="2"/>
          </w:tcPr>
          <w:p>
            <w:pPr>
              <w:spacing w:after="0"/>
              <w:rPr>
                <w:sz w:val="20"/>
                <w:szCs w:val="20"/>
                <w:color w:val="auto"/>
              </w:rPr>
            </w:pPr>
            <w:r>
              <w:rPr>
                <w:rFonts w:ascii="Arial" w:cs="Arial" w:eastAsia="Arial" w:hAnsi="Arial"/>
                <w:sz w:val="18"/>
                <w:szCs w:val="18"/>
                <w:color w:val="auto"/>
              </w:rPr>
              <w:t>Slovenia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South Africa (Pty)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Chapelat-Humphries Investments (Pty)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South Africa (Pty)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South Africa LP</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Espana Holdings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Espana Intellectual Property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Espana Commercial,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Espana Confectionery Production,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Espana Galletas Production,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Espana Postres Production, S.A.U.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Espana Production,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Espana Services,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Iberia Holdings,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Iberia Snacking Holdings, S.L.U.</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Chapelat Swaziland (Proprietary)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Swaziland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(Swaziland) (Pty) Limited</w:t>
            </w:r>
          </w:p>
        </w:tc>
        <w:tc>
          <w:tcPr>
            <w:tcW w:w="1720" w:type="dxa"/>
            <w:vAlign w:val="bottom"/>
            <w:gridSpan w:val="2"/>
          </w:tcPr>
          <w:p>
            <w:pPr>
              <w:spacing w:after="0"/>
              <w:rPr>
                <w:sz w:val="20"/>
                <w:szCs w:val="20"/>
                <w:color w:val="auto"/>
              </w:rPr>
            </w:pPr>
            <w:r>
              <w:rPr>
                <w:rFonts w:ascii="Arial" w:cs="Arial" w:eastAsia="Arial" w:hAnsi="Arial"/>
                <w:sz w:val="18"/>
                <w:szCs w:val="18"/>
                <w:color w:val="auto"/>
                <w:w w:val="91"/>
              </w:rPr>
              <w:t>Swaziland/South Africa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Sverige Holding AB</w:t>
            </w:r>
          </w:p>
        </w:tc>
        <w:tc>
          <w:tcPr>
            <w:tcW w:w="17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Sverige Intellectual Property AB</w:t>
            </w:r>
          </w:p>
        </w:tc>
        <w:tc>
          <w:tcPr>
            <w:tcW w:w="17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Sverige AB</w:t>
            </w:r>
          </w:p>
        </w:tc>
        <w:tc>
          <w:tcPr>
            <w:tcW w:w="17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Sverige Production AB</w:t>
            </w:r>
          </w:p>
        </w:tc>
        <w:tc>
          <w:tcPr>
            <w:tcW w:w="17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Biscuits Holding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Holding (Europa)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Schweiz Holding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CTPS Schweiz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Europe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Europe Procurement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Europe Services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Finance AG</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Schweiz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Schweiz Holding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Schweiz Production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World Travel Retail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Taloca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Taiwan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(Thailand) Co.,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(Thailand) Co.,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(Trinidad) Unlimited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Trinidad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Kent Gida Maddeleri Sanayii ve Ticaret Anonim Sirketi</w:t>
            </w:r>
          </w:p>
        </w:tc>
        <w:tc>
          <w:tcPr>
            <w:tcW w:w="17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South Africa (Holdings)</w:t>
            </w:r>
          </w:p>
        </w:tc>
        <w:tc>
          <w:tcPr>
            <w:tcW w:w="1720" w:type="dxa"/>
            <w:vAlign w:val="bottom"/>
            <w:gridSpan w:val="2"/>
          </w:tcPr>
          <w:p>
            <w:pPr>
              <w:spacing w:after="0"/>
              <w:rPr>
                <w:sz w:val="20"/>
                <w:szCs w:val="20"/>
                <w:color w:val="auto"/>
              </w:rPr>
            </w:pPr>
            <w:r>
              <w:rPr>
                <w:rFonts w:ascii="Arial" w:cs="Arial" w:eastAsia="Arial" w:hAnsi="Arial"/>
                <w:sz w:val="18"/>
                <w:szCs w:val="18"/>
                <w:color w:val="auto"/>
              </w:rPr>
              <w:t>UK</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LLC Chipsy LYUKS</w:t>
            </w:r>
          </w:p>
        </w:tc>
        <w:tc>
          <w:tcPr>
            <w:tcW w:w="1720" w:type="dxa"/>
            <w:vAlign w:val="bottom"/>
            <w:gridSpan w:val="2"/>
          </w:tcPr>
          <w:p>
            <w:pPr>
              <w:spacing w:after="0"/>
              <w:rPr>
                <w:sz w:val="20"/>
                <w:szCs w:val="20"/>
                <w:color w:val="auto"/>
              </w:rPr>
            </w:pPr>
            <w:r>
              <w:rPr>
                <w:rFonts w:ascii="Arial" w:cs="Arial" w:eastAsia="Arial" w:hAnsi="Arial"/>
                <w:sz w:val="18"/>
                <w:szCs w:val="18"/>
                <w:color w:val="auto"/>
              </w:rPr>
              <w:t>Ukraine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Private Joint Stock Company “Mondelez Ukraina”</w:t>
            </w:r>
          </w:p>
        </w:tc>
        <w:tc>
          <w:tcPr>
            <w:tcW w:w="1720" w:type="dxa"/>
            <w:vAlign w:val="bottom"/>
            <w:gridSpan w:val="2"/>
          </w:tcPr>
          <w:p>
            <w:pPr>
              <w:spacing w:after="0"/>
              <w:rPr>
                <w:sz w:val="20"/>
                <w:szCs w:val="20"/>
                <w:color w:val="auto"/>
              </w:rPr>
            </w:pPr>
            <w:r>
              <w:rPr>
                <w:rFonts w:ascii="Arial" w:cs="Arial" w:eastAsia="Arial" w:hAnsi="Arial"/>
                <w:sz w:val="18"/>
                <w:szCs w:val="18"/>
                <w:color w:val="auto"/>
              </w:rPr>
              <w:t>Ukraine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Eastern Europe Middle East &amp; Africa FZE</w:t>
            </w: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United Arab Emirates</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Brentwick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860"/>
          </w:cols>
          <w:pgMar w:left="240" w:top="265" w:right="799" w:bottom="1440" w:gutter="0" w:footer="0" w:header="0"/>
        </w:sectPr>
      </w:pPr>
    </w:p>
    <w:bookmarkStart w:id="214" w:name="page215"/>
    <w:bookmarkEnd w:id="2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Entity Name</w:t>
            </w:r>
          </w:p>
        </w:tc>
        <w:tc>
          <w:tcPr>
            <w:tcW w:w="8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Country</w:t>
            </w:r>
          </w:p>
        </w:tc>
        <w:tc>
          <w:tcPr>
            <w:tcW w:w="700" w:type="dxa"/>
            <w:vAlign w:val="bottom"/>
          </w:tcPr>
          <w:p>
            <w:pPr>
              <w:spacing w:after="0"/>
              <w:rPr>
                <w:sz w:val="14"/>
                <w:szCs w:val="14"/>
                <w:color w:val="auto"/>
              </w:rPr>
            </w:pPr>
          </w:p>
        </w:tc>
      </w:tr>
      <w:tr>
        <w:trPr>
          <w:trHeight w:val="182"/>
        </w:trPr>
        <w:tc>
          <w:tcPr>
            <w:tcW w:w="9140" w:type="dxa"/>
            <w:vAlign w:val="bottom"/>
            <w:gridSpan w:val="2"/>
          </w:tcPr>
          <w:p>
            <w:pPr>
              <w:spacing w:after="0" w:line="182" w:lineRule="exact"/>
              <w:rPr>
                <w:sz w:val="20"/>
                <w:szCs w:val="20"/>
                <w:color w:val="auto"/>
              </w:rPr>
            </w:pPr>
            <w:r>
              <w:rPr>
                <w:rFonts w:ascii="Arial" w:cs="Arial" w:eastAsia="Arial" w:hAnsi="Arial"/>
                <w:sz w:val="18"/>
                <w:szCs w:val="18"/>
                <w:color w:val="auto"/>
              </w:rPr>
              <w:t>Cadbury Eight LLP</w:t>
            </w:r>
          </w:p>
        </w:tc>
        <w:tc>
          <w:tcPr>
            <w:tcW w:w="520" w:type="dxa"/>
            <w:vAlign w:val="bottom"/>
          </w:tcPr>
          <w:p>
            <w:pPr>
              <w:spacing w:after="0" w:line="182" w:lineRule="exact"/>
              <w:rPr>
                <w:sz w:val="20"/>
                <w:szCs w:val="20"/>
                <w:color w:val="auto"/>
              </w:rPr>
            </w:pPr>
            <w:r>
              <w:rPr>
                <w:rFonts w:ascii="Arial" w:cs="Arial" w:eastAsia="Arial" w:hAnsi="Arial"/>
                <w:sz w:val="18"/>
                <w:szCs w:val="18"/>
                <w:color w:val="auto"/>
                <w:w w:val="96"/>
              </w:rPr>
              <w:t>United</w:t>
            </w:r>
          </w:p>
        </w:tc>
        <w:tc>
          <w:tcPr>
            <w:tcW w:w="700" w:type="dxa"/>
            <w:vAlign w:val="bottom"/>
          </w:tcPr>
          <w:p>
            <w:pPr>
              <w:ind w:left="20"/>
              <w:spacing w:after="0" w:line="182" w:lineRule="exact"/>
              <w:rPr>
                <w:sz w:val="20"/>
                <w:szCs w:val="20"/>
                <w:color w:val="auto"/>
              </w:rPr>
            </w:pPr>
            <w:r>
              <w:rPr>
                <w:rFonts w:ascii="Arial" w:cs="Arial" w:eastAsia="Arial" w:hAnsi="Arial"/>
                <w:sz w:val="18"/>
                <w:szCs w:val="18"/>
                <w:color w:val="auto"/>
                <w:w w:val="92"/>
              </w:rPr>
              <w:t>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Four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International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Nine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Nominees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Russia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Russia Two Ltd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Finance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Investments Ltd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Overseas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Seven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Six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Ten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Three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Two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UK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US Holdings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Chromium Acquisitions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Chromium Assets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Chromium Suchex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Chromium Suchex No. 3 LLP</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Craven Keiller</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Ernest Jackson &amp; Co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Galactogen Products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Green &amp; Black’s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Hesdin Investments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Investment Holdings UK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UK Intellectual Property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UK IP &amp; Production Holdings Ltd.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Russia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L. Rose &amp; Co.,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Services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UK Biscuit Financing Ltd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UK Confectionery Production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UK Finance Company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UK Holdings &amp; Services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UK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UK R&amp;D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Reading Scientific Services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Schweppes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Somerdale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Speedy Assetco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The Old Leo Company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Trebor Bassett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Trebor International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Vantas International Limited</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Enjoy Life Natural Brands, LLC</w:t>
            </w:r>
          </w:p>
        </w:tc>
        <w:tc>
          <w:tcPr>
            <w:tcW w:w="1220" w:type="dxa"/>
            <w:vAlign w:val="bottom"/>
            <w:gridSpan w:val="2"/>
          </w:tcPr>
          <w:p>
            <w:pPr>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0360"/>
          </w:cols>
          <w:pgMar w:left="240" w:top="266" w:right="1299" w:bottom="1440" w:gutter="0" w:footer="0" w:header="0"/>
        </w:sectPr>
      </w:pPr>
    </w:p>
    <w:bookmarkStart w:id="215" w:name="page216"/>
    <w:bookmarkEnd w:id="2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Entity Name</w:t>
            </w:r>
          </w:p>
        </w:tc>
        <w:tc>
          <w:tcPr>
            <w:tcW w:w="8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Country</w:t>
            </w:r>
          </w:p>
        </w:tc>
        <w:tc>
          <w:tcPr>
            <w:tcW w:w="440" w:type="dxa"/>
            <w:vAlign w:val="bottom"/>
          </w:tcPr>
          <w:p>
            <w:pPr>
              <w:spacing w:after="0"/>
              <w:rPr>
                <w:sz w:val="14"/>
                <w:szCs w:val="14"/>
                <w:color w:val="auto"/>
              </w:rPr>
            </w:pPr>
          </w:p>
        </w:tc>
      </w:tr>
      <w:tr>
        <w:trPr>
          <w:trHeight w:val="182"/>
        </w:trPr>
        <w:tc>
          <w:tcPr>
            <w:tcW w:w="9140" w:type="dxa"/>
            <w:vAlign w:val="bottom"/>
            <w:gridSpan w:val="2"/>
          </w:tcPr>
          <w:p>
            <w:pPr>
              <w:spacing w:after="0" w:line="182" w:lineRule="exact"/>
              <w:rPr>
                <w:sz w:val="20"/>
                <w:szCs w:val="20"/>
                <w:color w:val="auto"/>
              </w:rPr>
            </w:pPr>
            <w:r>
              <w:rPr>
                <w:rFonts w:ascii="Arial" w:cs="Arial" w:eastAsia="Arial" w:hAnsi="Arial"/>
                <w:sz w:val="18"/>
                <w:szCs w:val="18"/>
                <w:color w:val="auto"/>
              </w:rPr>
              <w:t>Intercontinental Brands LLC</w:t>
            </w:r>
          </w:p>
        </w:tc>
        <w:tc>
          <w:tcPr>
            <w:tcW w:w="520" w:type="dxa"/>
            <w:vAlign w:val="bottom"/>
          </w:tcPr>
          <w:p>
            <w:pPr>
              <w:spacing w:after="0" w:line="182" w:lineRule="exact"/>
              <w:rPr>
                <w:sz w:val="20"/>
                <w:szCs w:val="20"/>
                <w:color w:val="auto"/>
              </w:rPr>
            </w:pPr>
            <w:r>
              <w:rPr>
                <w:rFonts w:ascii="Arial" w:cs="Arial" w:eastAsia="Arial" w:hAnsi="Arial"/>
                <w:sz w:val="18"/>
                <w:szCs w:val="18"/>
                <w:color w:val="auto"/>
                <w:w w:val="96"/>
              </w:rPr>
              <w:t>United</w:t>
            </w:r>
          </w:p>
        </w:tc>
        <w:tc>
          <w:tcPr>
            <w:tcW w:w="440" w:type="dxa"/>
            <w:vAlign w:val="bottom"/>
          </w:tcPr>
          <w:p>
            <w:pPr>
              <w:ind w:left="20"/>
              <w:spacing w:after="0" w:line="182" w:lineRule="exact"/>
              <w:rPr>
                <w:sz w:val="20"/>
                <w:szCs w:val="20"/>
                <w:color w:val="auto"/>
              </w:rPr>
            </w:pPr>
            <w:r>
              <w:rPr>
                <w:rFonts w:ascii="Arial" w:cs="Arial" w:eastAsia="Arial" w:hAnsi="Arial"/>
                <w:sz w:val="18"/>
                <w:szCs w:val="18"/>
                <w:color w:val="auto"/>
                <w:w w:val="78"/>
              </w:rPr>
              <w:t>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Intercontinental Great Brands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KFI-USLLC IX</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KFI-USLLC VII</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KFI-USLLC VIII</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KFI-USLLC XI</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KFI-USLLC XIV</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Asia Pacific Services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Biscuit Brands Kuan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Holdings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International Beverages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International Europe Holdings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International Holdings Delaware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International Services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Latin America Holding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Kraft Foods R &amp; D, Inc.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Mondelēz BTN Holdings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Mondelēz Global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Delaware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International Financing Delaware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Mondelēz International Holdings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Mondelēz International Service Holdings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Mondelēz International Service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Mondelēz International, Inc.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Redbird Services LLC</w:t>
            </w: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United States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C.A.S. Uruguay S.A.</w:t>
            </w:r>
          </w:p>
        </w:tc>
        <w:tc>
          <w:tcPr>
            <w:tcW w:w="960" w:type="dxa"/>
            <w:vAlign w:val="bottom"/>
            <w:gridSpan w:val="2"/>
          </w:tcPr>
          <w:p>
            <w:pPr>
              <w:spacing w:after="0"/>
              <w:rPr>
                <w:sz w:val="20"/>
                <w:szCs w:val="20"/>
                <w:color w:val="auto"/>
              </w:rPr>
            </w:pPr>
            <w:r>
              <w:rPr>
                <w:rFonts w:ascii="Arial" w:cs="Arial" w:eastAsia="Arial" w:hAnsi="Arial"/>
                <w:sz w:val="18"/>
                <w:szCs w:val="18"/>
                <w:color w:val="auto"/>
              </w:rPr>
              <w:t>Uruguay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Uruguay S.A.</w:t>
            </w:r>
          </w:p>
        </w:tc>
        <w:tc>
          <w:tcPr>
            <w:tcW w:w="960" w:type="dxa"/>
            <w:vAlign w:val="bottom"/>
            <w:gridSpan w:val="2"/>
          </w:tcPr>
          <w:p>
            <w:pPr>
              <w:spacing w:after="0"/>
              <w:rPr>
                <w:sz w:val="20"/>
                <w:szCs w:val="20"/>
                <w:color w:val="auto"/>
              </w:rPr>
            </w:pPr>
            <w:r>
              <w:rPr>
                <w:rFonts w:ascii="Arial" w:cs="Arial" w:eastAsia="Arial" w:hAnsi="Arial"/>
                <w:sz w:val="18"/>
                <w:szCs w:val="18"/>
                <w:color w:val="auto"/>
              </w:rPr>
              <w:t>Uruguay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Adams, S.A.</w:t>
            </w:r>
          </w:p>
        </w:tc>
        <w:tc>
          <w:tcPr>
            <w:tcW w:w="9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Cadbury Beverages de Venezuela CA</w:t>
            </w:r>
          </w:p>
        </w:tc>
        <w:tc>
          <w:tcPr>
            <w:tcW w:w="9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Compania Venezolana de Conservas C.A.</w:t>
            </w:r>
          </w:p>
        </w:tc>
        <w:tc>
          <w:tcPr>
            <w:tcW w:w="9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Covenco Holding C.A.</w:t>
            </w:r>
          </w:p>
        </w:tc>
        <w:tc>
          <w:tcPr>
            <w:tcW w:w="9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VZ, C.A. (fka Kraft Foods Venezuela, C. A.)</w:t>
            </w:r>
          </w:p>
        </w:tc>
        <w:tc>
          <w:tcPr>
            <w:tcW w:w="9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Promotora Cadbury Adams, C.A.</w:t>
            </w:r>
          </w:p>
        </w:tc>
        <w:tc>
          <w:tcPr>
            <w:tcW w:w="9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Tevalca Holdings C.A.</w:t>
            </w:r>
          </w:p>
        </w:tc>
        <w:tc>
          <w:tcPr>
            <w:tcW w:w="9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Mondelez Kinh Do Vietnam JSC</w:t>
            </w:r>
          </w:p>
        </w:tc>
        <w:tc>
          <w:tcPr>
            <w:tcW w:w="960" w:type="dxa"/>
            <w:vAlign w:val="bottom"/>
            <w:gridSpan w:val="2"/>
          </w:tcPr>
          <w:p>
            <w:pPr>
              <w:spacing w:after="0"/>
              <w:rPr>
                <w:sz w:val="20"/>
                <w:szCs w:val="20"/>
                <w:color w:val="auto"/>
              </w:rPr>
            </w:pPr>
            <w:r>
              <w:rPr>
                <w:rFonts w:ascii="Arial" w:cs="Arial" w:eastAsia="Arial" w:hAnsi="Arial"/>
                <w:sz w:val="18"/>
                <w:szCs w:val="18"/>
                <w:color w:val="auto"/>
              </w:rPr>
              <w:t>Vietnam</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North Kinh Do One Member Company Limited</w:t>
            </w:r>
          </w:p>
        </w:tc>
        <w:tc>
          <w:tcPr>
            <w:tcW w:w="960" w:type="dxa"/>
            <w:vAlign w:val="bottom"/>
            <w:gridSpan w:val="2"/>
          </w:tcPr>
          <w:p>
            <w:pPr>
              <w:spacing w:after="0"/>
              <w:rPr>
                <w:sz w:val="20"/>
                <w:szCs w:val="20"/>
                <w:color w:val="auto"/>
              </w:rPr>
            </w:pPr>
            <w:r>
              <w:rPr>
                <w:rFonts w:ascii="Arial" w:cs="Arial" w:eastAsia="Arial" w:hAnsi="Arial"/>
                <w:sz w:val="18"/>
                <w:szCs w:val="18"/>
                <w:color w:val="auto"/>
              </w:rPr>
              <w:t>Vietnam</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Cadbury Schweppes Zimbabwe (Private) Limited</w:t>
            </w:r>
          </w:p>
        </w:tc>
        <w:tc>
          <w:tcPr>
            <w:tcW w:w="960" w:type="dxa"/>
            <w:vAlign w:val="bottom"/>
            <w:gridSpan w:val="2"/>
          </w:tcPr>
          <w:p>
            <w:pPr>
              <w:spacing w:after="0"/>
              <w:rPr>
                <w:sz w:val="20"/>
                <w:szCs w:val="20"/>
                <w:color w:val="auto"/>
              </w:rPr>
            </w:pPr>
            <w:r>
              <w:rPr>
                <w:rFonts w:ascii="Arial" w:cs="Arial" w:eastAsia="Arial" w:hAnsi="Arial"/>
                <w:sz w:val="18"/>
                <w:szCs w:val="18"/>
                <w:color w:val="auto"/>
              </w:rPr>
              <w:t>Zimbabwe</w:t>
            </w:r>
          </w:p>
        </w:tc>
      </w:tr>
    </w:tbl>
    <w:p>
      <w:pPr>
        <w:sectPr>
          <w:pgSz w:w="11900" w:h="16838" w:orient="portrait"/>
          <w:cols w:equalWidth="0" w:num="1">
            <w:col w:w="10219"/>
          </w:cols>
          <w:pgMar w:left="240" w:top="265"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 333-216408) and Form S-8 (Nos. 333-197088, 333-184178, 333-183993, 333-182066, 333-174665, 333-165736, 333-133559 and 333-125992) of Mondelēz International, Inc. of our report dated February 9, 2018 relating to the consolidated financial statements, financial statement schedule and the effectiveness of internal control over financial reporting, which appears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5"/>
          <w:szCs w:val="15"/>
          <w:color w:val="auto"/>
        </w:rPr>
        <w:t>RICEWATERHOUSE</w:t>
      </w:r>
      <w:r>
        <w:rPr>
          <w:rFonts w:ascii="Arial" w:cs="Arial" w:eastAsia="Arial" w:hAnsi="Arial"/>
          <w:sz w:val="18"/>
          <w:szCs w:val="18"/>
          <w:color w:val="auto"/>
        </w:rPr>
        <w:t>C</w:t>
      </w:r>
      <w:r>
        <w:rPr>
          <w:rFonts w:ascii="Arial" w:cs="Arial" w:eastAsia="Arial" w:hAnsi="Arial"/>
          <w:sz w:val="15"/>
          <w:szCs w:val="15"/>
          <w:color w:val="auto"/>
        </w:rPr>
        <w:t>OOPERS</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ectPr>
          <w:pgSz w:w="11900" w:h="16838" w:orient="portrait"/>
          <w:cols w:equalWidth="0" w:num="1">
            <w:col w:w="11420"/>
          </w:cols>
          <w:pgMar w:left="240" w:top="118"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39"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460" w:right="12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460" w:right="30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900" w:right="240" w:hanging="446"/>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00" w:right="60" w:hanging="446"/>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00" w:right="20" w:hanging="446"/>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00" w:right="320" w:hanging="446"/>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460" w:right="20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00" w:right="200" w:hanging="446"/>
        <w:spacing w:after="0" w:line="246" w:lineRule="auto"/>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Dirk Van de Put</w:t>
      </w: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6"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Brian T. Gladden, certify that:</w:t>
      </w:r>
    </w:p>
    <w:p>
      <w:pPr>
        <w:spacing w:after="0" w:line="239"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460" w:right="12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460" w:right="30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900" w:right="24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00" w:right="6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00" w:right="2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00" w:right="32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460" w:right="20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00" w:right="200" w:hanging="446"/>
        <w:spacing w:after="0" w:line="246" w:lineRule="auto"/>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Brian T. Gladden</w:t>
      </w:r>
    </w:p>
    <w:p>
      <w:pPr>
        <w:ind w:left="686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 18 U.S.C. SECTION 1350, AS ADOPTED PURSUANT TO SECTION 906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Chief Executive Officer of Mondelēz International, Inc. (“Mondelēz International”), certify, pursuant to 18 U.S.C.</w:t>
      </w:r>
    </w:p>
    <w:p>
      <w:pPr>
        <w:ind w:right="240"/>
        <w:spacing w:after="0" w:line="239" w:lineRule="auto"/>
        <w:rPr>
          <w:sz w:val="20"/>
          <w:szCs w:val="20"/>
          <w:color w:val="auto"/>
        </w:rPr>
      </w:pPr>
      <w:r>
        <w:rPr>
          <w:rFonts w:ascii="Arial" w:cs="Arial" w:eastAsia="Arial" w:hAnsi="Arial"/>
          <w:sz w:val="18"/>
          <w:szCs w:val="18"/>
          <w:color w:val="auto"/>
        </w:rPr>
        <w:t>Section 1350, as adopted pursuant to Section 906 of the Sarbanes-Oxley Act of 2002, that Mondelēz International’s Annual Report on Form 10-K for the year ended December 31, 2017,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Dirk Van de Put</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200" w:lineRule="exact"/>
        <w:rPr>
          <w:sz w:val="20"/>
          <w:szCs w:val="20"/>
          <w:color w:val="auto"/>
        </w:rPr>
      </w:pPr>
    </w:p>
    <w:p>
      <w:pPr>
        <w:spacing w:after="0" w:line="22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2017,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Brian T. Gladden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200" w:lineRule="exact"/>
        <w:rPr>
          <w:sz w:val="20"/>
          <w:szCs w:val="20"/>
          <w:color w:val="auto"/>
        </w:rPr>
      </w:pPr>
    </w:p>
    <w:p>
      <w:pPr>
        <w:spacing w:after="0" w:line="21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1"/>
      <w:numFmt w:val="decimal"/>
      <w:start w:val="49"/>
    </w:lvl>
  </w:abstractNum>
  <w:abstractNum w:abstractNumId="6">
    <w:nsid w:val="42963E5A"/>
    <w:multiLevelType w:val="hybridMultilevel"/>
    <w:lvl w:ilvl="0">
      <w:lvlJc w:val="left"/>
      <w:lvlText w:val="%1"/>
      <w:numFmt w:val="decimal"/>
      <w:start w:val="49"/>
    </w:lvl>
  </w:abstractNum>
  <w:abstractNum w:abstractNumId="7">
    <w:nsid w:val="A0382C5"/>
    <w:multiLevelType w:val="hybridMultilevel"/>
    <w:lvl w:ilvl="0">
      <w:lvlJc w:val="left"/>
      <w:lvlText w:val="%1"/>
      <w:numFmt w:val="decimal"/>
      <w:start w:val="52"/>
    </w:lvl>
  </w:abstractNum>
  <w:abstractNum w:abstractNumId="8">
    <w:nsid w:val="8F2B15E"/>
    <w:multiLevelType w:val="hybridMultilevel"/>
    <w:lvl w:ilvl="0">
      <w:lvlJc w:val="left"/>
      <w:lvlText w:val="%1"/>
      <w:numFmt w:val="decimal"/>
      <w:start w:val="46"/>
    </w:lvl>
  </w:abstractNum>
  <w:abstractNum w:abstractNumId="9">
    <w:nsid w:val="1A32234B"/>
    <w:multiLevelType w:val="hybridMultilevel"/>
    <w:lvl w:ilvl="0">
      <w:lvlJc w:val="left"/>
      <w:lvlText w:val="%1"/>
      <w:numFmt w:val="decimal"/>
      <w:start w:val="59"/>
    </w:lvl>
  </w:abstractNum>
  <w:abstractNum w:abstractNumId="10">
    <w:nsid w:val="3B0FD379"/>
    <w:multiLevelType w:val="hybridMultilevel"/>
    <w:lvl w:ilvl="0">
      <w:lvlJc w:val="left"/>
      <w:lvlText w:val="%1"/>
      <w:numFmt w:val="decimal"/>
      <w:start w:val="62"/>
    </w:lvl>
  </w:abstractNum>
  <w:abstractNum w:abstractNumId="11">
    <w:nsid w:val="68EB2F63"/>
    <w:multiLevelType w:val="hybridMultilevel"/>
    <w:lvl w:ilvl="0">
      <w:lvlJc w:val="left"/>
      <w:lvlText w:val="%1"/>
      <w:numFmt w:val="decimal"/>
      <w:start w:val="61"/>
    </w:lvl>
  </w:abstractNum>
  <w:abstractNum w:abstractNumId="12">
    <w:nsid w:val="4962813B"/>
    <w:multiLevelType w:val="hybridMultilevel"/>
    <w:lvl w:ilvl="0">
      <w:lvlJc w:val="left"/>
      <w:lvlText w:val="%1"/>
      <w:numFmt w:val="decimal"/>
      <w:start w:val="49"/>
    </w:lvl>
  </w:abstractNum>
  <w:abstractNum w:abstractNumId="13">
    <w:nsid w:val="60B6DF70"/>
    <w:multiLevelType w:val="hybridMultilevel"/>
    <w:lvl w:ilvl="0">
      <w:lvlJc w:val="left"/>
      <w:lvlText w:val="%1"/>
      <w:numFmt w:val="decimal"/>
      <w:start w:val="55"/>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1)"/>
      <w:numFmt w:val="decimal"/>
      <w:start w:val="1"/>
    </w:lvl>
  </w:abstractNum>
  <w:abstractNum w:abstractNumId="16">
    <w:nsid w:val="7FFFCA11"/>
    <w:multiLevelType w:val="hybridMultilevel"/>
    <w:lvl w:ilvl="0">
      <w:lvlJc w:val="left"/>
      <w:lvlText w:val="(%1)"/>
      <w:numFmt w:val="decimal"/>
      <w:start w:val="1"/>
    </w:lvl>
  </w:abstractNum>
  <w:abstractNum w:abstractNumId="17">
    <w:nsid w:val="1A27709E"/>
    <w:multiLevelType w:val="hybridMultilevel"/>
    <w:lvl w:ilvl="0">
      <w:lvlJc w:val="left"/>
      <w:lvlText w:val="(%1)"/>
      <w:numFmt w:val="decimal"/>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1)"/>
      <w:numFmt w:val="decimal"/>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1)"/>
      <w:numFmt w:val="decimal"/>
      <w:start w:val="1"/>
    </w:lvl>
  </w:abstractNum>
  <w:abstractNum w:abstractNumId="24">
    <w:nsid w:val="885E1B"/>
    <w:multiLevelType w:val="hybridMultilevel"/>
    <w:lvl w:ilvl="0">
      <w:lvlJc w:val="left"/>
      <w:lvlText w:val="(%1)"/>
      <w:numFmt w:val="decimal"/>
      <w:start w:val="8"/>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1)"/>
      <w:numFmt w:val="decimal"/>
      <w:start w:val="1"/>
    </w:lvl>
  </w:abstractNum>
  <w:abstractNum w:abstractNumId="31">
    <w:nsid w:val="68EBC550"/>
    <w:multiLevelType w:val="hybridMultilevel"/>
    <w:lvl w:ilvl="0">
      <w:lvlJc w:val="left"/>
      <w:lvlText w:val="(%1)"/>
      <w:numFmt w:val="decimal"/>
      <w:start w:val="6"/>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1)"/>
      <w:numFmt w:val="decimal"/>
      <w:start w:val="1"/>
    </w:lvl>
  </w:abstractNum>
  <w:abstractNum w:abstractNumId="37">
    <w:nsid w:val="CC1016F"/>
    <w:multiLevelType w:val="hybridMultilevel"/>
    <w:lvl w:ilvl="0">
      <w:lvlJc w:val="left"/>
      <w:lvlText w:val="(%1)"/>
      <w:numFmt w:val="decimal"/>
      <w:start w:val="3"/>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1)"/>
      <w:numFmt w:val="decimal"/>
      <w:start w:val="1"/>
    </w:lvl>
  </w:abstractNum>
  <w:abstractNum w:abstractNumId="44">
    <w:nsid w:val="5FB8370B"/>
    <w:multiLevelType w:val="hybridMultilevel"/>
    <w:lvl w:ilvl="0">
      <w:lvlJc w:val="left"/>
      <w:lvlText w:val="(%1)"/>
      <w:numFmt w:val="decimal"/>
      <w:start w:val="4"/>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1)"/>
      <w:numFmt w:val="decimal"/>
      <w:start w:val="1"/>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
      <w:numFmt w:val="bullet"/>
      <w:start w:val="1"/>
    </w:lvl>
    <w:lvl w:ilvl="1">
      <w:lvlJc w:val="left"/>
      <w:lvlText w:val="•"/>
      <w:numFmt w:val="bullet"/>
      <w:start w:val="1"/>
    </w:lvl>
  </w:abstractNum>
  <w:abstractNum w:abstractNumId="49">
    <w:nsid w:val="7672BD23"/>
    <w:multiLevelType w:val="hybridMultilevel"/>
    <w:lvl w:ilvl="0">
      <w:lvlJc w:val="left"/>
      <w:lvlText w:val="(%1)"/>
      <w:numFmt w:val="decimal"/>
      <w:start w:val="1"/>
    </w:lvl>
  </w:abstractNum>
  <w:abstractNum w:abstractNumId="50">
    <w:nsid w:val="6FC75AF8"/>
    <w:multiLevelType w:val="hybridMultilevel"/>
    <w:lvl w:ilvl="0">
      <w:lvlJc w:val="left"/>
      <w:lvlText w:val="(%1)"/>
      <w:numFmt w:val="decimal"/>
      <w:start w:val="1"/>
    </w:lvl>
  </w:abstractNum>
  <w:abstractNum w:abstractNumId="51">
    <w:nsid w:val="6A5F7029"/>
    <w:multiLevelType w:val="hybridMultilevel"/>
    <w:lvl w:ilvl="0">
      <w:lvlJc w:val="left"/>
      <w:lvlText w:val="(%1)"/>
      <w:numFmt w:val="decimal"/>
      <w:start w:val="1"/>
    </w:lvl>
  </w:abstractNum>
  <w:abstractNum w:abstractNumId="52">
    <w:nsid w:val="7D5E18F8"/>
    <w:multiLevelType w:val="hybridMultilevel"/>
    <w:lvl w:ilvl="0">
      <w:lvlJc w:val="left"/>
      <w:lvlText w:val="(%1)"/>
      <w:numFmt w:val="decimal"/>
      <w:start w:val="1"/>
    </w:lvl>
    <w:lvl w:ilvl="1">
      <w:lvlJc w:val="left"/>
      <w:lvlText w:val="•"/>
      <w:numFmt w:val="bullet"/>
      <w:start w:val="1"/>
    </w:lvl>
  </w:abstractNum>
  <w:abstractNum w:abstractNumId="53">
    <w:nsid w:val="5F3534A4"/>
    <w:multiLevelType w:val="hybridMultilevel"/>
    <w:lvl w:ilvl="0">
      <w:lvlJc w:val="left"/>
      <w:lvlText w:val="%1"/>
      <w:numFmt w:val="decimal"/>
      <w:start w:val="721"/>
    </w:lvl>
  </w:abstractNum>
  <w:abstractNum w:abstractNumId="54">
    <w:nsid w:val="73A1821B"/>
    <w:multiLevelType w:val="hybridMultilevel"/>
    <w:lvl w:ilvl="0">
      <w:lvlJc w:val="left"/>
      <w:lvlText w:val="%1"/>
      <w:numFmt w:val="decimal"/>
      <w:start w:val="419"/>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1)"/>
      <w:numFmt w:val="decimal"/>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1)"/>
      <w:numFmt w:val="decimal"/>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1)"/>
      <w:numFmt w:val="decimal"/>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1"/>
      <w:numFmt w:val="decimal"/>
      <w:start w:val="459"/>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1)"/>
      <w:numFmt w:val="decimal"/>
      <w:start w:val="1"/>
    </w:lvl>
  </w:abstractNum>
  <w:abstractNum w:abstractNumId="69">
    <w:nsid w:val="1D9F6E5F"/>
    <w:multiLevelType w:val="hybridMultilevel"/>
    <w:lvl w:ilvl="0">
      <w:lvlJc w:val="left"/>
      <w:lvlText w:val="(%1)"/>
      <w:numFmt w:val="decimal"/>
      <w:start w:val="2"/>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lvl w:ilvl="1">
      <w:lvlJc w:val="left"/>
      <w:lvlText w:val="•"/>
      <w:numFmt w:val="bullet"/>
      <w:start w:val="1"/>
    </w:lvl>
  </w:abstractNum>
  <w:abstractNum w:abstractNumId="72">
    <w:nsid w:val="1CA0C5FA"/>
    <w:multiLevelType w:val="hybridMultilevel"/>
    <w:lvl w:ilvl="0">
      <w:lvlJc w:val="left"/>
      <w:lvlText w:val="(%1)"/>
      <w:numFmt w:val="decimal"/>
      <w:start w:val="1"/>
    </w:lvl>
  </w:abstractNum>
  <w:abstractNum w:abstractNumId="73">
    <w:nsid w:val="53584BCB"/>
    <w:multiLevelType w:val="hybridMultilevel"/>
    <w:lvl w:ilvl="0">
      <w:lvlJc w:val="left"/>
      <w:lvlText w:val="(%1)"/>
      <w:numFmt w:val="decimal"/>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1)"/>
      <w:numFmt w:val="decimal"/>
      <w:start w:val="1"/>
    </w:lvl>
  </w:abstractNum>
  <w:abstractNum w:abstractNumId="76">
    <w:nsid w:val="23D86AAC"/>
    <w:multiLevelType w:val="hybridMultilevel"/>
    <w:lvl w:ilvl="0">
      <w:lvlJc w:val="left"/>
      <w:lvlText w:val="(%1)"/>
      <w:numFmt w:val="decimal"/>
      <w:start w:val="1"/>
    </w:lvl>
  </w:abstractNum>
  <w:abstractNum w:abstractNumId="77">
    <w:nsid w:val="45E6D486"/>
    <w:multiLevelType w:val="hybridMultilevel"/>
    <w:lvl w:ilvl="0">
      <w:lvlJc w:val="left"/>
      <w:lvlText w:val="(%1)"/>
      <w:numFmt w:val="decimal"/>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1)"/>
      <w:numFmt w:val="decimal"/>
      <w:start w:val="1"/>
    </w:lvl>
  </w:abstractNum>
  <w:abstractNum w:abstractNumId="80">
    <w:nsid w:val="3C5991AA"/>
    <w:multiLevelType w:val="hybridMultilevel"/>
    <w:lvl w:ilvl="0">
      <w:lvlJc w:val="left"/>
      <w:lvlText w:val="(%1)"/>
      <w:numFmt w:val="decimal"/>
      <w:start w:val="1"/>
    </w:lvl>
  </w:abstractNum>
  <w:abstractNum w:abstractNumId="81">
    <w:nsid w:val="4BD8591A"/>
    <w:multiLevelType w:val="hybridMultilevel"/>
    <w:lvl w:ilvl="0">
      <w:lvlJc w:val="left"/>
      <w:lvlText w:val="(%1)"/>
      <w:numFmt w:val="decimal"/>
      <w:start w:val="1"/>
    </w:lvl>
  </w:abstractNum>
  <w:abstractNum w:abstractNumId="82">
    <w:nsid w:val="78DF6A55"/>
    <w:multiLevelType w:val="hybridMultilevel"/>
    <w:lvl w:ilvl="0">
      <w:lvlJc w:val="left"/>
      <w:lvlText w:val="(%1)"/>
      <w:numFmt w:val="decimal"/>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1)"/>
      <w:numFmt w:val="decimal"/>
      <w:start w:val="1"/>
    </w:lvl>
  </w:abstractNum>
  <w:abstractNum w:abstractNumId="85">
    <w:nsid w:val="6C80EC70"/>
    <w:multiLevelType w:val="hybridMultilevel"/>
    <w:lvl w:ilvl="0">
      <w:lvlJc w:val="left"/>
      <w:lvlText w:val="(%1)"/>
      <w:numFmt w:val="lowerLetter"/>
      <w:start w:val="2"/>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1)"/>
      <w:numFmt w:val="lowerLetter"/>
      <w:start w:val="1"/>
    </w:lvl>
  </w:abstractNum>
  <w:abstractNum w:abstractNumId="90">
    <w:nsid w:val="6AA7B75C"/>
    <w:multiLevelType w:val="hybridMultilevel"/>
    <w:lvl w:ilvl="0">
      <w:lvlJc w:val="left"/>
      <w:lvlText w:val="%1."/>
      <w:numFmt w:val="decimal"/>
      <w:start w:val="1"/>
    </w:lvl>
    <w:lvl w:ilvl="1">
      <w:lvlJc w:val="left"/>
      <w:lvlText w:val="(%2)"/>
      <w:numFmt w:val="lowerLetter"/>
      <w:start w:val="1"/>
    </w:lvl>
  </w:abstractNum>
  <w:abstractNum w:abstractNumId="91">
    <w:nsid w:val="1DF029D3"/>
    <w:multiLevelType w:val="hybridMultilevel"/>
    <w:lvl w:ilvl="0">
      <w:lvlJc w:val="left"/>
      <w:lvlText w:val="%1"/>
      <w:numFmt w:val="lowerLetter"/>
      <w:start w:val="1"/>
    </w:lvl>
    <w:lvl w:ilvl="1">
      <w:lvlJc w:val="left"/>
      <w:lvlText w:val="%2."/>
      <w:numFmt w:val="decimal"/>
      <w:start w:val="3"/>
    </w:lvl>
  </w:abstractNum>
  <w:abstractNum w:abstractNumId="92">
    <w:nsid w:val="5675FF36"/>
    <w:multiLevelType w:val="hybridMultilevel"/>
    <w:lvl w:ilvl="0">
      <w:lvlJc w:val="left"/>
      <w:lvlText w:val="(%1)"/>
      <w:numFmt w:val="lowerLetter"/>
      <w:start w:val="1"/>
    </w:lvl>
    <w:lvl w:ilvl="1">
      <w:lvlJc w:val="left"/>
      <w:lvlText w:val="%2"/>
      <w:numFmt w:val="decimal"/>
      <w:start w:val="1"/>
    </w:lvl>
  </w:abstractNum>
  <w:abstractNum w:abstractNumId="93">
    <w:nsid w:val="3DD15094"/>
    <w:multiLevelType w:val="hybridMultilevel"/>
    <w:lvl w:ilvl="0">
      <w:lvlJc w:val="left"/>
      <w:lvlText w:val="%1."/>
      <w:numFmt w:val="decimal"/>
      <w:start w:val="6"/>
    </w:lvl>
  </w:abstractNum>
  <w:abstractNum w:abstractNumId="94">
    <w:nsid w:val="3DB012B3"/>
    <w:multiLevelType w:val="hybridMultilevel"/>
    <w:lvl w:ilvl="0">
      <w:lvlJc w:val="left"/>
      <w:lvlText w:val="%1."/>
      <w:numFmt w:val="decimal"/>
      <w:start w:val="8"/>
    </w:lvl>
  </w:abstractNum>
  <w:abstractNum w:abstractNumId="95">
    <w:nsid w:val="2708C9AF"/>
    <w:multiLevelType w:val="hybridMultilevel"/>
    <w:lvl w:ilvl="0">
      <w:lvlJc w:val="left"/>
      <w:lvlText w:val="(%1)"/>
      <w:numFmt w:val="lowerLetter"/>
      <w:start w:val="1"/>
    </w:lvl>
    <w:lvl w:ilvl="1">
      <w:lvlJc w:val="left"/>
      <w:lvlText w:val="%2."/>
      <w:numFmt w:val="decimal"/>
      <w:start w:val="1"/>
    </w:lvl>
  </w:abstractNum>
  <w:abstractNum w:abstractNumId="96">
    <w:nsid w:val="5B25ACE2"/>
    <w:multiLevelType w:val="hybridMultilevel"/>
    <w:lvl w:ilvl="0">
      <w:lvlJc w:val="left"/>
      <w:lvlText w:val="%1."/>
      <w:numFmt w:val="decimal"/>
      <w:start w:val="3"/>
    </w:lvl>
  </w:abstractNum>
  <w:abstractNum w:abstractNumId="97">
    <w:nsid w:val="175DFCF0"/>
    <w:multiLevelType w:val="hybridMultilevel"/>
    <w:lvl w:ilvl="0">
      <w:lvlJc w:val="left"/>
      <w:lvlText w:val="(%1)"/>
      <w:numFmt w:val="lowerLetter"/>
      <w:start w:val="2"/>
    </w:lvl>
    <w:lvl w:ilvl="1">
      <w:lvlJc w:val="left"/>
      <w:lvlText w:val="%2."/>
      <w:numFmt w:val="decimal"/>
      <w:start w:val="1"/>
    </w:lvl>
  </w:abstractNum>
  <w:abstractNum w:abstractNumId="98">
    <w:nsid w:val="4F97E3E4"/>
    <w:multiLevelType w:val="hybridMultilevel"/>
    <w:lvl w:ilvl="0">
      <w:lvlJc w:val="left"/>
      <w:lvlText w:val="(%1)"/>
      <w:numFmt w:val="lowerLetter"/>
      <w:start w:val="3"/>
    </w:lvl>
  </w:abstractNum>
  <w:abstractNum w:abstractNumId="99">
    <w:nsid w:val="53B0A9E"/>
    <w:multiLevelType w:val="hybridMultilevel"/>
    <w:lvl w:ilvl="0">
      <w:lvlJc w:val="left"/>
      <w:lvlText w:val="%1."/>
      <w:numFmt w:val="decimal"/>
      <w:start w:val="10"/>
    </w:lvl>
    <w:lvl w:ilvl="1">
      <w:lvlJc w:val="left"/>
      <w:lvlText w:val="(%2)"/>
      <w:numFmt w:val="lowerLetter"/>
      <w:start w:val="1"/>
    </w:lvl>
  </w:abstractNum>
  <w:abstractNum w:abstractNumId="100">
    <w:nsid w:val="34FD6B4F"/>
    <w:multiLevelType w:val="hybridMultilevel"/>
    <w:lvl w:ilvl="0">
      <w:lvlJc w:val="left"/>
      <w:lvlText w:val="(%1)"/>
      <w:numFmt w:val="lowerLetter"/>
      <w:start w:val="2"/>
    </w:lvl>
    <w:lvl w:ilvl="1">
      <w:lvlJc w:val="left"/>
      <w:lvlText w:val="%2."/>
      <w:numFmt w:val="lowerRoman"/>
      <w:start w:val="1"/>
    </w:lvl>
  </w:abstractNum>
  <w:abstractNum w:abstractNumId="101">
    <w:nsid w:val="5915FF32"/>
    <w:multiLevelType w:val="hybridMultilevel"/>
    <w:lvl w:ilvl="0">
      <w:lvlJc w:val="left"/>
      <w:lvlText w:val="%1"/>
      <w:numFmt w:val="decimal"/>
      <w:start w:val="1"/>
    </w:lvl>
    <w:lvl w:ilvl="1">
      <w:lvlJc w:val="left"/>
      <w:lvlText w:val="%2."/>
      <w:numFmt w:val="lowerRoman"/>
      <w:start w:val="3"/>
    </w:lvl>
  </w:abstractNum>
  <w:abstractNum w:abstractNumId="102">
    <w:nsid w:val="56438D15"/>
    <w:multiLevelType w:val="hybridMultilevel"/>
    <w:lvl w:ilvl="0">
      <w:lvlJc w:val="left"/>
      <w:lvlText w:val="%1."/>
      <w:numFmt w:val="decimal"/>
      <w:start w:val="14"/>
    </w:lvl>
    <w:lvl w:ilvl="1">
      <w:lvlJc w:val="left"/>
      <w:lvlText w:val="%2"/>
      <w:numFmt w:val="lowerRoman"/>
      <w:start w:val="1"/>
    </w:lvl>
  </w:abstractNum>
  <w:abstractNum w:abstractNumId="103">
    <w:nsid w:val="519E3149"/>
    <w:multiLevelType w:val="hybridMultilevel"/>
    <w:lvl w:ilvl="0">
      <w:lvlJc w:val="left"/>
      <w:lvlText w:val="%1."/>
      <w:numFmt w:val="decimal"/>
      <w:start w:val="15"/>
    </w:lvl>
  </w:abstractNum>
  <w:abstractNum w:abstractNumId="104">
    <w:nsid w:val="2C6E4AFD"/>
    <w:multiLevelType w:val="hybridMultilevel"/>
    <w:lvl w:ilvl="0">
      <w:lvlJc w:val="left"/>
      <w:lvlText w:val="%1."/>
      <w:numFmt w:val="decimal"/>
      <w:start w:val="21"/>
    </w:lvl>
  </w:abstractNum>
  <w:abstractNum w:abstractNumId="105">
    <w:nsid w:val="17A1B582"/>
    <w:multiLevelType w:val="hybridMultilevel"/>
    <w:lvl w:ilvl="0">
      <w:lvlJc w:val="left"/>
      <w:lvlText w:val="%1."/>
      <w:numFmt w:val="decimal"/>
      <w:start w:val="22"/>
    </w:lvl>
  </w:abstractNum>
  <w:abstractNum w:abstractNumId="106">
    <w:nsid w:val="4DF72E4E"/>
    <w:multiLevelType w:val="hybridMultilevel"/>
    <w:lvl w:ilvl="0">
      <w:lvlJc w:val="left"/>
      <w:lvlText w:val="%1."/>
      <w:numFmt w:val="decimal"/>
      <w:start w:val="23"/>
    </w:lvl>
  </w:abstractNum>
  <w:abstractNum w:abstractNumId="107">
    <w:nsid w:val="5046B5A9"/>
    <w:multiLevelType w:val="hybridMultilevel"/>
    <w:lvl w:ilvl="0">
      <w:lvlJc w:val="left"/>
      <w:lvlText w:val="%1."/>
      <w:numFmt w:val="decimal"/>
      <w:start w:val="30"/>
    </w:lvl>
  </w:abstractNum>
  <w:abstractNum w:abstractNumId="108">
    <w:nsid w:val="5D888A08"/>
    <w:multiLevelType w:val="hybridMultilevel"/>
    <w:lvl w:ilvl="0">
      <w:lvlJc w:val="left"/>
      <w:lvlText w:val="(%1)"/>
      <w:numFmt w:val="lowerRoman"/>
      <w:start w:val="7"/>
    </w:lvl>
  </w:abstractNum>
  <w:abstractNum w:abstractNumId="109">
    <w:nsid w:val="2A082C70"/>
    <w:multiLevelType w:val="hybridMultilevel"/>
    <w:lvl w:ilvl="0">
      <w:lvlJc w:val="left"/>
      <w:lvlText w:val="%1."/>
      <w:numFmt w:val="decimal"/>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
      <w:numFmt w:val="bullet"/>
      <w:start w:val="1"/>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1)"/>
      <w:numFmt w:val="lowerRoman"/>
      <w:start w:val="1"/>
    </w:lvl>
  </w:abstractNum>
  <w:abstractNum w:abstractNumId="114">
    <w:nsid w:val="5399C654"/>
    <w:multiLevelType w:val="hybridMultilevel"/>
    <w:lvl w:ilvl="0">
      <w:lvlJc w:val="left"/>
      <w:lvlText w:val="%1."/>
      <w:numFmt w:val="decimal"/>
      <w:start w:val="1"/>
    </w:lvl>
  </w:abstractNum>
  <w:abstractNum w:abstractNumId="115">
    <w:nsid w:val="20EE1348"/>
    <w:multiLevelType w:val="hybridMultilevel"/>
    <w:lvl w:ilvl="0">
      <w:lvlJc w:val="left"/>
      <w:lvlText w:val="%1."/>
      <w:numFmt w:val="decimal"/>
      <w:start w:val="1"/>
    </w:lvl>
    <w:lvl w:ilvl="1">
      <w:lvlJc w:val="left"/>
      <w:lvlText w:val="(%2)"/>
      <w:numFmt w:val="lowerLetter"/>
      <w:start w:val="1"/>
    </w:lvl>
  </w:abstractNum>
  <w:abstractNum w:abstractNumId="116">
    <w:nsid w:val="4427069A"/>
    <w:multiLevelType w:val="hybridMultilevel"/>
    <w:lvl w:ilvl="0">
      <w:lvlJc w:val="left"/>
      <w:lvlText w:val="(%1)"/>
      <w:numFmt w:val="lowerLetter"/>
      <w:start w:val="2"/>
    </w:lvl>
  </w:abstractNum>
  <w:abstractNum w:abstractNumId="117">
    <w:nsid w:val="B37E80A"/>
    <w:multiLevelType w:val="hybridMultilevel"/>
    <w:lvl w:ilvl="0">
      <w:lvlJc w:val="left"/>
      <w:lvlText w:val="%1."/>
      <w:numFmt w:val="decimal"/>
      <w:start w:val="3"/>
    </w:lvl>
    <w:lvl w:ilvl="1">
      <w:lvlJc w:val="left"/>
      <w:lvlText w:val="(%2)"/>
      <w:numFmt w:val="lowerLetter"/>
      <w:start w:val="1"/>
    </w:lvl>
  </w:abstractNum>
  <w:abstractNum w:abstractNumId="118">
    <w:nsid w:val="2157F6BC"/>
    <w:multiLevelType w:val="hybridMultilevel"/>
    <w:lvl w:ilvl="0">
      <w:lvlJc w:val="left"/>
      <w:lvlText w:val="%1"/>
      <w:numFmt w:val="decimal"/>
      <w:start w:val="1"/>
    </w:lvl>
    <w:lvl w:ilvl="1">
      <w:lvlJc w:val="left"/>
      <w:lvlText w:val="(%2)"/>
      <w:numFmt w:val="lowerLetter"/>
      <w:start w:val="4"/>
    </w:lvl>
  </w:abstractNum>
  <w:abstractNum w:abstractNumId="119">
    <w:nsid w:val="704E1DD5"/>
    <w:multiLevelType w:val="hybridMultilevel"/>
    <w:lvl w:ilvl="0">
      <w:lvlJc w:val="left"/>
      <w:lvlText w:val="%1."/>
      <w:numFmt w:val="decimal"/>
      <w:start w:val="4"/>
    </w:lvl>
    <w:lvl w:ilvl="1">
      <w:lvlJc w:val="left"/>
      <w:lvlText w:val="(%2)"/>
      <w:numFmt w:val="lowerLetter"/>
      <w:start w:val="1"/>
    </w:lvl>
  </w:abstractNum>
  <w:abstractNum w:abstractNumId="120">
    <w:nsid w:val="57D2F10E"/>
    <w:multiLevelType w:val="hybridMultilevel"/>
    <w:lvl w:ilvl="0">
      <w:lvlJc w:val="left"/>
      <w:lvlText w:val="%1"/>
      <w:numFmt w:val="lowerLetter"/>
      <w:start w:val="1"/>
    </w:lvl>
    <w:lvl w:ilvl="1">
      <w:lvlJc w:val="left"/>
      <w:lvlText w:val="(%2)"/>
      <w:numFmt w:val="lowerLetter"/>
      <w:start w:val="2"/>
    </w:lvl>
  </w:abstractNum>
  <w:abstractNum w:abstractNumId="121">
    <w:nsid w:val="BFFAE18"/>
    <w:multiLevelType w:val="hybridMultilevel"/>
    <w:lvl w:ilvl="0">
      <w:lvlJc w:val="left"/>
      <w:lvlText w:val="(%1)"/>
      <w:numFmt w:val="lowerLetter"/>
      <w:start w:val="35"/>
    </w:lvl>
    <w:lvl w:ilvl="1">
      <w:lvlJc w:val="left"/>
      <w:lvlText w:val="(%2)"/>
      <w:numFmt w:val="lowerLetter"/>
      <w:start w:val="3"/>
    </w:lvl>
  </w:abstractNum>
  <w:abstractNum w:abstractNumId="122">
    <w:nsid w:val="E3E47A8"/>
    <w:multiLevelType w:val="hybridMultilevel"/>
    <w:lvl w:ilvl="0">
      <w:lvlJc w:val="left"/>
      <w:lvlText w:val="%1."/>
      <w:numFmt w:val="decimal"/>
      <w:start w:val="5"/>
    </w:lvl>
  </w:abstractNum>
  <w:abstractNum w:abstractNumId="123">
    <w:nsid w:val="2E48F044"/>
    <w:multiLevelType w:val="hybridMultilevel"/>
    <w:lvl w:ilvl="0">
      <w:lvlJc w:val="left"/>
      <w:lvlText w:val="%1."/>
      <w:numFmt w:val="decimal"/>
      <w:start w:val="8"/>
    </w:lvl>
  </w:abstractNum>
  <w:abstractNum w:abstractNumId="124">
    <w:nsid w:val="49D0FEAC"/>
    <w:multiLevelType w:val="hybridMultilevel"/>
    <w:lvl w:ilvl="0">
      <w:lvlJc w:val="left"/>
      <w:lvlText w:val="%1."/>
      <w:numFmt w:val="decimal"/>
      <w:start w:val="12"/>
    </w:lvl>
  </w:abstractNum>
  <w:abstractNum w:abstractNumId="125">
    <w:nsid w:val="4BEE5A5B"/>
    <w:multiLevelType w:val="hybridMultilevel"/>
    <w:lvl w:ilvl="0">
      <w:lvlJc w:val="left"/>
      <w:lvlText w:val="(%1)"/>
      <w:numFmt w:val="lowerLetter"/>
      <w:start w:val="1"/>
    </w:lvl>
    <w:lvl w:ilvl="1">
      <w:lvlJc w:val="left"/>
      <w:lvlText w:val="(%2)"/>
      <w:numFmt w:val="lowerLetter"/>
      <w:start w:val="9"/>
    </w:lvl>
  </w:abstractNum>
  <w:abstractNum w:abstractNumId="126">
    <w:nsid w:val="5551B9F3"/>
    <w:multiLevelType w:val="hybridMultilevel"/>
    <w:lvl w:ilvl="0">
      <w:lvlJc w:val="left"/>
      <w:lvlText w:val="(%1)"/>
      <w:numFmt w:val="lowerRoman"/>
      <w:start w:val="2"/>
    </w:lvl>
  </w:abstractNum>
  <w:abstractNum w:abstractNumId="127">
    <w:nsid w:val="24F6AB8E"/>
    <w:multiLevelType w:val="hybridMultilevel"/>
    <w:lvl w:ilvl="0">
      <w:lvlJc w:val="left"/>
      <w:lvlText w:val="(%1)"/>
      <w:numFmt w:val="upperLetter"/>
      <w:start w:val="1"/>
    </w:lvl>
  </w:abstractNum>
  <w:abstractNum w:abstractNumId="128">
    <w:nsid w:val="634C574C"/>
    <w:multiLevelType w:val="hybridMultilevel"/>
    <w:lvl w:ilvl="0">
      <w:lvlJc w:val="left"/>
      <w:lvlText w:val="(%1)"/>
      <w:numFmt w:val="lowerLetter"/>
      <w:start w:val="2"/>
    </w:lvl>
  </w:abstractNum>
  <w:abstractNum w:abstractNumId="129">
    <w:nsid w:val="24E99DD7"/>
    <w:multiLevelType w:val="hybridMultilevel"/>
    <w:lvl w:ilvl="0">
      <w:lvlJc w:val="left"/>
      <w:lvlText w:val="(%1)"/>
      <w:numFmt w:val="lowerLetter"/>
      <w:start w:val="7"/>
    </w:lvl>
  </w:abstractNum>
  <w:abstractNum w:abstractNumId="130">
    <w:nsid w:val="2A31B62D"/>
    <w:multiLevelType w:val="hybridMultilevel"/>
    <w:lvl w:ilvl="0">
      <w:lvlJc w:val="left"/>
      <w:lvlText w:val="(%1)"/>
      <w:numFmt w:val="lowerLetter"/>
      <w:start w:val="2"/>
    </w:lvl>
    <w:lvl w:ilvl="1">
      <w:lvlJc w:val="left"/>
      <w:lvlText w:val="(%2)"/>
      <w:numFmt w:val="lowerRoman"/>
      <w:start w:val="1"/>
    </w:lvl>
  </w:abstractNum>
  <w:abstractNum w:abstractNumId="131">
    <w:nsid w:val="1849C29B"/>
    <w:multiLevelType w:val="hybridMultilevel"/>
    <w:lvl w:ilvl="0">
      <w:lvlJc w:val="left"/>
      <w:lvlText w:val="(%1)"/>
      <w:numFmt w:val="lowerLetter"/>
      <w:start w:val="1"/>
    </w:lvl>
  </w:abstractNum>
  <w:abstractNum w:abstractNumId="132">
    <w:nsid w:val="7DFF9D09"/>
    <w:multiLevelType w:val="hybridMultilevel"/>
    <w:lvl w:ilvl="0">
      <w:lvlJc w:val="left"/>
      <w:lvlText w:val="%1"/>
      <w:numFmt w:val="upperLetter"/>
      <w:start w:val="1"/>
    </w:lvl>
    <w:lvl w:ilvl="1">
      <w:lvlJc w:val="left"/>
      <w:lvlText w:val="(%2)"/>
      <w:numFmt w:val="lowerLetter"/>
      <w:start w:val="1"/>
    </w:lvl>
  </w:abstractNum>
  <w:abstractNum w:abstractNumId="133">
    <w:nsid w:val="754342"/>
    <w:multiLevelType w:val="hybridMultilevel"/>
    <w:lvl w:ilvl="0">
      <w:lvlJc w:val="left"/>
      <w:lvlText w:val="(%1)"/>
      <w:numFmt w:val="upperLetter"/>
      <w:start w:val="2"/>
    </w:lvl>
    <w:lvl w:ilvl="1">
      <w:lvlJc w:val="left"/>
      <w:lvlText w:val="(%2)"/>
      <w:numFmt w:val="lowerLetter"/>
      <w:start w:val="3"/>
    </w:lvl>
  </w:abstractNum>
  <w:abstractNum w:abstractNumId="134">
    <w:nsid w:val="69E7F3E5"/>
    <w:multiLevelType w:val="hybridMultilevel"/>
    <w:lvl w:ilvl="0">
      <w:lvlJc w:val="left"/>
      <w:lvlText w:val="(%1)"/>
      <w:numFmt w:val="lowerLetter"/>
      <w:start w:val="1"/>
    </w:lvl>
  </w:abstractNum>
  <w:abstractNum w:abstractNumId="135">
    <w:nsid w:val="2A6DE806"/>
    <w:multiLevelType w:val="hybridMultilevel"/>
    <w:lvl w:ilvl="0">
      <w:lvlJc w:val="left"/>
      <w:lvlText w:val="%1"/>
      <w:numFmt w:val="lowerLetter"/>
      <w:start w:val="1"/>
    </w:lvl>
    <w:lvl w:ilvl="1">
      <w:lvlJc w:val="left"/>
      <w:lvlText w:val="(%2)"/>
      <w:numFmt w:val="lowerLetter"/>
      <w:start w:val="1"/>
    </w:lvl>
  </w:abstractNum>
  <w:abstractNum w:abstractNumId="136">
    <w:nsid w:val="1816F8C4"/>
    <w:multiLevelType w:val="hybridMultilevel"/>
    <w:lvl w:ilvl="0">
      <w:lvlJc w:val="left"/>
      <w:lvlText w:val="(%1)"/>
      <w:numFmt w:val="lowerLetter"/>
      <w:start w:val="9"/>
    </w:lvl>
    <w:lvl w:ilvl="1">
      <w:lvlJc w:val="left"/>
      <w:lvlText w:val="(%2)"/>
      <w:numFmt w:val="lowerLetter"/>
      <w:start w:val="3"/>
    </w:lvl>
  </w:abstractNum>
  <w:abstractNum w:abstractNumId="137">
    <w:nsid w:val="37DF2233"/>
    <w:multiLevelType w:val="hybridMultilevel"/>
    <w:lvl w:ilvl="0">
      <w:lvlJc w:val="left"/>
      <w:lvlText w:val="%1"/>
      <w:numFmt w:val="decimal"/>
      <w:start w:val="1"/>
    </w:lvl>
    <w:lvl w:ilvl="1">
      <w:lvlJc w:val="left"/>
      <w:lvlText w:val="(%2)"/>
      <w:numFmt w:val="lowerLetter"/>
      <w:start w:val="1"/>
    </w:lvl>
  </w:abstractNum>
  <w:abstractNum w:abstractNumId="138">
    <w:nsid w:val="7AB49DAF"/>
    <w:multiLevelType w:val="hybridMultilevel"/>
    <w:lvl w:ilvl="0">
      <w:lvlJc w:val="left"/>
      <w:lvlText w:val="(%1)"/>
      <w:numFmt w:val="decimal"/>
      <w:start w:val="10"/>
    </w:lvl>
    <w:lvl w:ilvl="1">
      <w:lvlJc w:val="left"/>
      <w:lvlText w:val="(%2)"/>
      <w:numFmt w:val="lowerLetter"/>
      <w:start w:val="2"/>
    </w:lvl>
  </w:abstractNum>
  <w:abstractNum w:abstractNumId="139">
    <w:nsid w:val="759F82CD"/>
    <w:multiLevelType w:val="hybridMultilevel"/>
    <w:lvl w:ilvl="0">
      <w:lvlJc w:val="left"/>
      <w:lvlText w:val="(%1)"/>
      <w:numFmt w:val="lowerLetter"/>
      <w:start w:val="5"/>
    </w:lvl>
  </w:abstractNum>
  <w:abstractNum w:abstractNumId="140">
    <w:nsid w:val="61E74EA3"/>
    <w:multiLevelType w:val="hybridMultilevel"/>
    <w:lvl w:ilvl="0">
      <w:lvlJc w:val="left"/>
      <w:lvlText w:val="(%1)"/>
      <w:numFmt w:val="lowerLetter"/>
      <w:start w:val="1"/>
    </w:lvl>
  </w:abstractNum>
  <w:abstractNum w:abstractNumId="141">
    <w:nsid w:val="597B4D84"/>
    <w:multiLevelType w:val="hybridMultilevel"/>
    <w:lvl w:ilvl="0">
      <w:lvlJc w:val="left"/>
      <w:lvlText w:val="(%1)"/>
      <w:numFmt w:val="lowerLetter"/>
      <w:start w:val="5"/>
    </w:lvl>
  </w:abstractNum>
  <w:abstractNum w:abstractNumId="142">
    <w:nsid w:val="F819E7F"/>
    <w:multiLevelType w:val="hybridMultilevel"/>
    <w:lvl w:ilvl="0">
      <w:lvlJc w:val="left"/>
      <w:lvlText w:val="(%1)"/>
      <w:numFmt w:val="lowerLetter"/>
      <w:start w:val="1"/>
    </w:lvl>
  </w:abstractNum>
  <w:abstractNum w:abstractNumId="143">
    <w:nsid w:val="57C7D42D"/>
    <w:multiLevelType w:val="hybridMultilevel"/>
    <w:lvl w:ilvl="0">
      <w:lvlJc w:val="left"/>
      <w:lvlText w:val="(%1)"/>
      <w:numFmt w:val="lowerRoman"/>
      <w:start w:val="2"/>
    </w:lvl>
  </w:abstractNum>
  <w:abstractNum w:abstractNumId="144">
    <w:nsid w:val="312167AD"/>
    <w:multiLevelType w:val="hybridMultilevel"/>
    <w:lvl w:ilvl="0">
      <w:lvlJc w:val="left"/>
      <w:lvlText w:val="(%1)"/>
      <w:numFmt w:val="lowerRoman"/>
      <w:start w:val="3"/>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23" Type="http://schemas.openxmlformats.org/officeDocument/2006/relationships/image" Target="media/image308.png"/><Relationship Id="rId337" Type="http://schemas.openxmlformats.org/officeDocument/2006/relationships/image" Target="media/image309.png"/><Relationship Id="rId352" Type="http://schemas.openxmlformats.org/officeDocument/2006/relationships/image" Target="media/image310.png"/><Relationship Id="rId366"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pn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jpe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jpeg"/><Relationship Id="rId420" Type="http://schemas.openxmlformats.org/officeDocument/2006/relationships/image" Target="media/image365.png"/><Relationship Id="rId421" Type="http://schemas.openxmlformats.org/officeDocument/2006/relationships/image" Target="media/image366.jpeg"/><Relationship Id="rId422" Type="http://schemas.openxmlformats.org/officeDocument/2006/relationships/image" Target="media/image367.png"/><Relationship Id="rId423" Type="http://schemas.openxmlformats.org/officeDocument/2006/relationships/image" Target="media/image368.jpeg"/><Relationship Id="rId424" Type="http://schemas.openxmlformats.org/officeDocument/2006/relationships/image" Target="media/image369.png"/><Relationship Id="rId425" Type="http://schemas.openxmlformats.org/officeDocument/2006/relationships/image" Target="media/image370.jpeg"/><Relationship Id="rId426" Type="http://schemas.openxmlformats.org/officeDocument/2006/relationships/image" Target="media/image371.png"/><Relationship Id="rId427" Type="http://schemas.openxmlformats.org/officeDocument/2006/relationships/image" Target="media/image372.jpeg"/><Relationship Id="rId428" Type="http://schemas.openxmlformats.org/officeDocument/2006/relationships/image" Target="media/image373.png"/><Relationship Id="rId429" Type="http://schemas.openxmlformats.org/officeDocument/2006/relationships/image" Target="media/image374.jpeg"/><Relationship Id="rId430" Type="http://schemas.openxmlformats.org/officeDocument/2006/relationships/image" Target="media/image375.png"/><Relationship Id="rId431" Type="http://schemas.openxmlformats.org/officeDocument/2006/relationships/image" Target="media/image376.jpeg"/><Relationship Id="rId432" Type="http://schemas.openxmlformats.org/officeDocument/2006/relationships/image" Target="media/image377.png"/><Relationship Id="rId433" Type="http://schemas.openxmlformats.org/officeDocument/2006/relationships/image" Target="media/image378.jpeg"/><Relationship Id="rId434" Type="http://schemas.openxmlformats.org/officeDocument/2006/relationships/image" Target="media/image379.png"/><Relationship Id="rId435" Type="http://schemas.openxmlformats.org/officeDocument/2006/relationships/image" Target="media/image380.jpeg"/><Relationship Id="rId436" Type="http://schemas.openxmlformats.org/officeDocument/2006/relationships/image" Target="media/image381.png"/><Relationship Id="rId437" Type="http://schemas.openxmlformats.org/officeDocument/2006/relationships/image" Target="media/image382.jpeg"/><Relationship Id="rId438" Type="http://schemas.openxmlformats.org/officeDocument/2006/relationships/image" Target="media/image383.png"/><Relationship Id="rId439" Type="http://schemas.openxmlformats.org/officeDocument/2006/relationships/image" Target="media/image384.jpeg"/><Relationship Id="rId440" Type="http://schemas.openxmlformats.org/officeDocument/2006/relationships/image" Target="media/image385.png"/><Relationship Id="rId441" Type="http://schemas.openxmlformats.org/officeDocument/2006/relationships/image" Target="media/image386.jpeg"/><Relationship Id="rId442" Type="http://schemas.openxmlformats.org/officeDocument/2006/relationships/image" Target="media/image387.png"/><Relationship Id="rId443" Type="http://schemas.openxmlformats.org/officeDocument/2006/relationships/image" Target="media/image388.jpeg"/><Relationship Id="rId444" Type="http://schemas.openxmlformats.org/officeDocument/2006/relationships/image" Target="media/image389.png"/><Relationship Id="rId445" Type="http://schemas.openxmlformats.org/officeDocument/2006/relationships/image" Target="media/image390.jpeg"/><Relationship Id="rId446" Type="http://schemas.openxmlformats.org/officeDocument/2006/relationships/image" Target="media/image391.png"/><Relationship Id="rId447" Type="http://schemas.openxmlformats.org/officeDocument/2006/relationships/image" Target="media/image392.jpe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png"/><Relationship Id="rId475" Type="http://schemas.openxmlformats.org/officeDocument/2006/relationships/image" Target="media/image420.png"/><Relationship Id="rId315" Type="http://schemas.openxmlformats.org/officeDocument/2006/relationships/hyperlink" Target="http://www.sec.gov/Archives/edgar/data/1103982/000119312512411522/d418430dex21.htm" TargetMode="External"/><Relationship Id="rId316" Type="http://schemas.openxmlformats.org/officeDocument/2006/relationships/hyperlink" Target="http://www.sec.gov/Archives/edgar/data/1103982/000119312513073227/d456052dex23.htm" TargetMode="External"/><Relationship Id="rId317" Type="http://schemas.openxmlformats.org/officeDocument/2006/relationships/hyperlink" Target="http://www.sec.gov/Archives/edgar/data/1103982/000119312512411522/d418430dex103.htm" TargetMode="External"/><Relationship Id="rId318" Type="http://schemas.openxmlformats.org/officeDocument/2006/relationships/hyperlink" Target="http://www.sec.gov/Archives/edgar/data/1103982/000119312517245459/d412472dex22.htm" TargetMode="External"/><Relationship Id="rId319" Type="http://schemas.openxmlformats.org/officeDocument/2006/relationships/hyperlink" Target="http://www.sec.gov/Archives/edgar/data/1103982/000119312512411522/d418430dex104.htm" TargetMode="External"/><Relationship Id="rId320" Type="http://schemas.openxmlformats.org/officeDocument/2006/relationships/hyperlink" Target="http://www.sec.gov/Archives/edgar/data/1103982/000119312515160034/d893461dex21.htm" TargetMode="External"/><Relationship Id="rId321" Type="http://schemas.openxmlformats.org/officeDocument/2006/relationships/hyperlink" Target="http://www.sec.gov/Archives/edgar/data/1103982/000119312515160034/d893461dex22.htm" TargetMode="External"/><Relationship Id="rId322" Type="http://schemas.openxmlformats.org/officeDocument/2006/relationships/hyperlink" Target="http://www.sec.gov/Archives/edgar/data/1103982/000119312517245459/d412472dex21.htm" TargetMode="External"/><Relationship Id="rId324" Type="http://schemas.openxmlformats.org/officeDocument/2006/relationships/hyperlink" Target="http://www.sec.gov/Archives/edgar/data/1103982/000119312513207666/d512925dex31.htm" TargetMode="External"/><Relationship Id="rId325" Type="http://schemas.openxmlformats.org/officeDocument/2006/relationships/hyperlink" Target="http://www.sec.gov/Archives/edgar/data/1103982/000119312515339385/d80038dex31.htm" TargetMode="External"/><Relationship Id="rId326" Type="http://schemas.openxmlformats.org/officeDocument/2006/relationships/hyperlink" Target="http://www.sec.gov/Archives/edgar/data/1103982/000095013002002716/dex41.txt" TargetMode="External"/><Relationship Id="rId327" Type="http://schemas.openxmlformats.org/officeDocument/2006/relationships/hyperlink" Target="http://www.sec.gov/Archives/edgar/data/1103982/000119312513469814/d644133dex42.htm" TargetMode="External"/><Relationship Id="rId328" Type="http://schemas.openxmlformats.org/officeDocument/2006/relationships/hyperlink" Target="http://www.sec.gov/Archives/edgar/data/1103982/000119312517055858/d288385dex44.htm" TargetMode="External"/><Relationship Id="rId329" Type="http://schemas.openxmlformats.org/officeDocument/2006/relationships/hyperlink" Target="http://www.sec.gov/Archives/edgar/data/1103982/000119312516750814/d281401dex41.htm" TargetMode="External"/><Relationship Id="rId330" Type="http://schemas.openxmlformats.org/officeDocument/2006/relationships/hyperlink" Target="http://www.sec.gov/Archives/edgar/data/1103982/000119312517055858/d288385dex101.htm" TargetMode="External"/><Relationship Id="rId331" Type="http://schemas.openxmlformats.org/officeDocument/2006/relationships/hyperlink" Target="http://www.sec.gov/Archives/edgar/data/1103982/000119312517055858/d288385dex102.htm" TargetMode="External"/><Relationship Id="rId332" Type="http://schemas.openxmlformats.org/officeDocument/2006/relationships/hyperlink" Target="http://www.sec.gov/Archives/edgar/data/1103982/000119312517065671/d252057dex101.htm" TargetMode="External"/><Relationship Id="rId333" Type="http://schemas.openxmlformats.org/officeDocument/2006/relationships/hyperlink" Target="http://www.sec.gov/Archives/edgar/data/1103982/000119312512411522/d418430dex101.htm" TargetMode="External"/><Relationship Id="rId334" Type="http://schemas.openxmlformats.org/officeDocument/2006/relationships/hyperlink" Target="http://www.sec.gov/Archives/edgar/data/1103982/000119312514302145/d744588dex101.htm" TargetMode="External"/><Relationship Id="rId335" Type="http://schemas.openxmlformats.org/officeDocument/2006/relationships/hyperlink" Target="http://www.sec.gov/Archives/edgar/data/1103982/000119312515272328/d940616dex103.htm" TargetMode="External"/><Relationship Id="rId336" Type="http://schemas.openxmlformats.org/officeDocument/2006/relationships/hyperlink" Target="http://www.sec.gov/Archives/edgar/data/1103982/000119312516561707/d149717dex101.htm" TargetMode="External"/><Relationship Id="rId338" Type="http://schemas.openxmlformats.org/officeDocument/2006/relationships/hyperlink" Target="http://www.sec.gov/Archives/edgar/data/1103982/000119312516561707/d149717dex102.htm" TargetMode="External"/><Relationship Id="rId339" Type="http://schemas.openxmlformats.org/officeDocument/2006/relationships/hyperlink" Target="http://www.sec.gov/Archives/edgar/data/1103982/000119312515272328/d940616dex102.htm" TargetMode="External"/><Relationship Id="rId340" Type="http://schemas.openxmlformats.org/officeDocument/2006/relationships/hyperlink" Target="http://www.sec.gov/Archives/edgar/data/1103982/000119312517155252/d346910dex102.htm" TargetMode="External"/><Relationship Id="rId341" Type="http://schemas.openxmlformats.org/officeDocument/2006/relationships/hyperlink" Target="http://www.sec.gov/Archives/edgar/data/1103982/000119312517155252/d346910dex103.htm" TargetMode="External"/><Relationship Id="rId342" Type="http://schemas.openxmlformats.org/officeDocument/2006/relationships/hyperlink" Target="http://www.sec.gov/Archives/edgar/data/1103982/000119312517155252/d346910dex104.htm" TargetMode="External"/><Relationship Id="rId343" Type="http://schemas.openxmlformats.org/officeDocument/2006/relationships/hyperlink" Target="http://www.sec.gov/Archives/edgar/data/1103982/000119312513073227/d456052dex109.htm" TargetMode="External"/><Relationship Id="rId344" Type="http://schemas.openxmlformats.org/officeDocument/2006/relationships/hyperlink" Target="http://www.sec.gov/Archives/edgar/data/1103982/000119312513073227/d456052dex1010.htm" TargetMode="External"/><Relationship Id="rId345" Type="http://schemas.openxmlformats.org/officeDocument/2006/relationships/hyperlink" Target="http://www.sec.gov/Archives/edgar/data/1103982/000119312513073227/d456052dex1011.htm" TargetMode="External"/><Relationship Id="rId346" Type="http://schemas.openxmlformats.org/officeDocument/2006/relationships/hyperlink" Target="http://www.sec.gov/Archives/edgar/data/1103982/000119312513073227/d456052dex1012.htm" TargetMode="External"/><Relationship Id="rId347" Type="http://schemas.openxmlformats.org/officeDocument/2006/relationships/hyperlink" Target="http://www.sec.gov/Archives/edgar/data/1103982/000119312513073227/d456052dex1013.htm" TargetMode="External"/><Relationship Id="rId348" Type="http://schemas.openxmlformats.org/officeDocument/2006/relationships/hyperlink" Target="http://www.sec.gov/Archives/edgar/data/1103982/000119312513073227/d456052dex1014.htm" TargetMode="External"/><Relationship Id="rId349" Type="http://schemas.openxmlformats.org/officeDocument/2006/relationships/hyperlink" Target="http://www.sec.gov/Archives/edgar/data/1103982/000119312513073227/d456052dex1015.htm" TargetMode="External"/><Relationship Id="rId350" Type="http://schemas.openxmlformats.org/officeDocument/2006/relationships/hyperlink" Target="http://www.sec.gov/Archives/edgar/data/1103982/000119312517155252/d346910dex105.htm" TargetMode="External"/><Relationship Id="rId351" Type="http://schemas.openxmlformats.org/officeDocument/2006/relationships/hyperlink" Target="http://www.sec.gov/Archives/edgar/data/1103982/000119312513073227/d456052dex1017.htm" TargetMode="External"/><Relationship Id="rId353" Type="http://schemas.openxmlformats.org/officeDocument/2006/relationships/hyperlink" Target="http://www.sec.gov/Archives/edgar/data/1103982/000119312513073227/d456052dex1018.htm" TargetMode="External"/><Relationship Id="rId354" Type="http://schemas.openxmlformats.org/officeDocument/2006/relationships/hyperlink" Target="http://www.sec.gov/Archives/edgar/data/1103982/000119312513073227/d456052dex1019.htm" TargetMode="External"/><Relationship Id="rId355" Type="http://schemas.openxmlformats.org/officeDocument/2006/relationships/hyperlink" Target="http://www.sec.gov/Archives/edgar/data/1103982/000119312517244953/d627607dex101.htm" TargetMode="External"/><Relationship Id="rId356" Type="http://schemas.openxmlformats.org/officeDocument/2006/relationships/hyperlink" Target="http://www.sec.gov/Archives/edgar/data/1103982/000110465906052215/a06-15579_1ex10d29.htm" TargetMode="External"/><Relationship Id="rId357" Type="http://schemas.openxmlformats.org/officeDocument/2006/relationships/hyperlink" Target="http://www.sec.gov/Archives/edgar/data/1103982/000119312509040798/dex1020.htm" TargetMode="External"/><Relationship Id="rId358" Type="http://schemas.openxmlformats.org/officeDocument/2006/relationships/hyperlink" Target="http://www.sec.gov/Archives/edgar/data/1103982/000119312511296642/d233422dex101.htm" TargetMode="External"/><Relationship Id="rId359" Type="http://schemas.openxmlformats.org/officeDocument/2006/relationships/hyperlink" Target="http://www.sec.gov/Archives/edgar/data/1103982/000119312514367328/d801731dex101.htm" TargetMode="External"/><Relationship Id="rId360" Type="http://schemas.openxmlformats.org/officeDocument/2006/relationships/hyperlink" Target="http://www.sec.gov/Archives/edgar/data/1103982/000119312515160034/d893461dex102.htm" TargetMode="External"/><Relationship Id="rId361" Type="http://schemas.openxmlformats.org/officeDocument/2006/relationships/hyperlink" Target="http://www.sec.gov/Archives/edgar/data/1103982/000119312515407802/d80280dex101.htm" TargetMode="External"/><Relationship Id="rId362" Type="http://schemas.openxmlformats.org/officeDocument/2006/relationships/hyperlink" Target="http://www.sec.gov/Archives/edgar/data/1103982/000119312517055858/d288385dex1030.htm" TargetMode="External"/><Relationship Id="rId363" Type="http://schemas.openxmlformats.org/officeDocument/2006/relationships/hyperlink" Target="http://www.sec.gov/Archives/edgar/data/1103982/000119312517185515/d391975dex101.htm" TargetMode="External"/><Relationship Id="rId364" Type="http://schemas.openxmlformats.org/officeDocument/2006/relationships/hyperlink" Target="http://www.sec.gov/Archives/edgar/data/1103982/000119312509040798/dex1028.htm" TargetMode="External"/><Relationship Id="rId365" Type="http://schemas.openxmlformats.org/officeDocument/2006/relationships/hyperlink" Target="http://www.sec.gov/Archives/edgar/data/1103982/0001193125090164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2019-12-29T02:07:15Z</dcterms:created>
  <dcterms:modified xsi:type="dcterms:W3CDTF">2019-12-29T02:07:15Z</dcterms:modified>
</cp:coreProperties>
</file>